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High School Attendance by Region</w:t>
      </w:r>
    </w:p>
    <w:p>
      <w:pPr>
        <w:pStyle w:val="Heading2"/>
      </w:pPr>
      <w:r>
        <w:t>Region 1 — Northern Counties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1728"/>
        <w:gridCol w:w="1728"/>
        <w:gridCol w:w="2160"/>
      </w:tblGrid>
      <w:tr>
        <w:trPr>
          <w:tblHeader w:val="true"/>
        </w:trPr>
        <w:tc>
          <w:tcPr>
            <w:tcW w:type="dxa" w:w="3744"/>
            <w:shd w:val="clear" w:color="auto" w:fill="E6F0E8"/>
          </w:tcPr>
          <w:p>
            <w:r/>
            <w:r>
              <w:rPr>
                <w:b/>
              </w:rPr>
              <w:t>School</w:t>
            </w:r>
          </w:p>
        </w:tc>
        <w:tc>
          <w:tcPr>
            <w:tcW w:type="dxa" w:w="1728"/>
            <w:shd w:val="clear" w:color="auto" w:fill="E6F0E8"/>
          </w:tcPr>
          <w:p>
            <w:r/>
            <w:r>
              <w:rPr>
                <w:b/>
              </w:rPr>
              <w:t>Grade Level</w:t>
            </w:r>
          </w:p>
        </w:tc>
        <w:tc>
          <w:tcPr>
            <w:tcW w:type="dxa" w:w="1728"/>
            <w:shd w:val="clear" w:color="auto" w:fill="E6F0E8"/>
          </w:tcPr>
          <w:p>
            <w:r/>
            <w:r>
              <w:rPr>
                <w:b/>
              </w:rPr>
              <w:t>Enrollment</w:t>
            </w:r>
          </w:p>
        </w:tc>
        <w:tc>
          <w:tcPr>
            <w:tcW w:type="dxa" w:w="2160"/>
            <w:shd w:val="clear" w:color="auto" w:fill="E6F0E8"/>
          </w:tcPr>
          <w:p>
            <w:r/>
            <w:r>
              <w:rPr>
                <w:b/>
              </w:rPr>
              <w:t>Attendance Rate</w:t>
            </w:r>
          </w:p>
        </w:tc>
      </w:tr>
      <w:tr>
        <w:tc>
          <w:tcPr>
            <w:tcW w:type="dxa" w:w="3744"/>
          </w:tcPr>
          <w:p>
            <w:r>
              <w:t>Morgantown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1,240</w:t>
            </w:r>
          </w:p>
        </w:tc>
        <w:tc>
          <w:tcPr>
            <w:tcW w:type="dxa" w:w="2160"/>
          </w:tcPr>
          <w:p>
            <w:r>
              <w:t>94.2%</w:t>
            </w:r>
          </w:p>
        </w:tc>
      </w:tr>
      <w:tr>
        <w:tc>
          <w:tcPr>
            <w:tcW w:type="dxa" w:w="3744"/>
          </w:tcPr>
          <w:p>
            <w:r>
              <w:t>Fairmont Senior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980</w:t>
            </w:r>
          </w:p>
        </w:tc>
        <w:tc>
          <w:tcPr>
            <w:tcW w:type="dxa" w:w="2160"/>
          </w:tcPr>
          <w:p>
            <w:r>
              <w:t>93.7%</w:t>
            </w:r>
          </w:p>
        </w:tc>
      </w:tr>
    </w:tbl>
    <w:p/>
    <w:p>
      <w:pPr>
        <w:pStyle w:val="Heading2"/>
      </w:pPr>
      <w:r>
        <w:t>Region 2 — Southern Counties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1728"/>
        <w:gridCol w:w="1728"/>
        <w:gridCol w:w="2160"/>
      </w:tblGrid>
      <w:tr>
        <w:trPr>
          <w:tblHeader w:val="true"/>
        </w:trPr>
        <w:tc>
          <w:tcPr>
            <w:tcW w:type="dxa" w:w="3744"/>
            <w:shd w:val="clear" w:color="auto" w:fill="E6F0E8"/>
          </w:tcPr>
          <w:p>
            <w:r/>
            <w:r>
              <w:rPr>
                <w:b/>
              </w:rPr>
              <w:t>School</w:t>
            </w:r>
          </w:p>
        </w:tc>
        <w:tc>
          <w:tcPr>
            <w:tcW w:type="dxa" w:w="1728"/>
            <w:shd w:val="clear" w:color="auto" w:fill="E6F0E8"/>
          </w:tcPr>
          <w:p>
            <w:r/>
            <w:r>
              <w:rPr>
                <w:b/>
              </w:rPr>
              <w:t>Grade Level</w:t>
            </w:r>
          </w:p>
        </w:tc>
        <w:tc>
          <w:tcPr>
            <w:tcW w:type="dxa" w:w="1728"/>
            <w:shd w:val="clear" w:color="auto" w:fill="E6F0E8"/>
          </w:tcPr>
          <w:p>
            <w:r/>
            <w:r>
              <w:rPr>
                <w:b/>
              </w:rPr>
              <w:t>Enrollment</w:t>
            </w:r>
          </w:p>
        </w:tc>
        <w:tc>
          <w:tcPr>
            <w:tcW w:type="dxa" w:w="2160"/>
            <w:shd w:val="clear" w:color="auto" w:fill="E6F0E8"/>
          </w:tcPr>
          <w:p>
            <w:r/>
            <w:r>
              <w:rPr>
                <w:b/>
              </w:rPr>
              <w:t>Attendance Rate</w:t>
            </w:r>
          </w:p>
        </w:tc>
      </w:tr>
      <w:tr>
        <w:tc>
          <w:tcPr>
            <w:tcW w:type="dxa" w:w="3744"/>
          </w:tcPr>
          <w:p>
            <w:r>
              <w:t>Oak Hill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760</w:t>
            </w:r>
          </w:p>
        </w:tc>
        <w:tc>
          <w:tcPr>
            <w:tcW w:type="dxa" w:w="2160"/>
          </w:tcPr>
          <w:p>
            <w:r>
              <w:t>91.8%</w:t>
            </w:r>
          </w:p>
        </w:tc>
      </w:tr>
      <w:tr>
        <w:tc>
          <w:tcPr>
            <w:tcW w:type="dxa" w:w="3744"/>
          </w:tcPr>
          <w:p>
            <w:r>
              <w:t>Woodrow Wilson High School</w:t>
            </w:r>
          </w:p>
        </w:tc>
        <w:tc>
          <w:tcPr>
            <w:tcW w:type="dxa" w:w="1728"/>
          </w:tcPr>
          <w:p>
            <w:r>
              <w:t>9–12</w:t>
            </w:r>
          </w:p>
        </w:tc>
        <w:tc>
          <w:tcPr>
            <w:tcW w:type="dxa" w:w="1728"/>
          </w:tcPr>
          <w:p>
            <w:r>
              <w:t>890</w:t>
            </w:r>
          </w:p>
        </w:tc>
        <w:tc>
          <w:tcPr>
            <w:tcW w:type="dxa" w:w="2160"/>
          </w:tcPr>
          <w:p>
            <w:r>
              <w:t>92.4%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/>
      <w:b/>
      <w:bCs/>
      <w:color w:val="1C2B39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/>
      <w:b/>
      <w:bCs/>
      <w:color w:val="1C2B39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example: one table per region, with headings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