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D426" w14:textId="77777777" w:rsidR="00DF5FA5" w:rsidRDefault="00F172AF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Combining Abstract Symbols Strategy</w:t>
      </w:r>
    </w:p>
    <w:p w14:paraId="4BDAA73F" w14:textId="77777777" w:rsidR="00DF5FA5" w:rsidRDefault="00F172AF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(Combine Known Symbols, Practice in Routines, Respond to Intent)</w:t>
      </w:r>
    </w:p>
    <w:p w14:paraId="1E4EF5E1" w14:textId="77777777" w:rsidR="00DF5FA5" w:rsidRDefault="00F172AF">
      <w:pPr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114300" distB="114300" distL="114300" distR="114300" wp14:anchorId="68C85985" wp14:editId="691F3402">
            <wp:extent cx="5729288" cy="270855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9288" cy="27085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3B71FC" w14:textId="77777777" w:rsidR="00DF5FA5" w:rsidRDefault="00DF5FA5"/>
    <w:p w14:paraId="4190A1B2" w14:textId="67A6F0AA" w:rsidR="00DF5FA5" w:rsidRDefault="00F172AF">
      <w:r>
        <w:rPr>
          <w:b/>
        </w:rPr>
        <w:t xml:space="preserve">Introduction (Partner): </w:t>
      </w:r>
      <w:r>
        <w:t>combine known abstract symbol in existing routines and provide opportunities to use “new” two- and three- symbol utterances. For example: During lunch routine (with water and milk available), combine the individual’s symbol for “drink” and “milk” as partne</w:t>
      </w:r>
      <w:r>
        <w:t xml:space="preserve">r </w:t>
      </w:r>
      <w:proofErr w:type="gramStart"/>
      <w:r>
        <w:t>says</w:t>
      </w:r>
      <w:proofErr w:type="gramEnd"/>
      <w:r>
        <w:t xml:space="preserve"> “Drink more milk”. </w:t>
      </w:r>
    </w:p>
    <w:p w14:paraId="6497F8A3" w14:textId="77777777" w:rsidR="00DF5FA5" w:rsidRDefault="00DF5FA5"/>
    <w:p w14:paraId="352A704A" w14:textId="5D9828BB" w:rsidR="00DF5FA5" w:rsidRDefault="00F172AF">
      <w:r>
        <w:rPr>
          <w:b/>
        </w:rPr>
        <w:t>Targeted Behaviors (Response):</w:t>
      </w:r>
      <w:r>
        <w:t xml:space="preserve"> demonstrates understanding of the combined use of known abstract symbols. </w:t>
      </w:r>
    </w:p>
    <w:p w14:paraId="38229003" w14:textId="77777777" w:rsidR="00DF5FA5" w:rsidRDefault="00DF5FA5"/>
    <w:p w14:paraId="20FBA7B9" w14:textId="351F9CF7" w:rsidR="00DF5FA5" w:rsidRDefault="00F172AF">
      <w:r>
        <w:rPr>
          <w:b/>
        </w:rPr>
        <w:t xml:space="preserve">Partner’s Response: </w:t>
      </w:r>
      <w:r>
        <w:t xml:space="preserve">respond appropriately according to the individual's intent. </w:t>
      </w:r>
    </w:p>
    <w:p w14:paraId="715E1582" w14:textId="77777777" w:rsidR="00DF5FA5" w:rsidRDefault="00DF5FA5"/>
    <w:p w14:paraId="416C09FF" w14:textId="77777777" w:rsidR="00DF5FA5" w:rsidRDefault="00F172AF" w:rsidP="00F172AF">
      <w:pPr>
        <w:ind w:left="720"/>
      </w:pPr>
      <w:r>
        <w:rPr>
          <w:b/>
        </w:rPr>
        <w:t xml:space="preserve">Outcome: </w:t>
      </w:r>
      <w:r>
        <w:t>Individual increases utter</w:t>
      </w:r>
      <w:r>
        <w:t>ances across Level VI intents (greet, offer, direct attention, polite social forms, answer/ask question</w:t>
      </w:r>
      <w:bookmarkStart w:id="0" w:name="_GoBack"/>
      <w:bookmarkEnd w:id="0"/>
      <w:r>
        <w:t>s).</w:t>
      </w:r>
    </w:p>
    <w:sectPr w:rsidR="00DF5F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A5"/>
    <w:rsid w:val="00DF5FA5"/>
    <w:rsid w:val="00F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21EF"/>
  <w15:docId w15:val="{6B01F94A-BA57-4A3C-8D8D-705B72DB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EFEFC5-598A-4760-A22B-5DC279A0DD41}"/>
</file>

<file path=customXml/itemProps2.xml><?xml version="1.0" encoding="utf-8"?>
<ds:datastoreItem xmlns:ds="http://schemas.openxmlformats.org/officeDocument/2006/customXml" ds:itemID="{EA47C8A7-85FA-4081-A84D-7B3E24F9A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7F1E3-8B58-4DA8-BC25-53631D700EB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2022-10-25T17:36:00Z</dcterms:created>
  <dcterms:modified xsi:type="dcterms:W3CDTF">2022-10-25T17:36:00Z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