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1E56" w14:textId="77777777" w:rsidR="007B35BE" w:rsidRPr="00781112" w:rsidRDefault="007B35BE" w:rsidP="0033429D">
      <w:pPr>
        <w:autoSpaceDE w:val="0"/>
        <w:autoSpaceDN w:val="0"/>
        <w:adjustRightInd w:val="0"/>
        <w:spacing w:before="1800"/>
        <w:jc w:val="center"/>
        <w:rPr>
          <w:rFonts w:cs="Arial"/>
          <w:b/>
          <w:bCs/>
          <w:smallCaps/>
          <w:color w:val="000000" w:themeColor="text1"/>
          <w:sz w:val="32"/>
          <w:szCs w:val="32"/>
        </w:rPr>
      </w:pPr>
      <w:bookmarkStart w:id="0" w:name="_Hlk121691473"/>
      <w:bookmarkStart w:id="1" w:name="_Toc382082357"/>
      <w:bookmarkStart w:id="2" w:name="_Toc392159258"/>
      <w:bookmarkStart w:id="3" w:name="_Hlk110866287"/>
      <w:bookmarkEnd w:id="0"/>
      <w:r w:rsidRPr="00781112">
        <w:rPr>
          <w:rFonts w:cs="Arial"/>
          <w:b/>
          <w:bCs/>
          <w:smallCaps/>
          <w:color w:val="000000" w:themeColor="text1"/>
          <w:sz w:val="32"/>
          <w:szCs w:val="32"/>
        </w:rPr>
        <w:t>State Performance Plan / Annual Performance Report: Part B</w:t>
      </w:r>
    </w:p>
    <w:p w14:paraId="775F9C1C" w14:textId="05570B0D"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for STATE FORMULA GRANT PROGRAMS under the Individuals with Disabilities Education Act</w:t>
      </w:r>
    </w:p>
    <w:p w14:paraId="29F4DA54" w14:textId="4B34FCD1" w:rsidR="007B35BE" w:rsidRPr="00781112" w:rsidRDefault="007B35BE" w:rsidP="007B35BE">
      <w:pPr>
        <w:autoSpaceDE w:val="0"/>
        <w:autoSpaceDN w:val="0"/>
        <w:adjustRightInd w:val="0"/>
        <w:spacing w:before="360"/>
        <w:jc w:val="center"/>
        <w:rPr>
          <w:rFonts w:cs="Arial"/>
          <w:b/>
          <w:bCs/>
          <w:color w:val="000000" w:themeColor="text1"/>
          <w:sz w:val="28"/>
          <w:szCs w:val="28"/>
        </w:rPr>
      </w:pPr>
      <w:r w:rsidRPr="00781112">
        <w:rPr>
          <w:rFonts w:cs="Arial"/>
          <w:b/>
          <w:bCs/>
          <w:color w:val="000000" w:themeColor="text1"/>
          <w:sz w:val="24"/>
          <w:szCs w:val="24"/>
        </w:rPr>
        <w:t xml:space="preserve">For reporting on </w:t>
      </w:r>
      <w:r w:rsidRPr="00781112">
        <w:rPr>
          <w:rFonts w:cs="Arial"/>
          <w:b/>
          <w:bCs/>
          <w:color w:val="000000" w:themeColor="text1"/>
          <w:sz w:val="24"/>
          <w:szCs w:val="24"/>
        </w:rPr>
        <w:br/>
      </w:r>
      <w:r w:rsidRPr="00781112">
        <w:rPr>
          <w:rFonts w:cs="Arial"/>
          <w:b/>
          <w:bCs/>
          <w:color w:val="000000" w:themeColor="text1"/>
          <w:sz w:val="28"/>
          <w:szCs w:val="28"/>
        </w:rPr>
        <w:t xml:space="preserve">FFY </w:t>
      </w:r>
      <w:r w:rsidR="00F46F21">
        <w:rPr>
          <w:rFonts w:cs="Arial"/>
          <w:b/>
          <w:bCs/>
          <w:color w:val="000000" w:themeColor="text1"/>
          <w:sz w:val="28"/>
          <w:szCs w:val="28"/>
        </w:rPr>
        <w:t>202</w:t>
      </w:r>
      <w:r w:rsidR="00CC5489">
        <w:rPr>
          <w:rFonts w:cs="Arial"/>
          <w:b/>
          <w:bCs/>
          <w:color w:val="000000" w:themeColor="text1"/>
          <w:sz w:val="28"/>
          <w:szCs w:val="28"/>
        </w:rPr>
        <w:t>3</w:t>
      </w:r>
    </w:p>
    <w:p w14:paraId="3168A19B" w14:textId="77777777" w:rsidR="007B35BE" w:rsidRPr="00781112" w:rsidRDefault="007B35BE" w:rsidP="007B35BE">
      <w:pPr>
        <w:autoSpaceDE w:val="0"/>
        <w:autoSpaceDN w:val="0"/>
        <w:adjustRightInd w:val="0"/>
        <w:spacing w:before="360"/>
        <w:jc w:val="center"/>
        <w:rPr>
          <w:rFonts w:cs="Arial"/>
          <w:b/>
          <w:bCs/>
          <w:color w:val="000000" w:themeColor="text1"/>
          <w:sz w:val="32"/>
          <w:szCs w:val="32"/>
        </w:rPr>
      </w:pPr>
      <w:r w:rsidRPr="00781112">
        <w:rPr>
          <w:rFonts w:cs="Arial"/>
          <w:b/>
          <w:bCs/>
          <w:color w:val="000000" w:themeColor="text1"/>
          <w:sz w:val="32"/>
          <w:szCs w:val="32"/>
        </w:rPr>
        <w:t>West Virginia</w:t>
      </w:r>
    </w:p>
    <w:p w14:paraId="160C9007"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noProof/>
          <w:color w:val="000000" w:themeColor="text1"/>
          <w:sz w:val="24"/>
          <w:szCs w:val="24"/>
        </w:rPr>
        <w:drawing>
          <wp:inline distT="0" distB="0" distL="0" distR="0" wp14:anchorId="135639EF" wp14:editId="6DF93301">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7AFE126A" w14:textId="38FB37D5"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PART B DUE February 3, 2025</w:t>
      </w:r>
    </w:p>
    <w:p w14:paraId="00155D5B" w14:textId="77777777" w:rsidR="007B35BE" w:rsidRPr="00781112" w:rsidRDefault="007B35BE" w:rsidP="007B35BE">
      <w:pPr>
        <w:autoSpaceDE w:val="0"/>
        <w:autoSpaceDN w:val="0"/>
        <w:adjustRightInd w:val="0"/>
        <w:spacing w:before="360"/>
        <w:jc w:val="center"/>
        <w:rPr>
          <w:rFonts w:cs="Arial"/>
          <w:b/>
          <w:bCs/>
          <w:color w:val="000000" w:themeColor="text1"/>
          <w:sz w:val="18"/>
          <w:szCs w:val="18"/>
        </w:rPr>
      </w:pPr>
      <w:r w:rsidRPr="00781112">
        <w:rPr>
          <w:rFonts w:cs="Arial"/>
          <w:b/>
          <w:bCs/>
          <w:color w:val="000000" w:themeColor="text1"/>
          <w:sz w:val="18"/>
          <w:szCs w:val="18"/>
        </w:rPr>
        <w:t>U.S. DEPARTMENT OF EDUCATION</w:t>
      </w:r>
    </w:p>
    <w:p w14:paraId="4EAB0E73" w14:textId="660D4F64" w:rsidR="007B35BE" w:rsidRPr="00781112" w:rsidRDefault="007B35BE" w:rsidP="007B35BE">
      <w:pPr>
        <w:jc w:val="center"/>
        <w:rPr>
          <w:rFonts w:cs="Arial"/>
          <w:b/>
          <w:bCs/>
          <w:color w:val="000000" w:themeColor="text1"/>
          <w:sz w:val="18"/>
          <w:szCs w:val="18"/>
        </w:rPr>
      </w:pPr>
      <w:r w:rsidRPr="00781112">
        <w:rPr>
          <w:rFonts w:cs="Arial"/>
          <w:b/>
          <w:bCs/>
          <w:color w:val="000000" w:themeColor="text1"/>
          <w:sz w:val="18"/>
          <w:szCs w:val="18"/>
        </w:rPr>
        <w:t>WASHINGTON, DC 20202</w:t>
      </w:r>
    </w:p>
    <w:p w14:paraId="27ABABDC" w14:textId="7FECEC69" w:rsidR="00AB39FB" w:rsidRPr="00781112" w:rsidRDefault="00AB39FB">
      <w:pPr>
        <w:spacing w:before="0" w:after="200" w:line="276" w:lineRule="auto"/>
        <w:rPr>
          <w:rFonts w:cs="Arial"/>
          <w:b/>
          <w:bCs/>
          <w:color w:val="000000" w:themeColor="text1"/>
          <w:sz w:val="18"/>
          <w:szCs w:val="18"/>
        </w:rPr>
      </w:pPr>
      <w:r w:rsidRPr="00781112">
        <w:rPr>
          <w:rFonts w:cs="Arial"/>
          <w:b/>
          <w:bCs/>
          <w:color w:val="000000" w:themeColor="text1"/>
          <w:sz w:val="18"/>
          <w:szCs w:val="18"/>
        </w:rPr>
        <w:br w:type="page"/>
      </w:r>
    </w:p>
    <w:p w14:paraId="3F368203" w14:textId="77777777" w:rsidR="00AB39FB" w:rsidRPr="00781112" w:rsidRDefault="00AB39FB" w:rsidP="007B35BE">
      <w:pPr>
        <w:jc w:val="center"/>
        <w:rPr>
          <w:rFonts w:cs="Arial"/>
          <w:b/>
          <w:bCs/>
          <w:color w:val="000000" w:themeColor="text1"/>
          <w:sz w:val="18"/>
          <w:szCs w:val="18"/>
        </w:rPr>
      </w:pPr>
    </w:p>
    <w:p w14:paraId="0E7D29A1" w14:textId="2C077CCB" w:rsidR="00AF5649" w:rsidRPr="00781112" w:rsidRDefault="00AF5649" w:rsidP="007D435F">
      <w:pPr>
        <w:pStyle w:val="Heading1"/>
        <w:rPr>
          <w:rFonts w:cs="Arial"/>
          <w:color w:val="000000" w:themeColor="text1"/>
          <w:szCs w:val="20"/>
        </w:rPr>
      </w:pPr>
      <w:r w:rsidRPr="00781112">
        <w:rPr>
          <w:rFonts w:cs="Arial"/>
          <w:color w:val="000000" w:themeColor="text1"/>
          <w:szCs w:val="20"/>
        </w:rPr>
        <w:t>Introduction</w:t>
      </w:r>
    </w:p>
    <w:p w14:paraId="5B9171B6" w14:textId="014DD19D" w:rsidR="007742F1" w:rsidRPr="002C274F" w:rsidRDefault="007742F1" w:rsidP="002C274F">
      <w:pPr>
        <w:rPr>
          <w:rFonts w:asciiTheme="majorHAnsi" w:hAnsiTheme="majorHAnsi"/>
          <w:b/>
          <w:bCs/>
          <w:sz w:val="20"/>
          <w:szCs w:val="20"/>
        </w:rPr>
      </w:pPr>
      <w:r w:rsidRPr="002C274F">
        <w:rPr>
          <w:b/>
          <w:bCs/>
          <w:sz w:val="20"/>
          <w:szCs w:val="20"/>
        </w:rPr>
        <w:t>Instructions</w:t>
      </w:r>
    </w:p>
    <w:p w14:paraId="696881EF" w14:textId="783B44AF" w:rsidR="00AA4DAF" w:rsidRPr="00781112" w:rsidRDefault="00AA4DAF" w:rsidP="00A84FF8">
      <w:pPr>
        <w:rPr>
          <w:rFonts w:cs="Arial"/>
          <w:color w:val="000000" w:themeColor="text1"/>
          <w:szCs w:val="16"/>
        </w:rPr>
      </w:pPr>
      <w:r w:rsidRPr="00781112">
        <w:rPr>
          <w:rFonts w:cs="Arial"/>
          <w:color w:val="000000" w:themeColor="text1"/>
          <w:szCs w:val="16"/>
          <w:shd w:val="clear" w:color="auto" w:fill="FFFFFF"/>
        </w:rPr>
        <w:t>Provide sufficient detail to ensure that the Secretary and the public are informed of and understand the State’s systems designed to drive improved results for students with disabilities and to ensure that the State Educational Agency (SEA) and Local Educational Agencies (LEAs) meet the requirements of IDEA Part B. This introduction must include descriptions of the State’s General Supervision System, Technical Assistance System, Professional Development System, Stakeholder Involvement, and Reporting to the Public.</w:t>
      </w:r>
    </w:p>
    <w:p w14:paraId="4A333302" w14:textId="1EA6D8FF" w:rsidR="007742F1" w:rsidRPr="00781112" w:rsidRDefault="00684B51" w:rsidP="008645AD">
      <w:pPr>
        <w:pStyle w:val="Heading2"/>
      </w:pPr>
      <w:r w:rsidRPr="00781112">
        <w:t xml:space="preserve">Intro - </w:t>
      </w:r>
      <w:r w:rsidR="007742F1" w:rsidRPr="00781112">
        <w:t>Indicator Data</w:t>
      </w:r>
    </w:p>
    <w:p w14:paraId="72B2C3E7" w14:textId="53819907" w:rsidR="00AF5649" w:rsidRPr="00781112" w:rsidRDefault="00AF5649" w:rsidP="004369B2">
      <w:pPr>
        <w:rPr>
          <w:color w:val="000000" w:themeColor="text1"/>
        </w:rPr>
      </w:pPr>
      <w:r w:rsidRPr="00781112">
        <w:rPr>
          <w:b/>
          <w:color w:val="000000" w:themeColor="text1"/>
        </w:rPr>
        <w:t xml:space="preserve">Executive Summary </w:t>
      </w:r>
    </w:p>
    <w:p w14:paraId="04B2974F" w14:textId="0DF01750" w:rsidR="000C24C2" w:rsidRPr="00781112" w:rsidRDefault="002B7490" w:rsidP="00AF5649">
      <w:pPr>
        <w:rPr>
          <w:rFonts w:cs="Arial"/>
          <w:color w:val="000000" w:themeColor="text1"/>
          <w:szCs w:val="16"/>
        </w:rPr>
      </w:pPr>
      <w:r w:rsidRPr="00781112">
        <w:rPr>
          <w:rFonts w:cs="Arial"/>
          <w:color w:val="000000" w:themeColor="text1"/>
          <w:szCs w:val="16"/>
        </w:rPr>
        <w:t xml:space="preserve">The West Virginia Department of Education (WVDE) is pleased to submit West Virginia's (WV) FFY 2023 Part B State Performance Plan (SPP) / Annual Performance Report (APR). This document outlines the state’s implementation of special education services as mandated by the Individuals with Disabilities Education Act (IDEA). WVDE’s Division of Federal Programs and Support, Office of Special Education (WVDE/OSE) ensures compliance with the provisions and requirements of the IDEA through the implementation of WVBE Policy 2419: Regulations for the Education of Students with Exceptionalities [https://wvde.state.wv.us/policies/]. </w:t>
      </w:r>
      <w:r w:rsidRPr="00781112">
        <w:rPr>
          <w:rFonts w:cs="Arial"/>
          <w:color w:val="000000" w:themeColor="text1"/>
          <w:szCs w:val="16"/>
        </w:rPr>
        <w:br/>
      </w:r>
      <w:r w:rsidRPr="00781112">
        <w:rPr>
          <w:rFonts w:cs="Arial"/>
          <w:color w:val="000000" w:themeColor="text1"/>
          <w:szCs w:val="16"/>
        </w:rPr>
        <w:br/>
        <w:t>WVDE/OSE is committed to continuous improvement in both IDEA compliance and improved educational and post-school outcomes for students with disabilities (SWD) statewide. Each initiative, communication, and intervention undertaken by the state educational agency (SEA) supports this mission. By establishing clear targets for each SPP/APR results indicator, WVDE/OSE creates a framework for assessing progress at all levels, from individual students to broader outcomes.</w:t>
      </w:r>
      <w:r w:rsidRPr="00781112">
        <w:rPr>
          <w:rFonts w:cs="Arial"/>
          <w:color w:val="000000" w:themeColor="text1"/>
          <w:szCs w:val="16"/>
        </w:rPr>
        <w:br/>
      </w:r>
      <w:r w:rsidRPr="00781112">
        <w:rPr>
          <w:rFonts w:cs="Arial"/>
          <w:color w:val="000000" w:themeColor="text1"/>
          <w:szCs w:val="16"/>
        </w:rPr>
        <w:br/>
        <w:t>In SY 2023-24, WVDE/OSE revised the SEA’s general supervision manual to be consistent with updated relevant state board policies and to better align with the contents of OSEP QA 23-01. This revision ensures that our practices are up-to-date and aligned with federal guidelines, further supporting our commitment to providing high-quality education for all SWDs. Additionally, WVDE/OSE updated the IDEA Part B Programmatic Monitoring Procedures manual to reflect the revisions to how the SEA monitors the implementation of IDEA by local educational agencies (LEAs).</w:t>
      </w:r>
      <w:r w:rsidRPr="00781112">
        <w:rPr>
          <w:rFonts w:cs="Arial"/>
          <w:color w:val="000000" w:themeColor="text1"/>
          <w:szCs w:val="16"/>
        </w:rPr>
        <w:br/>
      </w:r>
      <w:r w:rsidRPr="00781112">
        <w:rPr>
          <w:rFonts w:cs="Arial"/>
          <w:color w:val="000000" w:themeColor="text1"/>
          <w:szCs w:val="16"/>
        </w:rPr>
        <w:br/>
        <w:t>WVDE/OSE is a dedicated partner and resource for diverse stakeholders in providing a free appropriate public education (FAPE) for all SWDs, collaborating with parents, LEAs, schools, educators, administrators, and the community to ensure IDEA compliance. Extensive technical assistance and support is provided statewide to facilitate the implementation of effective practices and continuously improve educational outcomes for SWDs and their families.</w:t>
      </w:r>
      <w:r w:rsidRPr="00781112">
        <w:rPr>
          <w:rFonts w:cs="Arial"/>
          <w:color w:val="000000" w:themeColor="text1"/>
          <w:szCs w:val="16"/>
        </w:rPr>
        <w:br/>
      </w:r>
      <w:r w:rsidRPr="00781112">
        <w:rPr>
          <w:rFonts w:cs="Arial"/>
          <w:color w:val="000000" w:themeColor="text1"/>
          <w:szCs w:val="16"/>
        </w:rPr>
        <w:br/>
        <w:t>Data sources include the West Virginia Educational Information System (WVEIS), state monitoring, other state data systems, and documentation provided by LEAs. The WVDE/OSE regularly shares these data and works collaboratively with stakeholder groups to solicit input, gather feedback, analyze progress towards targets, and develop strategies for ongoing improvement.</w:t>
      </w:r>
    </w:p>
    <w:p w14:paraId="223A8781" w14:textId="77777777" w:rsidR="00757D21" w:rsidRPr="00781112" w:rsidRDefault="00757D21" w:rsidP="002536C1">
      <w:pPr>
        <w:rPr>
          <w:b/>
          <w:bCs/>
        </w:rPr>
      </w:pPr>
      <w:r w:rsidRPr="00781112">
        <w:rPr>
          <w:b/>
          <w:bCs/>
        </w:rPr>
        <w:t>Additional information related to data collection and reporting</w:t>
      </w:r>
    </w:p>
    <w:p w14:paraId="614EAC72" w14:textId="596641E7" w:rsidR="00757D21" w:rsidRPr="00781112" w:rsidRDefault="00757D21">
      <w:pPr>
        <w:rPr>
          <w:b/>
          <w:color w:val="000000" w:themeColor="text1"/>
        </w:rPr>
      </w:pPr>
      <w:r w:rsidRPr="00781112">
        <w:rPr>
          <w:color w:val="000000" w:themeColor="text1"/>
        </w:rPr>
        <w:t>The data reported in this APR are primarily from SY 2023-24, reflecting the most recent performance of WV’s special education programs. However, data from SY 2022-23 are reported for Indicators 1, 2, 4A, 4B, and 18 due to specific federal requirements associated with these indicators.</w:t>
      </w:r>
    </w:p>
    <w:p w14:paraId="4ADBDC7F" w14:textId="2CA8C307" w:rsidR="00C01339" w:rsidRPr="00781112" w:rsidRDefault="00AF5649">
      <w:pPr>
        <w:rPr>
          <w:b/>
          <w:color w:val="000000" w:themeColor="text1"/>
        </w:rPr>
      </w:pPr>
      <w:r w:rsidRPr="00781112">
        <w:rPr>
          <w:b/>
          <w:color w:val="000000" w:themeColor="text1"/>
        </w:rPr>
        <w:t xml:space="preserve">Number of Districts in your State/Territory during reporting year </w:t>
      </w:r>
    </w:p>
    <w:p w14:paraId="36C38539" w14:textId="1E194795" w:rsidR="00AF5649" w:rsidRPr="00781112" w:rsidRDefault="002B7490" w:rsidP="004369B2">
      <w:pPr>
        <w:rPr>
          <w:color w:val="000000" w:themeColor="text1"/>
        </w:rPr>
      </w:pPr>
      <w:r w:rsidRPr="00781112">
        <w:rPr>
          <w:color w:val="000000" w:themeColor="text1"/>
        </w:rPr>
        <w:t>62</w:t>
      </w:r>
    </w:p>
    <w:p w14:paraId="785B8E3E" w14:textId="5E29FFD5" w:rsidR="00AF5649" w:rsidRPr="00781112" w:rsidRDefault="00AF5649" w:rsidP="004369B2">
      <w:pPr>
        <w:rPr>
          <w:color w:val="000000" w:themeColor="text1"/>
        </w:rPr>
      </w:pPr>
      <w:r w:rsidRPr="00781112">
        <w:rPr>
          <w:b/>
          <w:color w:val="000000" w:themeColor="text1"/>
        </w:rPr>
        <w:t>General Supervision System:</w:t>
      </w:r>
    </w:p>
    <w:p w14:paraId="626FCC62" w14:textId="55F0525C" w:rsidR="00731910" w:rsidRPr="00781112" w:rsidRDefault="004A7084" w:rsidP="00AF5649">
      <w:pPr>
        <w:rPr>
          <w:rFonts w:cs="Arial"/>
          <w:b/>
          <w:color w:val="000000" w:themeColor="text1"/>
          <w:szCs w:val="16"/>
        </w:rPr>
      </w:pPr>
      <w:r w:rsidRPr="00BA3DBE">
        <w:rPr>
          <w:b/>
          <w:bCs/>
        </w:rPr>
        <w:t xml:space="preserve">The systems that are in place to ensure that the IDEA Part B requirements are met (e.g., integrated monitoring activities; data on processes and results; the SPP/APR; fiscal management; policies, procedures, and practices resulting in effective implementation; and improvement, correction, incentives, and sanctions). </w:t>
      </w:r>
      <w:r w:rsidR="00256572" w:rsidRPr="006A35F9">
        <w:rPr>
          <w:b/>
          <w:bCs/>
          <w:szCs w:val="16"/>
        </w:rPr>
        <w:t>Include a description of all the mechanisms the State uses to identify and verify correction of noncompliance and improve results. This should include, but not be limited to, State monitoring, State database/data system, dispute resolution, fiscal management systems as well as other mechanisms through which the State is able to determine compliance and/or issue written findings of noncompliance. The State should include the following elements:</w:t>
      </w:r>
    </w:p>
    <w:p w14:paraId="6ED4E205" w14:textId="2E339254" w:rsidR="00256572" w:rsidRPr="00680744" w:rsidRDefault="00256572" w:rsidP="00680744">
      <w:pPr>
        <w:rPr>
          <w:b/>
          <w:bCs/>
        </w:rPr>
      </w:pPr>
      <w:r w:rsidRPr="00680744">
        <w:rPr>
          <w:b/>
          <w:bCs/>
        </w:rPr>
        <w:t>Describe the process the State uses to select LEAs for monitoring, the schedule, and number of LEAs monitored per year.</w:t>
      </w:r>
    </w:p>
    <w:p w14:paraId="77EFC6FC" w14:textId="1967493C" w:rsidR="00256572" w:rsidRPr="00A964C2" w:rsidRDefault="00256572" w:rsidP="00680744">
      <w:pPr>
        <w:rPr>
          <w:bCs/>
        </w:rPr>
      </w:pPr>
      <w:r w:rsidRPr="00A964C2">
        <w:rPr>
          <w:bCs/>
        </w:rPr>
        <w:t>LEA SELECTION FOR MONITORING, SCHEDULE, &amp; NUMBER OF LEAs MONITORED PER YEAR</w:t>
      </w:r>
      <w:r w:rsidRPr="00A964C2">
        <w:rPr>
          <w:bCs/>
        </w:rPr>
        <w:br/>
        <w:t>— The WVDE/OSE uses a structured process to select LEAs for on-site monitoring, supporting a systematic and efficient approach. Each LEA is monitored at least once every four years, with additional reviews when needed, to ensure sustained compliance and improvement. The cyclical monitoring schedule is developed by special education monitoring staff and is based on the population of students with disabilities (SWDs) in each LEA and how long each LEA has been in operation. Regional factors are also considered to minimize excess state spending. For example, two LEAs within close proximity may be monitored in the same week, reducing the need for multiple trips to the same geographic area. Public charter schools are incorporated into the monitoring cycle starting the year after they become operational, ensuring they receive timely oversight and support. Currently, between 14 and 17 LEAs are monitored each year.</w:t>
      </w:r>
      <w:r w:rsidRPr="00A964C2">
        <w:rPr>
          <w:bCs/>
        </w:rPr>
        <w:br/>
      </w:r>
      <w:r w:rsidRPr="00A964C2">
        <w:rPr>
          <w:bCs/>
        </w:rPr>
        <w:br/>
        <w:t>INTEGRATED MONITORING</w:t>
      </w:r>
      <w:r w:rsidRPr="00A964C2">
        <w:rPr>
          <w:bCs/>
        </w:rPr>
        <w:br/>
        <w:t>— The cyclical monitoring process begins with a pre-visit desk audit, during which WVDE/OSE reviews selected student files and LEA documents related to special education, such as IEPs, finances, staffing, parent surveys, and policies. This initial review provides insights into the LEA's special education practices. Following the desk audit, an entrance conference is held virtually in which the LEA provides a presentation of the progress on its Targeted Systemic Improvement Plan (TSIP) developed based upon at least one area of weakness identified on the Annual Desk Audit (ADA). This provides a focus on results prior to the on-site review. During the subsequent onsite review WVDE/OSE gathers diverse perspectives and data through interviews, classroom observations, and focus groups with educators and students. This comprehensive process assesses instructional practices, student engagement, and accessibility, while identifying potential issues or concerns. After the on-site review, the SEA issues a comprehensive report detailing required corrections for any individual or systemic findings of noncompliance. The report also includes recommendations for best practices to improve the implementation of special education programs. Through this thorough monitoring process, WVDE/OSE ensures that LEAs maintain compliance with special education requirements and continuously improve their practices.</w:t>
      </w:r>
      <w:r w:rsidRPr="00A964C2">
        <w:rPr>
          <w:bCs/>
        </w:rPr>
        <w:br/>
        <w:t xml:space="preserve">— In SY 2023-24, the compliance monitoring team introduced the Cyclical Corrections Tracking Sheet (CCTS), which is provided to all LEAs along with their monitoring report. The CCTS offers a user-friendly view of the required corrections and a real-time tracking system, allowing LEAs to see which items have been corrected and which still need attention within the one-year timeline. LEAs receive read-only access to this spreadsheet, which contains the entirety of their Compliance Monitoring Report. Additionally, LEAs are provided with a slide deck that breaks down their specific areas of systemic </w:t>
      </w:r>
      <w:r w:rsidRPr="00A964C2">
        <w:rPr>
          <w:bCs/>
        </w:rPr>
        <w:lastRenderedPageBreak/>
        <w:t>noncompliance and outlines how these should be corrected. This presentation can be shared with staff at their discretion as support and technical assistance. Further, classroom observations were expanded with a strong focus on the quality of instruction and its impact on SWDs. Teachers were required to have lesson plans and accommodation logs available in either paper or electronic form for review by monitors.</w:t>
      </w:r>
      <w:r w:rsidRPr="00A964C2">
        <w:rPr>
          <w:bCs/>
        </w:rPr>
        <w:br/>
        <w:t>Pre-K monitoring was integrated into the cyclical monitoring process, with WVDE/OSE’s Section 619 Coordinator completing Pre-K file reviews and conducting concurrent on-site visits to reduce the likelihood of multiple visits from the WVDE. The transition file review was detached from the cyclical monitoring process, an administrative finding, “AF10: Timely and Accurate,” was added, and the dissemination of the LEA Compliance Monitoring Report was changed from 60 days to within three months to align with OSEP QA 23-01.</w:t>
      </w:r>
      <w:r w:rsidRPr="00A964C2">
        <w:rPr>
          <w:bCs/>
        </w:rPr>
        <w:br/>
      </w:r>
      <w:r w:rsidRPr="00A964C2">
        <w:rPr>
          <w:bCs/>
        </w:rPr>
        <w:br/>
        <w:t>FISCAL MANAGEMENT</w:t>
      </w:r>
      <w:r w:rsidRPr="00A964C2">
        <w:rPr>
          <w:bCs/>
        </w:rPr>
        <w:br/>
        <w:t>— WVDE implements thorough procedures to manage and monitor IDEA funds, ensuring they support special education effectively. The process starts with reviewing and approving LEA funding applications through the Grants and Planning System (GPS) and continues with grant awards which specify fund purposes and required assurances. Budget revisions are also reviewed through WVEIS Budget Revision Requests, and periodic reviews of LEA financial reports are conducted for expenditure alignment with approved budgets. The WVDE monitors expenditure spending levels and notifies subgrantees to ensure timely spending. LEAs conduct self-assessments and are complemented by SEA staff monitoring depending upon the SEA’s risk assessment of the subrecipient. A risk-based matrix is used for differentiated monitoring to ensure compliance and effective fiscal management, ultimately supporting improved outcomes for SWDs.</w:t>
      </w:r>
      <w:r w:rsidRPr="00A964C2">
        <w:rPr>
          <w:bCs/>
        </w:rPr>
        <w:br/>
      </w:r>
      <w:r w:rsidRPr="00A964C2">
        <w:rPr>
          <w:bCs/>
        </w:rPr>
        <w:br/>
        <w:t>SUSTAINING COMPLIANCE &amp; IMPROVEMENT</w:t>
      </w:r>
      <w:r w:rsidRPr="00A964C2">
        <w:rPr>
          <w:bCs/>
        </w:rPr>
        <w:br/>
        <w:t xml:space="preserve">— The system of graduated and progressive sanctions WVDE/OSE uses to ensure the correction of identified noncompliance and to address areas in need of improvement are described in a later section of this Introduction. </w:t>
      </w:r>
      <w:r w:rsidRPr="00A964C2">
        <w:rPr>
          <w:bCs/>
        </w:rPr>
        <w:br/>
      </w:r>
      <w:r w:rsidRPr="00A964C2">
        <w:rPr>
          <w:bCs/>
        </w:rPr>
        <w:br/>
        <w:t>IMPLEMENTATION OF POLICIES &amp; PROCEDURES</w:t>
      </w:r>
      <w:r w:rsidRPr="00A964C2">
        <w:rPr>
          <w:bCs/>
        </w:rPr>
        <w:br/>
        <w:t>— West Virginia's special education policies and procedures ensure compliance with 34 C.F.R. §§ 300.101 through 300.176, supporting both state and local implementation of the IDEA. Agencies responsible for providing special education and related services, including LEAs, private schools, correctional facilities, and out-of-state placements, must adhere to these policies and federal regulations. The West Virginia Board of Education (WVBE) has established specific procedures for implementing Part B of the IDEA through WVBE Policy 2419, which includes the West Virginia Procedures Manual for the Education of Students with Exceptionalities. This policy outlines the requirements LEAs must follow to receive federal IDEA funds. The State Education Agency (SEA) develops policies and procedures with input from a broad stakeholder group, including the IDEA Part B State Advisory Panel, known as the West Virginia Advisory Council for the Education of Exceptional Children (WVACEEC). This council advises the SEA on special education issues and is funded through a grant utilizing IDEA set-aside funds. Members, appointed by the state superintendent, represent various stakeholders, including parents, individuals with disabilities, educators, administrators, individuals from other state agencies, higher education, advocacy agencies, and general education partners at the SEA.</w:t>
      </w:r>
      <w:r w:rsidRPr="00A964C2">
        <w:rPr>
          <w:bCs/>
        </w:rPr>
        <w:br/>
      </w:r>
      <w:r w:rsidRPr="00A964C2">
        <w:rPr>
          <w:bCs/>
        </w:rPr>
        <w:br/>
        <w:t>DATA ON PROCESSES AND RESULTS &amp; SPP/APR</w:t>
      </w:r>
      <w:r w:rsidRPr="00A964C2">
        <w:rPr>
          <w:bCs/>
        </w:rPr>
        <w:br/>
        <w:t>(Described in a later section of this Introduction.)</w:t>
      </w:r>
      <w:r w:rsidRPr="00A964C2">
        <w:rPr>
          <w:bCs/>
        </w:rPr>
        <w:br/>
      </w:r>
      <w:r w:rsidRPr="00A964C2">
        <w:rPr>
          <w:bCs/>
        </w:rPr>
        <w:br/>
        <w:t>TECHNICAL ASSISTANCE &amp; PROFESSIONAL DEVELOPMENT</w:t>
      </w:r>
      <w:r w:rsidRPr="00A964C2">
        <w:rPr>
          <w:bCs/>
        </w:rPr>
        <w:br/>
        <w:t>(Described in a later section of this Introduction.)</w:t>
      </w:r>
      <w:r w:rsidRPr="00A964C2">
        <w:rPr>
          <w:bCs/>
        </w:rPr>
        <w:br/>
      </w:r>
      <w:r w:rsidRPr="00A964C2">
        <w:rPr>
          <w:bCs/>
        </w:rPr>
        <w:br/>
        <w:t>DISPUTE RESOLUTION</w:t>
      </w:r>
      <w:r w:rsidRPr="00A964C2">
        <w:rPr>
          <w:bCs/>
        </w:rPr>
        <w:br/>
        <w:t>— To help resolve disagreements about special education issues, WVDE/OSE offers a comprehensive range of IDEA-mandated dispute resolution options. These options enable parents/guardians, adult students, and LEAs to find mutually acceptable solutions that comply with state and federal laws. For early conflict prevention, WVDE/OSE also provides a facilitated IEP team meeting option, utilizing trained, impartial facilitators to guide the IEP process. This ensures that the input and concerns of all IEP team members are meaningfully considered as the team works toward consensus. Written, formal state complaints address alleged violations by LEAs, with the possibility of early resolution through voluntary local conferences. Mediation, facilitated by a neutral mediator, serves as a confidential, non-adversarial option for resolving any IDEA-related disputes. Due process complaints offer a formal avenue for addressing concerns about student identification, evaluation, placement, or the provision of FAPE. These complaints are conducted by impartial hearing officers and result in binding decisions, with appeal rights reserved for state or federal courts.</w:t>
      </w:r>
    </w:p>
    <w:p w14:paraId="44B1A469" w14:textId="63AD8ACD" w:rsidR="00256572" w:rsidRPr="00680744" w:rsidRDefault="00256572" w:rsidP="00680744">
      <w:pPr>
        <w:rPr>
          <w:b/>
          <w:bCs/>
        </w:rPr>
      </w:pPr>
      <w:r w:rsidRPr="00680744">
        <w:rPr>
          <w:b/>
          <w:bCs/>
        </w:rPr>
        <w:t>Describe how student files are chosen, including the number of student files that are selected, as part of the State’s process for determining an LEA’s compliance with IDEA requirements and verifying the LEA’s correction of any identified compliance.</w:t>
      </w:r>
    </w:p>
    <w:p w14:paraId="6DFD3B84" w14:textId="3A7AA03B" w:rsidR="00256572" w:rsidRPr="00A964C2" w:rsidRDefault="00256572" w:rsidP="00680744">
      <w:pPr>
        <w:rPr>
          <w:bCs/>
        </w:rPr>
      </w:pPr>
      <w:r w:rsidRPr="00A964C2">
        <w:rPr>
          <w:bCs/>
        </w:rPr>
        <w:t>MONITORING &amp; ACCOUNTABILITY</w:t>
      </w:r>
      <w:r w:rsidRPr="00A964C2">
        <w:rPr>
          <w:bCs/>
        </w:rPr>
        <w:br/>
        <w:t>— WVDE/OSE’s process for determining an LEA’s compliance with IDEA requirements involves a systematic review of student files. The special education monitoring team conducts these reviews by randomly selecting student files based on the size of SWD enrollment, as outlined in the WVDE/OSE’s IDEA Part B Programmatic Monitoring Procedures manual [link: https://wvde.us/wp-content/uploads/2024/01/29588-IDEA-Part-B-Programmatic-Monitoring-Procedures-v1.pdf].</w:t>
      </w:r>
      <w:r w:rsidRPr="00A964C2">
        <w:rPr>
          <w:bCs/>
        </w:rPr>
        <w:br/>
        <w:t>— Student files are chosen as part of the State’s process for determining an LEA’s compliance with IDEA requirements and verifying the correction of any identified noncompliance. The special education monitoring team randomly selects student files for review to ensure an unbiased evaluation. The IEPs reviewed are the most current as of the date of the notification letter sent to the LEA. LEAs must upload specific documentation for each selected IEP, including meeting notices, signed attendance pages, signed prior written notices, eligibility committee documentation, and any other relevant documents. This process ensures a comprehensive and fair assessment of the LEA’s compliance with IDEA requirements and helps verify the correction of any identified noncompliance.</w:t>
      </w:r>
      <w:r w:rsidRPr="00A964C2">
        <w:rPr>
          <w:bCs/>
        </w:rPr>
        <w:br/>
      </w:r>
      <w:r w:rsidRPr="00A964C2">
        <w:rPr>
          <w:bCs/>
        </w:rPr>
        <w:br/>
        <w:t>The number of student files selected for review is determined by the size of the student enrollment in the district. For districts with an enrollment of:</w:t>
      </w:r>
      <w:r w:rsidRPr="00A964C2">
        <w:rPr>
          <w:bCs/>
        </w:rPr>
        <w:br/>
        <w:t>— 0-1500 SWDs, 15 general IEP files, 10 transition files, up to 10 discipline files, and 5 summary of performance files are reviewed.</w:t>
      </w:r>
      <w:r w:rsidRPr="00A964C2">
        <w:rPr>
          <w:bCs/>
        </w:rPr>
        <w:br/>
        <w:t>— 1501-3000 SWDs, 20 general IEP files, 15 transition files, up to 10 discipline files, and 5 summary of performance files are reviewed.</w:t>
      </w:r>
      <w:r w:rsidRPr="00A964C2">
        <w:rPr>
          <w:bCs/>
        </w:rPr>
        <w:br/>
        <w:t>— 3001-4500 SWDs, 25 general IEP files, 20 transition files, up to 10 discipline files, and 5 summary of performance files are reviewed.</w:t>
      </w:r>
      <w:r w:rsidRPr="00A964C2">
        <w:rPr>
          <w:bCs/>
        </w:rPr>
        <w:br/>
      </w:r>
      <w:r w:rsidRPr="00A964C2">
        <w:rPr>
          <w:bCs/>
        </w:rPr>
        <w:br/>
        <w:t>INDICATORS 4A &amp; 4B</w:t>
      </w:r>
      <w:r w:rsidRPr="00A964C2">
        <w:rPr>
          <w:bCs/>
        </w:rPr>
        <w:br/>
        <w:t>— Following the identification of one or more LEAs with significant discrepancies (by race/ethnicity for 4B) in suspensions or expulsions of SWDs for more than 10 days in a school year, WVDE/OSE conducts an on-site review. This review focuses on the LEA's policies, procedures, and practices related to the development and implementation of IEPs, the use of Positive Behavioral Interventions and Supports (PBIS), and procedural safeguards. For the selection of student files, up to ten student files per LEA are chosen for review (per race/ethnicity category that was identified with a significant discrepancy for 4B). The selected files provide a reasonable sample from diverse school settings to ensure a comprehensive review. Each selected file is thoroughly examined using a dedicated checklist to assess compliance with IDEA requirements.</w:t>
      </w:r>
      <w:r w:rsidRPr="00A964C2">
        <w:rPr>
          <w:bCs/>
        </w:rPr>
        <w:br/>
      </w:r>
      <w:r w:rsidRPr="00A964C2">
        <w:rPr>
          <w:bCs/>
        </w:rPr>
        <w:br/>
        <w:t>INDICATORS 9 &amp; 10</w:t>
      </w:r>
      <w:r w:rsidRPr="00A964C2">
        <w:rPr>
          <w:bCs/>
        </w:rPr>
        <w:br/>
        <w:t xml:space="preserve">— Following the identification of disproportionate representation in one or more LEAs for one or more racial/ethnic groups in special education or in a </w:t>
      </w:r>
      <w:r w:rsidRPr="00A964C2">
        <w:rPr>
          <w:bCs/>
        </w:rPr>
        <w:lastRenderedPageBreak/>
        <w:t>specific disability category, a comprehensive file review process is conducted to assess the LEA’s adherence to West Virginia Board of Education (WVBE) Policy 2419: Regulations for the Education of Students with Exceptionalities, particularly within the pre-referral, intervention, multidisciplinary evaluation, and eligibility determination processes, to determine potential factors contributing to the observed disproportionate representation. For the selection of student files, up to ten student files are reviewed following a pre-defined protocol to ensure a representative sample from diverse school settings. Files with recent eligibility committee determinations, whether initial or reevaluation, are prioritized. Redundancy is avoided by excluding files reviewed in a previous self-assessment cycle.</w:t>
      </w:r>
      <w:r w:rsidRPr="00A964C2">
        <w:rPr>
          <w:bCs/>
        </w:rPr>
        <w:br/>
      </w:r>
      <w:r w:rsidRPr="00A964C2">
        <w:rPr>
          <w:bCs/>
        </w:rPr>
        <w:br/>
        <w:t>INDICATOR 11</w:t>
      </w:r>
      <w:r w:rsidRPr="00A964C2">
        <w:rPr>
          <w:bCs/>
        </w:rPr>
        <w:br/>
        <w:t>— The data for Indicator 11 is sourced from a state database that includes information for the entire reporting year. The Initial Evaluation (INI.EVAL) application within WVEIS summarizes live Child Find data for each LEA and includes several types of custom reports that the SEA and LEA can use for monitoring and review. Each LEA reviews initial evaluation data for all referrals and submits three progress reports through the INI.EVAL application in December, March, and June of each school year. Each LEA also reviews and submits a final report for the previous school year that contains student-level data for initial evaluation consents received from July 1st through June 30th. This final report is submitted for the appropriate SPP/APR reporting period.</w:t>
      </w:r>
      <w:r w:rsidRPr="00A964C2">
        <w:rPr>
          <w:bCs/>
        </w:rPr>
        <w:br/>
      </w:r>
      <w:r w:rsidRPr="00A964C2">
        <w:rPr>
          <w:bCs/>
        </w:rPr>
        <w:br/>
        <w:t>INDICATOR 12</w:t>
      </w:r>
      <w:r w:rsidRPr="00A964C2">
        <w:rPr>
          <w:bCs/>
        </w:rPr>
        <w:br/>
        <w:t xml:space="preserve">— The data for this indicator is sourced from a state database that includes information for the entire reporting year. The lead agency for Part C, WV Birth to Three (WVBTT), collaborates with WVDE to ensure compliance with Part C to Part B transition requirements. LEAs maintain referral dates, eligibility status, and IEP dates in WVEIS. Data are extracted annually and verified for compliance. Child Notification Forms are sent to each LEA six months before a child turns three, and LEA representatives contact families to discuss potential services. The forms are then returned to WVDE for data entry, verification, and follow-up. An online email portal allows for the direct upload and transmission of Child Notification forms. </w:t>
      </w:r>
      <w:r w:rsidRPr="00A964C2">
        <w:rPr>
          <w:bCs/>
        </w:rPr>
        <w:br/>
      </w:r>
      <w:r w:rsidRPr="00A964C2">
        <w:rPr>
          <w:bCs/>
        </w:rPr>
        <w:br/>
        <w:t>INDICATOR 13</w:t>
      </w:r>
      <w:r w:rsidRPr="00A964C2">
        <w:rPr>
          <w:bCs/>
        </w:rPr>
        <w:br/>
        <w:t xml:space="preserve">— WVDE/OSE collects data for this indicator through state monitoring, which includes cyclical, differentiated, risk-based, focused, and special circumstance monitoring. The most common source of data is the cyclical monitoring process, which ensures that every LEA receives an on-site visit at least once every four years. Using the statewide online IEP system, WVDE/OSE randomly reviews IEP/secondary transition plans for students ages 14-21. The review follows a checklist to verify compliance with secondary transition requirements, including measurable postsecondary goals, transition services, and annual goals related to the student's transition needs. </w:t>
      </w:r>
      <w:r w:rsidRPr="00A964C2">
        <w:rPr>
          <w:bCs/>
        </w:rPr>
        <w:br/>
      </w:r>
      <w:r w:rsidRPr="00A964C2">
        <w:rPr>
          <w:bCs/>
        </w:rPr>
        <w:br/>
        <w:t>To verify correction of noncompliance, the WVDE/OSE confirms that the LEA fulfills the following conditions:</w:t>
      </w:r>
      <w:r w:rsidRPr="00A964C2">
        <w:rPr>
          <w:bCs/>
        </w:rPr>
        <w:br/>
        <w:t xml:space="preserve">— The LEA is effectively implementing the specific regulatory requirements, achieving 100 percent compliance with the relevant IDEA requirements (i.e., systemic compliance). This is assessed through a review of updated data and information, including data collected through integrated monitoring activities or the West Virginia Education Information System (WVEIS), the State’s student information system. The evidence required to demonstrate an LEA’s correct implementation of the regulatory requirements varies depending on the regulation(s) or compliance indicator(s) in consideration. Readers are encouraged to view the relevant sections for each compliance indicator in the SPP/APR for information on how this is accomplished. </w:t>
      </w:r>
      <w:r w:rsidRPr="00A964C2">
        <w:rPr>
          <w:bCs/>
        </w:rPr>
        <w:br/>
        <w:t>— In cases of student-specific noncompliance, the LEA ensures that each individual case is corrected (not a subset or sample) by reviewing previously noncompliant files, records, data files, or any data source used to identify the original noncompliance, except for situations in which the student is no longer under the jurisdiction of the LEA. Additionally, no outstanding corrective action should exist under a State complaint or due process hearing decision for the student.</w:t>
      </w:r>
    </w:p>
    <w:p w14:paraId="26E11BF5" w14:textId="77777777" w:rsidR="00256572" w:rsidRPr="00680744" w:rsidRDefault="00256572" w:rsidP="00680744">
      <w:pPr>
        <w:rPr>
          <w:b/>
          <w:bCs/>
        </w:rPr>
      </w:pPr>
      <w:r w:rsidRPr="00680744">
        <w:rPr>
          <w:b/>
          <w:bCs/>
        </w:rPr>
        <w:t xml:space="preserve">Describe the data system(s) the State uses to collect monitoring and SPP/APR data, and the period from which records are reviewed.  </w:t>
      </w:r>
    </w:p>
    <w:p w14:paraId="24FA5A26" w14:textId="06547BBE" w:rsidR="00256572" w:rsidRPr="00A964C2" w:rsidRDefault="00256572" w:rsidP="00680744">
      <w:pPr>
        <w:rPr>
          <w:bCs/>
        </w:rPr>
      </w:pPr>
      <w:r w:rsidRPr="00A964C2">
        <w:rPr>
          <w:bCs/>
        </w:rPr>
        <w:t>DATA SYSTEMS</w:t>
      </w:r>
      <w:r w:rsidRPr="00A964C2">
        <w:rPr>
          <w:bCs/>
        </w:rPr>
        <w:br/>
        <w:t xml:space="preserve">The West Virginia Education Information System (WVEIS) is West Virginia’s state longitudinal data system. Secure WVEIS servers store education records and information from the time the data are entered by school personnel. Data tools such as ZoomWV use the information already stored in WVEIS and make it available in secure, aggregate public reports. All data are certified for validity and accuracy before they are made available through ZoomWV. </w:t>
      </w:r>
      <w:r w:rsidRPr="00A964C2">
        <w:rPr>
          <w:bCs/>
        </w:rPr>
        <w:br/>
        <w:t xml:space="preserve">— Data for Indicators 1, 2, 4A, 4B, 5, 6, 9, 10, 11, 12, and 13 are obtained from WVEIS. In addition to data obtained through WVEIS, data for other monitoring events (e.g., cyclical monitoring) include student file reviews, desk reviews, and on-site monitoring activities. </w:t>
      </w:r>
      <w:r w:rsidRPr="00A964C2">
        <w:rPr>
          <w:bCs/>
        </w:rPr>
        <w:br/>
      </w:r>
      <w:r w:rsidRPr="00A964C2">
        <w:rPr>
          <w:bCs/>
        </w:rPr>
        <w:br/>
        <w:t>WVDE/OSE uses an Annual Desk Audit (ADA) to collect monitoring and SPP/APR data at the LEA level. This electronic, data-driven system links monitoring, determinations, and improvement planning. The ADA addresses both performance and compliance indicators, with state targets defined by the SPP/APR. LEAs not meeting these targets must develop a targeted systemic improvement plan (TSIP).</w:t>
      </w:r>
      <w:r w:rsidRPr="00A964C2">
        <w:rPr>
          <w:bCs/>
        </w:rPr>
        <w:br/>
      </w:r>
      <w:r w:rsidRPr="00A964C2">
        <w:rPr>
          <w:bCs/>
        </w:rPr>
        <w:br/>
        <w:t>The Early Learning Reporting System (ELRS) is the online platform where all child assessment data for Pre-K, Kindergarten, First Grade and Second Grade students are maintained. Program data includes school and classroom data, annual WV Universal Pre-K Health and Safety Checklist results, and county collaborative early childhood core team member information. Child assessment data include child assessment checkpoints and Child Outcomes Summary (COS) for Pre-K special education reporting requirements. Through data input, the ELRS provides output reports for individual child support and instruction, classroom, school, and program continuous quality improvement planning.</w:t>
      </w:r>
      <w:r w:rsidRPr="00A964C2">
        <w:rPr>
          <w:bCs/>
        </w:rPr>
        <w:br/>
        <w:t>— Data for Indicator 7 are obtained from the ELRS.</w:t>
      </w:r>
      <w:r w:rsidRPr="00A964C2">
        <w:rPr>
          <w:bCs/>
        </w:rPr>
        <w:br/>
      </w:r>
      <w:r w:rsidRPr="00A964C2">
        <w:rPr>
          <w:bCs/>
        </w:rPr>
        <w:br/>
        <w:t>WVDE/Office of Assessment collaborates with test vendors to provide the WV general summative assessment for grades three through eight, the alternate summative assessment for grades three through eight and 11, and the 11th grade SAT School Day assessment. WVDE and the vendors securely share data electronically. At the end of the assessment window, WVDE integrates assessment data into WVEIS. The vendor’s tools and WVEIS provide schools and LEA administrators with the ability to track students’ progress longitudinally.</w:t>
      </w:r>
      <w:r w:rsidRPr="00A964C2">
        <w:rPr>
          <w:bCs/>
        </w:rPr>
        <w:br/>
      </w:r>
      <w:r w:rsidRPr="00A964C2">
        <w:rPr>
          <w:bCs/>
        </w:rPr>
        <w:br/>
        <w:t>WVDE/OSE uses a comprehensive data system to collect data related to Indicator 8: Parent Involvement. This system involves conducting a Parent Involvement Survey over three-year cycles, targeting parents or guardians of students within designated cohorts. The WVDE/OSE and the Vendor securely share data electronically as Excel documents, and reports are provided as Word or PDF documents. The data collection period for each cohort compares the current year's data to the same cohort's data from three years prior. This process ensures a thorough assessment of parent involvement in special education services across the state.</w:t>
      </w:r>
      <w:r w:rsidRPr="00A964C2">
        <w:rPr>
          <w:bCs/>
        </w:rPr>
        <w:br/>
      </w:r>
      <w:r w:rsidRPr="00A964C2">
        <w:rPr>
          <w:bCs/>
        </w:rPr>
        <w:br/>
        <w:t>For Indicator 14, the WVEIS database is used to gather the certified special education exit list for each LEA. This list of eligible survey respondents is sent to the LEAs and stored in their secured folder on Microsoft Teams. Responses to the survey are entered online at wvde.us/special-education/surveys and stored in a secure database. Responses are downloaded for analysis using a secure weblink. LEAs can track submissions using a specialized application in WVEIS.</w:t>
      </w:r>
      <w:r w:rsidRPr="00A964C2">
        <w:rPr>
          <w:bCs/>
        </w:rPr>
        <w:br/>
      </w:r>
      <w:r w:rsidRPr="00A964C2">
        <w:rPr>
          <w:bCs/>
        </w:rPr>
        <w:br/>
        <w:t>WVDE/OSE uses the Office of Special Programs (OSP) Data Management System to collect and track dispute resolution data used for federal reporting. This system handles various types of dispute resolution activities, including:</w:t>
      </w:r>
      <w:r w:rsidRPr="00A964C2">
        <w:rPr>
          <w:bCs/>
        </w:rPr>
        <w:br/>
      </w:r>
      <w:r w:rsidRPr="00A964C2">
        <w:rPr>
          <w:bCs/>
        </w:rPr>
        <w:lastRenderedPageBreak/>
        <w:t>— Formal Written State Complaints: Documenting and managing complaints filed by parents, guardians, or other stakeholders regarding special education processes.</w:t>
      </w:r>
      <w:r w:rsidRPr="00A964C2">
        <w:rPr>
          <w:bCs/>
        </w:rPr>
        <w:br/>
        <w:t>— Due Process Complaints Tracking the procedural steps and outcomes of due process complaints and hearings , which are formal legal proceedings used to resolve disputes between parents and schools.</w:t>
      </w:r>
      <w:r w:rsidRPr="00A964C2">
        <w:rPr>
          <w:bCs/>
        </w:rPr>
        <w:br/>
        <w:t>— Mediation Requests: Recording and monitoring requests for mediation, a voluntary process where a neutral third party helps resolve disputes between parents and schools.</w:t>
      </w:r>
      <w:r w:rsidRPr="00A964C2">
        <w:rPr>
          <w:bCs/>
        </w:rPr>
        <w:br/>
        <w:t>The OSP Data Management System ensures that all dispute resolution activities are systematically documented, allowing for efficient management and analysis of the data. This helps the Office of Special Education to maintain compliance with state and federal regulations and to address any issues promptly and effectively.</w:t>
      </w:r>
      <w:r w:rsidRPr="00A964C2">
        <w:rPr>
          <w:bCs/>
        </w:rPr>
        <w:br/>
      </w:r>
      <w:r w:rsidRPr="00A964C2">
        <w:rPr>
          <w:bCs/>
        </w:rPr>
        <w:br/>
        <w:t xml:space="preserve">For Indicator 17, graduation data reported for SSIP comes from EDFacts FS009 (Children with Disabilities Exiting Special Education) which includes the percentage of students with IEPs completing high school with a regular diploma (this is lag data from SY2022-23). In addition, WVDE/OSE uses the SSIP Evaluation Plan (for the period Feb 1, 2024, to December 31, 2024) to measure progress toward the SiMR through collaboration, communication, provision of resources, and technical assistance provided to LEAs. The evaluation plan is available on the WV Guideposts to Graduation webpage. [LINK: https://wvde.us/wp-content/uploads/2022/11/25400-WVGtG-SSIP-Evaluation-Plan-Fall-2022-v1.pdf]. This comprehensive approach ensures continuous improvement and better educational outcomes for SWDs. More details are found in the Indicator 17 section for this reporting period. </w:t>
      </w:r>
      <w:r w:rsidRPr="00A964C2">
        <w:rPr>
          <w:bCs/>
        </w:rPr>
        <w:br/>
      </w:r>
      <w:r w:rsidRPr="00A964C2">
        <w:rPr>
          <w:bCs/>
        </w:rPr>
        <w:br/>
        <w:t>Indicator 18 data are collected through integrated monitoring activities, WVEIS (e.g., certified data collections, periodic data reviews), dispute resolution, and fiscal management systems.</w:t>
      </w:r>
      <w:r w:rsidRPr="00A964C2">
        <w:rPr>
          <w:bCs/>
        </w:rPr>
        <w:br/>
        <w:t>During SY 2023-24, WVDE/OSE implemented several updates to improve data accuracy, streamline processes, and provide targeted support to LEAs in meeting compliance requirements:</w:t>
      </w:r>
      <w:r w:rsidRPr="00A964C2">
        <w:rPr>
          <w:bCs/>
        </w:rPr>
        <w:br/>
        <w:t>— For Indicators 1 and 2, LEA special education directors received their LEA information in the weeks leading up to the End of Year (EOY) Collection submission. This included data on regular graduates, alternate graduates, students who reached the maximum age, and dropouts. Anticipated percentages for these indicators were provided based on these counts. Directors also received information on seniors from the previous school year who did not show as exiting, helping LEAs identify possible data entry errors. These reports were provided multiple times before LEAs were required to certify their EOY data, with individual student IDs available upon request.</w:t>
      </w:r>
      <w:r w:rsidRPr="00A964C2">
        <w:rPr>
          <w:bCs/>
        </w:rPr>
        <w:br/>
        <w:t>— For Indicator 12, several updates were beta tested, including a dashboard to help LEAs find their WV Birth to Three (WVBTT) student data more easily and see counts of students approaching relevant timelines. A new online form was created to provide feedback on reasons for late completion of required processes or non-qualification of services. Monthly reports with student IDs and birthdates for students approaching their third birthday were emailed to LEA Pre-K contacts.</w:t>
      </w:r>
      <w:r w:rsidRPr="00A964C2">
        <w:rPr>
          <w:bCs/>
        </w:rPr>
        <w:br/>
        <w:t>— For Indicator 14, updated reports were provided to LEAs in the weeks leading up to the submission deadline. These reports included information on participants that would not be counted due to lack of response, allowing LEAs to identify data errors and track progress towards goals. New guidance documents with clarifying questions and strategies were also provided to encourage survey participation and ensure accurate responses.</w:t>
      </w:r>
      <w:r w:rsidRPr="00A964C2">
        <w:rPr>
          <w:bCs/>
        </w:rPr>
        <w:br/>
      </w:r>
      <w:r w:rsidRPr="00A964C2">
        <w:rPr>
          <w:bCs/>
        </w:rPr>
        <w:br/>
        <w:t>PERIOD FROM WHICH RECORDS ARE REVIEWED</w:t>
      </w:r>
      <w:r w:rsidRPr="00A964C2">
        <w:rPr>
          <w:bCs/>
        </w:rPr>
        <w:br/>
        <w:t xml:space="preserve">— The data described for Indicators 1, 2, 4A, and 4B are from SY 2022-23. </w:t>
      </w:r>
      <w:r w:rsidRPr="00A964C2">
        <w:rPr>
          <w:bCs/>
        </w:rPr>
        <w:br/>
        <w:t xml:space="preserve">— Data for Indicator 17 includes lag data for graduation (i.e., Indicator 1), and data on activities implemented from February 1, 2024, through January 31, 2025. </w:t>
      </w:r>
      <w:r w:rsidRPr="00A964C2">
        <w:rPr>
          <w:bCs/>
        </w:rPr>
        <w:br/>
        <w:t xml:space="preserve">— Data for Indicator 18 reflect the findings of noncompliance from SY2022-23 that were verified as corrected within one year of written notification. </w:t>
      </w:r>
      <w:r w:rsidRPr="00A964C2">
        <w:rPr>
          <w:bCs/>
        </w:rPr>
        <w:br/>
        <w:t>— All other indicator data reflect the current reporting period for SY 2023-24.</w:t>
      </w:r>
    </w:p>
    <w:p w14:paraId="33613CF8" w14:textId="13B2B690" w:rsidR="00256572" w:rsidRPr="00680744" w:rsidRDefault="00256572" w:rsidP="00680744">
      <w:pPr>
        <w:rPr>
          <w:b/>
          <w:bCs/>
        </w:rPr>
      </w:pPr>
      <w:r w:rsidRPr="00680744">
        <w:rPr>
          <w:b/>
          <w:bCs/>
        </w:rPr>
        <w:t>Describe how the State issues findings: by number of instances or by LEAs.</w:t>
      </w:r>
    </w:p>
    <w:p w14:paraId="346CD5C7" w14:textId="7CA1B2ED" w:rsidR="00256572" w:rsidRPr="00A964C2" w:rsidRDefault="00256572" w:rsidP="00680744">
      <w:pPr>
        <w:rPr>
          <w:bCs/>
        </w:rPr>
      </w:pPr>
      <w:r w:rsidRPr="00A964C2">
        <w:rPr>
          <w:bCs/>
        </w:rPr>
        <w:t>Although WVDE/OSE ensures all individual cases of noncompliance are verified as corrected, findings are issued by LEA based on the IDEA requirement in violation.</w:t>
      </w:r>
    </w:p>
    <w:p w14:paraId="4E520B68" w14:textId="4A126EDB" w:rsidR="00256572" w:rsidRPr="00FD2125" w:rsidRDefault="00256572" w:rsidP="00680744">
      <w:pPr>
        <w:rPr>
          <w:b/>
          <w:bCs/>
        </w:rPr>
      </w:pPr>
      <w:r w:rsidRPr="00FD2125">
        <w:rPr>
          <w:b/>
          <w:bCs/>
        </w:rPr>
        <w:t>If applicable, describe the adopted procedures that permit its LEAs to correct noncompliance prior to the State’s issuance of a finding (i.e., pre-finding correction).</w:t>
      </w:r>
    </w:p>
    <w:p w14:paraId="3C8C8600" w14:textId="664C4570" w:rsidR="00256572" w:rsidRPr="00A964C2" w:rsidRDefault="00256572" w:rsidP="00680744">
      <w:pPr>
        <w:rPr>
          <w:bCs/>
        </w:rPr>
      </w:pPr>
      <w:r w:rsidRPr="00A964C2">
        <w:rPr>
          <w:bCs/>
        </w:rPr>
        <w:t>Currently, WVDE/OSE does not permit LEAs to correct identified noncompliance prior to the issuance of a finding.</w:t>
      </w:r>
    </w:p>
    <w:p w14:paraId="75FD7315" w14:textId="166AA740" w:rsidR="00256572" w:rsidRPr="00FD2125" w:rsidRDefault="00256572" w:rsidP="00680744">
      <w:pPr>
        <w:rPr>
          <w:b/>
          <w:bCs/>
        </w:rPr>
      </w:pPr>
      <w:r w:rsidRPr="00FD2125">
        <w:rPr>
          <w:b/>
          <w:bCs/>
        </w:rPr>
        <w:t>Describe the State’s system of graduated and progressive sanctions to ensure the correction of identified noncompliance and to address areas in need of improvement, used as necessary and consistent with IDEA Part B’s enforcement provisions, the OMB Uniform Administrative Requirements, Cost Principles, and Audit Requirements for Federal Awards (Uniform Guidance), and State rules.</w:t>
      </w:r>
    </w:p>
    <w:p w14:paraId="1734D89A" w14:textId="0476937D" w:rsidR="00256572" w:rsidRPr="00A964C2" w:rsidRDefault="00256572" w:rsidP="00680744">
      <w:pPr>
        <w:rPr>
          <w:bCs/>
        </w:rPr>
      </w:pPr>
      <w:r w:rsidRPr="00A964C2">
        <w:rPr>
          <w:bCs/>
        </w:rPr>
        <w:t xml:space="preserve">WVDE/OSE is responsible for ensuring that the requirements of the IDEA are met. This includes ensuring the correction of identified noncompliance. Upon determining an IDEA violation, the OSE issues a written notice to the LEA, detailing the noncompliance, the relevant IDEA requirements, supporting data, required corrective actions, and a timeline for correction. LEAs must correct the noncompliance as soon as possible, but no later than one year from the notification date. To verify correction, the WVDE/OSE ensures the LEA achieves 100% compliance with IDEA requirements through updated data reviews. For student-specific noncompliance, the LEA must correct each individual case. The WVDE/OSE reviews and approves documentation and evidence submitted by the LEA to verify correction. The LEA must identify the root cause of the noncompliance and may need to develop a Corrective Action Plan (CAP) or an Improvement Plan. Corrective Action Plans, developed with the WVDE/OSE, address specific noncompliance areas, such as initial evaluation timelines. </w:t>
      </w:r>
      <w:r w:rsidRPr="00A964C2">
        <w:rPr>
          <w:bCs/>
        </w:rPr>
        <w:br/>
      </w:r>
      <w:r w:rsidRPr="00A964C2">
        <w:rPr>
          <w:bCs/>
        </w:rPr>
        <w:br/>
        <w:t>If the LEA fails to implement the necessary corrective action within one year of receiving written notification, the SEA takes immediate enforcement measures. These measures involve the imposition of graduated sanctions, administered in a specific order, to ensure compliance with IDEA requirement:</w:t>
      </w:r>
      <w:r w:rsidRPr="00A964C2">
        <w:rPr>
          <w:bCs/>
        </w:rPr>
        <w:br/>
      </w:r>
      <w:r w:rsidRPr="00A964C2">
        <w:rPr>
          <w:bCs/>
        </w:rPr>
        <w:br/>
        <w:t>*Level I Enforcement Sanctions*</w:t>
      </w:r>
      <w:r w:rsidRPr="00A964C2">
        <w:rPr>
          <w:bCs/>
        </w:rPr>
        <w:br/>
        <w:t>If an LEA has uncorrected noncompliance beyond one year from the initial written notification, it will receive a Notice of Level I Enforcement Sanctions. This includes:</w:t>
      </w:r>
      <w:r w:rsidRPr="00A964C2">
        <w:rPr>
          <w:bCs/>
        </w:rPr>
        <w:br/>
        <w:t>— A required corrective action plan.</w:t>
      </w:r>
      <w:r w:rsidRPr="00A964C2">
        <w:rPr>
          <w:bCs/>
        </w:rPr>
        <w:br/>
        <w:t>— Required engagement with technical assistance.</w:t>
      </w:r>
      <w:r w:rsidRPr="00A964C2">
        <w:rPr>
          <w:bCs/>
        </w:rPr>
        <w:br/>
        <w:t>— Potential escalation to Level II Enforcement Sanctions for repeated failure to engage with technical assistance.</w:t>
      </w:r>
      <w:r w:rsidRPr="00A964C2">
        <w:rPr>
          <w:bCs/>
        </w:rPr>
        <w:br/>
        <w:t>The LEA may also receive a new written notification of noncompliance.</w:t>
      </w:r>
      <w:r w:rsidRPr="00A964C2">
        <w:rPr>
          <w:bCs/>
        </w:rPr>
        <w:br/>
      </w:r>
      <w:r w:rsidRPr="00A964C2">
        <w:rPr>
          <w:bCs/>
        </w:rPr>
        <w:br/>
        <w:t>*Level II Enforcement Sanctions*</w:t>
      </w:r>
      <w:r w:rsidRPr="00A964C2">
        <w:rPr>
          <w:bCs/>
        </w:rPr>
        <w:br/>
        <w:t>Any LEA with uncorrected noncompliance beyond two years from the initial written notification will receive a Notice of Level II Enforcement Sanctions, which shall include all enforcement actions described under Level I Enforcement Sanctions above, in addition to a new written notification of noncompliance. The SEA may also take one or more of the following enforcement actions:</w:t>
      </w:r>
      <w:r w:rsidRPr="00A964C2">
        <w:rPr>
          <w:bCs/>
        </w:rPr>
        <w:br/>
        <w:t>— Remove the LEA’s ability to apply for any discretionary funds made available by the SEA</w:t>
      </w:r>
      <w:r w:rsidRPr="00A964C2">
        <w:rPr>
          <w:bCs/>
        </w:rPr>
        <w:br/>
      </w:r>
      <w:r w:rsidRPr="00A964C2">
        <w:rPr>
          <w:bCs/>
        </w:rPr>
        <w:lastRenderedPageBreak/>
        <w:t>— Redirect a percentage of IDEA Part B funds to address the area(s) of noncompliance</w:t>
      </w:r>
      <w:r w:rsidRPr="00A964C2">
        <w:rPr>
          <w:bCs/>
        </w:rPr>
        <w:br/>
        <w:t>— Require implementation of additional program-specific improvement activities, and/or</w:t>
      </w:r>
      <w:r w:rsidRPr="00A964C2">
        <w:rPr>
          <w:bCs/>
        </w:rPr>
        <w:br/>
        <w:t>— Request additional program-specific financial audits be conducted</w:t>
      </w:r>
      <w:r w:rsidRPr="00A964C2">
        <w:rPr>
          <w:bCs/>
        </w:rPr>
        <w:br/>
      </w:r>
      <w:r w:rsidRPr="00A964C2">
        <w:rPr>
          <w:bCs/>
        </w:rPr>
        <w:br/>
        <w:t>*Level III Enforcement Sanctions*</w:t>
      </w:r>
      <w:r w:rsidRPr="00A964C2">
        <w:rPr>
          <w:bCs/>
        </w:rPr>
        <w:br/>
        <w:t>For chronic uncorrected noncompliance (three or more years), the LEA will receive a Notice of Level III Enforcement Sanctions. The SEA may take one or more of the following enforcement actions:</w:t>
      </w:r>
      <w:r w:rsidRPr="00A964C2">
        <w:rPr>
          <w:bCs/>
        </w:rPr>
        <w:br/>
        <w:t>— Pursue one or more actions listed under Level I and II.</w:t>
      </w:r>
      <w:r w:rsidRPr="00A964C2">
        <w:rPr>
          <w:bCs/>
        </w:rPr>
        <w:br/>
        <w:t>— Withhold administrative funds maintained by the SEA used for the salary of the special education director.</w:t>
      </w:r>
      <w:r w:rsidRPr="00A964C2">
        <w:rPr>
          <w:bCs/>
        </w:rPr>
        <w:br/>
        <w:t>— Withhold funds, in whole or in part, until deficiencies are corrected consistent with 34 C.F.R. § 300.222</w:t>
      </w:r>
      <w:r w:rsidRPr="00A964C2">
        <w:rPr>
          <w:bCs/>
        </w:rPr>
        <w:br/>
        <w:t>— Issue an immediate LEA determination of “Needs Intervention” or “Needs Substantial Intervention.”</w:t>
      </w:r>
      <w:r w:rsidRPr="00A964C2">
        <w:rPr>
          <w:bCs/>
        </w:rPr>
        <w:br/>
        <w:t>— Direct the administration of the LEA’s special education programs.</w:t>
      </w:r>
      <w:r w:rsidRPr="00A964C2">
        <w:rPr>
          <w:bCs/>
        </w:rPr>
        <w:br/>
      </w:r>
      <w:r w:rsidRPr="00A964C2">
        <w:rPr>
          <w:bCs/>
        </w:rPr>
        <w:br/>
        <w:t>Significant Disproportionality and Comprehensive Coordinated Early Intervening Services (CCEIS)</w:t>
      </w:r>
      <w:r w:rsidRPr="00A964C2">
        <w:rPr>
          <w:bCs/>
        </w:rPr>
        <w:br/>
        <w:t>If an LEA identified with significant disproportionality fails to implement CCEIS in accordance with a WVDE-approved plan, the SEA may:</w:t>
      </w:r>
      <w:r w:rsidRPr="00A964C2">
        <w:rPr>
          <w:bCs/>
        </w:rPr>
        <w:br/>
        <w:t>— Pursue actions listed under Level III Enforcement Sanctions.</w:t>
      </w:r>
      <w:r w:rsidRPr="00A964C2">
        <w:rPr>
          <w:bCs/>
        </w:rPr>
        <w:br/>
        <w:t>— Return unexpended CCEIS funds to the U.S. Department of Education.</w:t>
      </w:r>
      <w:r w:rsidRPr="00A964C2">
        <w:rPr>
          <w:bCs/>
        </w:rPr>
        <w:br/>
      </w:r>
      <w:r w:rsidRPr="00A964C2">
        <w:rPr>
          <w:bCs/>
        </w:rPr>
        <w:br/>
        <w:t>This structured approach ensures that noncompliance is addressed progressively, with increasing levels of intervention and support to help LEAs meet their obligations under IDEA.</w:t>
      </w:r>
    </w:p>
    <w:p w14:paraId="61665C0B" w14:textId="30937A43" w:rsidR="00256572" w:rsidRPr="00FD2125" w:rsidRDefault="00256572" w:rsidP="00680744">
      <w:pPr>
        <w:rPr>
          <w:b/>
          <w:bCs/>
        </w:rPr>
      </w:pPr>
      <w:r w:rsidRPr="00FD2125">
        <w:rPr>
          <w:b/>
          <w:bCs/>
        </w:rPr>
        <w:t>Describe how the State makes annual determinations of LEA performance, including the criteria the State uses and the schedule for notifying LEAs of their determinations. If the determinations are made public, include a web link for the most recent determinations.</w:t>
      </w:r>
    </w:p>
    <w:p w14:paraId="2EE5F281" w14:textId="602F2521" w:rsidR="00256572" w:rsidRPr="00A964C2" w:rsidRDefault="00256572" w:rsidP="00680744">
      <w:pPr>
        <w:rPr>
          <w:bCs/>
        </w:rPr>
      </w:pPr>
      <w:r w:rsidRPr="00A964C2">
        <w:rPr>
          <w:bCs/>
        </w:rPr>
        <w:t xml:space="preserve">WVDE/OSE uses a multi-faceted approach to determine the annual performance of LEAs that includes a Results Matrix, Compliance Matrix, and an LEA Determination that is comprised of all results and compliance data for the LEA. </w:t>
      </w:r>
      <w:r w:rsidRPr="00A964C2">
        <w:rPr>
          <w:bCs/>
        </w:rPr>
        <w:br/>
      </w:r>
      <w:r w:rsidRPr="00A964C2">
        <w:rPr>
          <w:bCs/>
        </w:rPr>
        <w:br/>
        <w:t>Results indicators measure the academic achievement, progress, and overall outcomes of students with disabilities (SWDs). Points are awarded based on whether an LEA meets or exceeds the State Performance Plan (SPP) target or the State’s overall performance. Indicators 1, 2, 3, 4A, 5, 6, 7, 8 (if applicable), and 14C are included in each LEA’s Results Matrix. Valid, reliable and timely data, and other data available about the LEA’s compliance with IDEA, including any relevant audit findings, are included within the Compliance Matrix.</w:t>
      </w:r>
      <w:r w:rsidRPr="00A964C2">
        <w:rPr>
          <w:bCs/>
        </w:rPr>
        <w:br/>
      </w:r>
      <w:r w:rsidRPr="00A964C2">
        <w:rPr>
          <w:bCs/>
        </w:rPr>
        <w:br/>
        <w:t>Compliance indicators ensure that LEAs adhere to the legal requirements and timelines outlined in the IDEA. Indicators 4B, 9, 10, 11, 12, and 13 are included in each LEA’s Compliance Matrix. Scoring varies by indicator, with some indicators scored as "Met" or "Not Met" for all or none of the available points for the indicator (i.e., Indicators 4B, 9, and 10), while other indicators receive points based on compliance percentages (i.e., Indicators 11, 12, and 13). Other data available to the WVDE about LEAs’ compliance with IDEA in the Compliance Matrix include "Monitoring and Accountability" (which includes any relevant audit findings), "Dispute Resolution," "Correction of Noncompliance," and “Timely and Accurate Data Submission.”</w:t>
      </w:r>
      <w:r w:rsidRPr="00A964C2">
        <w:rPr>
          <w:bCs/>
        </w:rPr>
        <w:br/>
      </w:r>
      <w:r w:rsidRPr="00A964C2">
        <w:rPr>
          <w:bCs/>
        </w:rPr>
        <w:br/>
        <w:t>Growth Credit — Introduced in 2023, growth credit allows LEAs to earn partial credit for demonstrating year-to-year improvement, even if they do not meet the SPP target or overall state performance. Results indicator growth applies to most indicators, with points awarded based on approximately 30% of the maximum point value for meeting or exceeding the SPP target or state rate. Compliance indicator growth applies to indicators 11, 12, and 13, with LEAs earning 0.3 points for exceeding their previous year's compliance percentage by at least 5%.</w:t>
      </w:r>
      <w:r w:rsidRPr="00A964C2">
        <w:rPr>
          <w:bCs/>
        </w:rPr>
        <w:br/>
      </w:r>
      <w:r w:rsidRPr="00A964C2">
        <w:rPr>
          <w:bCs/>
        </w:rPr>
        <w:br/>
        <w:t>LEA DETERMINATION RUBRIC</w:t>
      </w:r>
      <w:r w:rsidRPr="00A964C2">
        <w:rPr>
          <w:bCs/>
        </w:rPr>
        <w:br/>
        <w:t xml:space="preserve">The rubric categorizes LEA performance into the same four determination categories that OSEP is required to use with States. The point total and percentage for each LEA Determination factor in all data from each LEA’s Results and Compliance Matrixes. </w:t>
      </w:r>
      <w:r w:rsidRPr="00A964C2">
        <w:rPr>
          <w:bCs/>
        </w:rPr>
        <w:br/>
        <w:t>— Meets Requirements (MR): =80%</w:t>
      </w:r>
      <w:r w:rsidRPr="00A964C2">
        <w:rPr>
          <w:bCs/>
        </w:rPr>
        <w:br/>
        <w:t>— Needs Assistance (NA): 70-79%</w:t>
      </w:r>
      <w:r w:rsidRPr="00A964C2">
        <w:rPr>
          <w:bCs/>
        </w:rPr>
        <w:br/>
        <w:t>— Needs Intervention (NI): 60-69%, or 70-79% for three consecutive years.</w:t>
      </w:r>
      <w:r w:rsidRPr="00A964C2">
        <w:rPr>
          <w:bCs/>
        </w:rPr>
        <w:br/>
        <w:t>— Needs Substantial Intervention (NSI): &lt;60%, or 60-69% for three consecutive years.</w:t>
      </w:r>
      <w:r w:rsidRPr="00A964C2">
        <w:rPr>
          <w:bCs/>
        </w:rPr>
        <w:br/>
      </w:r>
      <w:r w:rsidRPr="00A964C2">
        <w:rPr>
          <w:bCs/>
        </w:rPr>
        <w:br/>
        <w:t>LEA Determinations are typically issued in the late Spring of each calendar year and can be accessed from the Special Education Data and Public Reporting webpage under “LEA Determinations” [link: https://wvde.us/special-education/data-and-public-reporting/]</w:t>
      </w:r>
    </w:p>
    <w:p w14:paraId="469516E7" w14:textId="77777777" w:rsidR="00256572" w:rsidRPr="00FD2125" w:rsidRDefault="00256572" w:rsidP="00680744">
      <w:pPr>
        <w:rPr>
          <w:b/>
          <w:bCs/>
        </w:rPr>
      </w:pPr>
      <w:r w:rsidRPr="00FD2125">
        <w:rPr>
          <w:b/>
          <w:bCs/>
        </w:rPr>
        <w:t>Provide the web link to information about the State’s general supervision policies, procedures, and process that is made available to the public.</w:t>
      </w:r>
    </w:p>
    <w:p w14:paraId="609C862A" w14:textId="6B09554B" w:rsidR="00256572" w:rsidRPr="00A964C2" w:rsidRDefault="00256572" w:rsidP="00680744">
      <w:pPr>
        <w:rPr>
          <w:bCs/>
        </w:rPr>
      </w:pPr>
      <w:r w:rsidRPr="00A964C2">
        <w:rPr>
          <w:bCs/>
        </w:rPr>
        <w:t>WVDE/OSE’s general supervision document may be accessed through the “system of general supervision” hyperlink located at [https://wvde.us/special-education/policies-and-compliance/]</w:t>
      </w:r>
    </w:p>
    <w:p w14:paraId="26D57A13" w14:textId="214088C3" w:rsidR="00AF5649" w:rsidRPr="00781112" w:rsidRDefault="00AF5649" w:rsidP="004369B2">
      <w:pPr>
        <w:rPr>
          <w:color w:val="000000" w:themeColor="text1"/>
        </w:rPr>
      </w:pPr>
      <w:r w:rsidRPr="00781112">
        <w:rPr>
          <w:b/>
          <w:color w:val="000000" w:themeColor="text1"/>
        </w:rPr>
        <w:t>Technical Assistance System:</w:t>
      </w:r>
    </w:p>
    <w:p w14:paraId="66B8EA84" w14:textId="60BE563C" w:rsidR="00AF5649" w:rsidRPr="00781112" w:rsidRDefault="00AF5649" w:rsidP="00AF5649">
      <w:pPr>
        <w:rPr>
          <w:rFonts w:cs="Arial"/>
          <w:b/>
          <w:color w:val="000000" w:themeColor="text1"/>
          <w:szCs w:val="16"/>
        </w:rPr>
      </w:pPr>
      <w:r w:rsidRPr="00781112">
        <w:rPr>
          <w:rFonts w:cs="Arial"/>
          <w:b/>
          <w:color w:val="000000" w:themeColor="text1"/>
          <w:szCs w:val="16"/>
        </w:rPr>
        <w:t>The mechanisms that the State has in place to ensure the timely delivery of high quality, evidence-based technical assistance, and support to LEAs.</w:t>
      </w:r>
    </w:p>
    <w:p w14:paraId="46AFA65A" w14:textId="31299B5B" w:rsidR="000C24C2" w:rsidRPr="00781112" w:rsidRDefault="002B7490" w:rsidP="007925C6">
      <w:pPr>
        <w:rPr>
          <w:rFonts w:cs="Arial"/>
          <w:color w:val="000000" w:themeColor="text1"/>
          <w:szCs w:val="16"/>
        </w:rPr>
      </w:pPr>
      <w:r w:rsidRPr="00781112">
        <w:rPr>
          <w:rFonts w:cs="Arial"/>
          <w:color w:val="000000" w:themeColor="text1"/>
          <w:szCs w:val="16"/>
        </w:rPr>
        <w:t>To ensure all LEAs have access to high quality, evidence-based technical assistance (TA) and support, WVDE/OSE uses a tiered system of support model, encompassing universal, targeted, and intensive levels. This structured approach ensures that LEAs receive the appropriate level of support based on their specific needs, promoting program effectiveness and compliance.</w:t>
      </w:r>
      <w:r w:rsidRPr="00781112">
        <w:rPr>
          <w:rFonts w:cs="Arial"/>
          <w:color w:val="000000" w:themeColor="text1"/>
          <w:szCs w:val="16"/>
        </w:rPr>
        <w:br/>
        <w:t xml:space="preserve"> </w:t>
      </w:r>
      <w:r w:rsidRPr="00781112">
        <w:rPr>
          <w:rFonts w:cs="Arial"/>
          <w:color w:val="000000" w:themeColor="text1"/>
          <w:szCs w:val="16"/>
        </w:rPr>
        <w:br/>
        <w:t>*UNIVERSAL TA*</w:t>
      </w:r>
      <w:r w:rsidRPr="00781112">
        <w:rPr>
          <w:rFonts w:cs="Arial"/>
          <w:color w:val="000000" w:themeColor="text1"/>
          <w:szCs w:val="16"/>
        </w:rPr>
        <w:br/>
        <w:t>This level provides essential information and resources to address common needs and promote program effectiveness. Key supports include:</w:t>
      </w:r>
      <w:r w:rsidRPr="00781112">
        <w:rPr>
          <w:rFonts w:cs="Arial"/>
          <w:color w:val="000000" w:themeColor="text1"/>
          <w:szCs w:val="16"/>
        </w:rPr>
        <w:br/>
        <w:t>— Direct Assistance: Each LEA has a primary point of contact for guidance and support from regional WVDE/OSE coordinators.</w:t>
      </w:r>
      <w:r w:rsidRPr="00781112">
        <w:rPr>
          <w:rFonts w:cs="Arial"/>
          <w:color w:val="000000" w:themeColor="text1"/>
          <w:szCs w:val="16"/>
        </w:rPr>
        <w:br/>
        <w:t>— Access to Specialized Centers: LEAs can connect with SEA-funded TA centers for accessibility (West Virginia Outreach Center for the Deaf and Blind at the WV Schools for the Deaf and Blind), behavior/mental health (WV Behavior/Mental Health Technical Assistance Center at Marshall University Campus), autism (WV Autism Training Center at Marshall University Campus), and family engagement (WV Parent Training and Information [WVPTI ]).</w:t>
      </w:r>
      <w:r w:rsidRPr="00781112">
        <w:rPr>
          <w:rFonts w:cs="Arial"/>
          <w:color w:val="000000" w:themeColor="text1"/>
          <w:szCs w:val="16"/>
        </w:rPr>
        <w:br/>
        <w:t>— Training and Resources: WVDE/OSE offers virtual and face-to-face training options on evidence-based practices, standards-based IEPs, policy components, inclusive practices, student/parent engagement, compliance, dispute resolution, and other special education topics. The training request process was reworked into an online form so that requests could be tracked and approved in a timelier manner. This also allowed for better data collection and analysis on the areas in which the LEAs are requesting training, which influenced the training topics covered at statewide conferences and led to the development of additional training presentations. Additionally, the monitoring team developed and presented a number of presentations, including those on compliant service verifications, the top 10 findings of noncompliance from the general file review, and an overview of the monitoring process to preemptively address weaknesses occurring throughout the state.</w:t>
      </w:r>
      <w:r w:rsidRPr="00781112">
        <w:rPr>
          <w:rFonts w:cs="Arial"/>
          <w:color w:val="000000" w:themeColor="text1"/>
          <w:szCs w:val="16"/>
        </w:rPr>
        <w:br/>
      </w:r>
      <w:r w:rsidRPr="00781112">
        <w:rPr>
          <w:rFonts w:cs="Arial"/>
          <w:color w:val="000000" w:themeColor="text1"/>
          <w:szCs w:val="16"/>
        </w:rPr>
        <w:lastRenderedPageBreak/>
        <w:t>— Networking and Collaboration: Annual conferences and mentorship programs sponsored by the WV Council of Administrators of Special Education (WVCASE), statewide monthly support calls, and listserv updates foster connections and knowledge sharing. Additional targeted/intensive mentorship is provided by WVDE/OSE upon request or when a need is identified by the SEA.</w:t>
      </w:r>
      <w:r w:rsidRPr="00781112">
        <w:rPr>
          <w:rFonts w:cs="Arial"/>
          <w:color w:val="000000" w:themeColor="text1"/>
          <w:szCs w:val="16"/>
        </w:rPr>
        <w:br/>
        <w:t>— Online Resources: Guidance documents, tip sheets, brochures, practical resources including a weblink resource bank, and free Canvas courses are available on the WVDE/OSE website. Directors receive updates when any new resources become available. Additionally, WVDE is in the process of reconstructing the entire WVDE website to be more user-friendly. This process includes a deep dive into site mapping each page and a thorough review of every document and link on the website.</w:t>
      </w:r>
      <w:r w:rsidRPr="00781112">
        <w:rPr>
          <w:rFonts w:cs="Arial"/>
          <w:color w:val="000000" w:themeColor="text1"/>
          <w:szCs w:val="16"/>
        </w:rPr>
        <w:br/>
      </w:r>
      <w:r w:rsidRPr="00781112">
        <w:rPr>
          <w:rFonts w:cs="Arial"/>
          <w:color w:val="000000" w:themeColor="text1"/>
          <w:szCs w:val="16"/>
        </w:rPr>
        <w:br/>
        <w:t>*TARGETED TA*</w:t>
      </w:r>
      <w:r w:rsidRPr="00781112">
        <w:rPr>
          <w:rFonts w:cs="Arial"/>
          <w:color w:val="000000" w:themeColor="text1"/>
          <w:szCs w:val="16"/>
        </w:rPr>
        <w:br/>
        <w:t>This level of TA offers more focused support primarily quarterly community of practice (CoP) meetings, and dedicated teams for Comprehensive Support and Improvement-Additional Targeted Support Schools (CSI-ATS). CoP sessions provide a platform for participants to share knowledge, experiences, and resources within specific areas of need, while CSI-ATS teams work closely with schools falling short of proficiency goals for students with disabilities (SWD). The three-year CSI-ATS project focuses heavily on instructional and inclusive practices and was initiated through a partnership between the WVDE/OSE and WVDE/Office of School Improvement. Through the use of needs assessments, ongoing school visits, and collaborative partnerships, these teams support and guide school improvement efforts with a focus on enhancing outcomes for SWDs.</w:t>
      </w:r>
      <w:r w:rsidRPr="00781112">
        <w:rPr>
          <w:rFonts w:cs="Arial"/>
          <w:color w:val="000000" w:themeColor="text1"/>
          <w:szCs w:val="16"/>
        </w:rPr>
        <w:br/>
      </w:r>
      <w:r w:rsidRPr="00781112">
        <w:rPr>
          <w:rFonts w:cs="Arial"/>
          <w:color w:val="000000" w:themeColor="text1"/>
          <w:szCs w:val="16"/>
        </w:rPr>
        <w:br/>
        <w:t>Targeted TA also encompasses a range of activities, including:</w:t>
      </w:r>
      <w:r w:rsidRPr="00781112">
        <w:rPr>
          <w:rFonts w:cs="Arial"/>
          <w:color w:val="000000" w:themeColor="text1"/>
          <w:szCs w:val="16"/>
        </w:rPr>
        <w:br/>
        <w:t>— Phone calls and emails to address student- and LEA-specific situations.</w:t>
      </w:r>
      <w:r w:rsidRPr="00781112">
        <w:rPr>
          <w:rFonts w:cs="Arial"/>
          <w:color w:val="000000" w:themeColor="text1"/>
          <w:szCs w:val="16"/>
        </w:rPr>
        <w:br/>
        <w:t>— Meetings and mentor programs for supporting new special education directors, new special educators, and other targeted groups.</w:t>
      </w:r>
      <w:r w:rsidRPr="00781112">
        <w:rPr>
          <w:rFonts w:cs="Arial"/>
          <w:color w:val="000000" w:themeColor="text1"/>
          <w:szCs w:val="16"/>
        </w:rPr>
        <w:br/>
        <w:t>— Guidance following cyclical monitoring for implementing required corrective actions.</w:t>
      </w:r>
      <w:r w:rsidRPr="00781112">
        <w:rPr>
          <w:rFonts w:cs="Arial"/>
          <w:color w:val="000000" w:themeColor="text1"/>
          <w:szCs w:val="16"/>
        </w:rPr>
        <w:br/>
        <w:t>— Specialized training specific to areas selected for improvement by the LEA or derived from dispute resolution and monitoring noncompliance with required corrective action.</w:t>
      </w:r>
      <w:r w:rsidRPr="00781112">
        <w:rPr>
          <w:rFonts w:cs="Arial"/>
          <w:color w:val="000000" w:themeColor="text1"/>
          <w:szCs w:val="16"/>
        </w:rPr>
        <w:br/>
      </w:r>
      <w:r w:rsidRPr="00781112">
        <w:rPr>
          <w:rFonts w:cs="Arial"/>
          <w:color w:val="000000" w:themeColor="text1"/>
          <w:szCs w:val="16"/>
        </w:rPr>
        <w:br/>
        <w:t>*INTENSIVE TA*</w:t>
      </w:r>
      <w:r w:rsidRPr="00781112">
        <w:rPr>
          <w:rFonts w:cs="Arial"/>
          <w:color w:val="000000" w:themeColor="text1"/>
          <w:szCs w:val="16"/>
        </w:rPr>
        <w:br/>
        <w:t>For LEAs facing more significant challenges, WVDE/OSE provides additional, tailored support beyond Targeted TA. This level involves:</w:t>
      </w:r>
      <w:r w:rsidRPr="00781112">
        <w:rPr>
          <w:rFonts w:cs="Arial"/>
          <w:color w:val="000000" w:themeColor="text1"/>
          <w:szCs w:val="16"/>
        </w:rPr>
        <w:br/>
      </w:r>
      <w:r w:rsidRPr="00781112">
        <w:rPr>
          <w:rFonts w:cs="Arial"/>
          <w:color w:val="000000" w:themeColor="text1"/>
          <w:szCs w:val="16"/>
        </w:rPr>
        <w:br/>
        <w:t>— Required participation in relevant CoPs to deepen knowledge and expertise in specific areas of need.</w:t>
      </w:r>
      <w:r w:rsidRPr="00781112">
        <w:rPr>
          <w:rFonts w:cs="Arial"/>
          <w:color w:val="000000" w:themeColor="text1"/>
          <w:szCs w:val="16"/>
        </w:rPr>
        <w:br/>
        <w:t>— Regular progress monitoring meetings to collaboratively track the effectiveness of implemented activities within established timelines.</w:t>
      </w:r>
      <w:r w:rsidRPr="00781112">
        <w:rPr>
          <w:rFonts w:cs="Arial"/>
          <w:color w:val="000000" w:themeColor="text1"/>
          <w:szCs w:val="16"/>
        </w:rPr>
        <w:br/>
        <w:t>— Focused monitoring activities to address systemic issues identified within an LEA, including conducting root cause analyses.</w:t>
      </w:r>
      <w:r w:rsidRPr="00781112">
        <w:rPr>
          <w:rFonts w:cs="Arial"/>
          <w:color w:val="000000" w:themeColor="text1"/>
          <w:szCs w:val="16"/>
        </w:rPr>
        <w:br/>
        <w:t>— Assessing the implementation and outcomes of corrective actions, ensuring compliance and improved student outcomes.</w:t>
      </w:r>
      <w:r w:rsidRPr="00781112">
        <w:rPr>
          <w:rFonts w:cs="Arial"/>
          <w:color w:val="000000" w:themeColor="text1"/>
          <w:szCs w:val="16"/>
        </w:rPr>
        <w:br/>
        <w:t>— Addressing unique challenges or barriers through tailored support for specific LEA needs.</w:t>
      </w:r>
      <w:r w:rsidRPr="00781112">
        <w:rPr>
          <w:rFonts w:cs="Arial"/>
          <w:color w:val="000000" w:themeColor="text1"/>
          <w:szCs w:val="16"/>
        </w:rPr>
        <w:br/>
      </w:r>
      <w:r w:rsidRPr="00781112">
        <w:rPr>
          <w:rFonts w:cs="Arial"/>
          <w:color w:val="000000" w:themeColor="text1"/>
          <w:szCs w:val="16"/>
        </w:rPr>
        <w:br/>
        <w:t>In cases of crisis-level situations for any aspect of public education within an LEA, the WVDE Office of Accountability conducts special circumstance reviews. When such reviews include concerns with special education, WVDE/OSE participates to assess the situation, provide support, identify noncompliance, and define required corrective actions.</w:t>
      </w:r>
      <w:r w:rsidRPr="00781112">
        <w:rPr>
          <w:rFonts w:cs="Arial"/>
          <w:color w:val="000000" w:themeColor="text1"/>
          <w:szCs w:val="16"/>
        </w:rPr>
        <w:br/>
      </w:r>
      <w:r w:rsidRPr="00781112">
        <w:rPr>
          <w:rFonts w:cs="Arial"/>
          <w:color w:val="000000" w:themeColor="text1"/>
          <w:szCs w:val="16"/>
        </w:rPr>
        <w:br/>
        <w:t>This tiered system of support ensures that all LEAs receive the necessary assistance to meet their obligations under IDEA. By providing a range of resources and tailored support, WVDE/OSE is committed to enhancing outcomes for SWDs and promoting program effectiveness across the state.</w:t>
      </w:r>
    </w:p>
    <w:p w14:paraId="31C31C58" w14:textId="6D9367D0" w:rsidR="00AF5649" w:rsidRPr="00781112" w:rsidRDefault="00AF5649" w:rsidP="004369B2">
      <w:pPr>
        <w:rPr>
          <w:color w:val="000000" w:themeColor="text1"/>
        </w:rPr>
      </w:pPr>
      <w:r w:rsidRPr="00781112">
        <w:rPr>
          <w:b/>
          <w:color w:val="000000" w:themeColor="text1"/>
        </w:rPr>
        <w:t>Professional Development System:</w:t>
      </w:r>
    </w:p>
    <w:p w14:paraId="25232CAB" w14:textId="27BBB727" w:rsidR="00AF5649" w:rsidRPr="00781112" w:rsidRDefault="00AF5649" w:rsidP="00AF5649">
      <w:pPr>
        <w:rPr>
          <w:rFonts w:cs="Arial"/>
          <w:b/>
          <w:color w:val="000000" w:themeColor="text1"/>
          <w:szCs w:val="16"/>
        </w:rPr>
      </w:pPr>
      <w:r w:rsidRPr="00781112">
        <w:rPr>
          <w:rFonts w:cs="Arial"/>
          <w:b/>
          <w:color w:val="000000" w:themeColor="text1"/>
          <w:szCs w:val="16"/>
        </w:rPr>
        <w:t>The mechanisms the State has in place to ensure that service providers have the skills to effectively provide services that improve results for children with disabilities.</w:t>
      </w:r>
    </w:p>
    <w:p w14:paraId="0B77B8C1" w14:textId="3CE3A35D" w:rsidR="007742F1" w:rsidRPr="00781112" w:rsidRDefault="002B7490" w:rsidP="007925C6">
      <w:pPr>
        <w:rPr>
          <w:rFonts w:cs="Arial"/>
          <w:color w:val="000000" w:themeColor="text1"/>
          <w:szCs w:val="16"/>
        </w:rPr>
      </w:pPr>
      <w:r w:rsidRPr="00781112">
        <w:rPr>
          <w:rFonts w:cs="Arial"/>
          <w:color w:val="000000" w:themeColor="text1"/>
          <w:szCs w:val="16"/>
        </w:rPr>
        <w:t>WVDE/OSE recognizes the critical role of professional development (PD) in fostering school improvement and positive outcomes for students with disabilities (SWD). Through a collaborative approach involving different divisions within the SEA, WVDE/OSE offers a comprehensive selection of PD opportunities designed to enhance the skills and knowledge of educators and LEA staff serving SWDs. PD offerings include e-Learning courses, collaborative university partnerships, WVDE-sponsored conferences, and “bootcamps” for early career special educators and special education directors.</w:t>
      </w:r>
      <w:r w:rsidRPr="00781112">
        <w:rPr>
          <w:rFonts w:cs="Arial"/>
          <w:color w:val="000000" w:themeColor="text1"/>
          <w:szCs w:val="16"/>
        </w:rPr>
        <w:br/>
      </w:r>
      <w:r w:rsidRPr="00781112">
        <w:rPr>
          <w:rFonts w:cs="Arial"/>
          <w:color w:val="000000" w:themeColor="text1"/>
          <w:szCs w:val="16"/>
        </w:rPr>
        <w:br/>
        <w:t>*E-LEARNING COURSES*</w:t>
      </w:r>
      <w:r w:rsidRPr="00781112">
        <w:rPr>
          <w:rFonts w:cs="Arial"/>
          <w:color w:val="000000" w:themeColor="text1"/>
          <w:szCs w:val="16"/>
        </w:rPr>
        <w:br/>
        <w:t xml:space="preserve">WVDE/OSE provides convenient, in-depth e-learning courses throughout the year on subjects such as autism, mathematics, support for specially designed instruction (SSDI), positive behavioral interventions and supports (PBIS), co-teaching, West Virginia Tiered System of Support (WVTSS), Secondary Transition Planning, and accessible educational materials (AEM), with additional courses for other topics under development. </w:t>
      </w:r>
      <w:r w:rsidRPr="00781112">
        <w:rPr>
          <w:rFonts w:cs="Arial"/>
          <w:color w:val="000000" w:themeColor="text1"/>
          <w:szCs w:val="16"/>
        </w:rPr>
        <w:br/>
        <w:t xml:space="preserve">LEAs can also request in-person or virtual training for their staff on any of these topics. </w:t>
      </w:r>
      <w:r w:rsidRPr="00781112">
        <w:rPr>
          <w:rFonts w:cs="Arial"/>
          <w:color w:val="000000" w:themeColor="text1"/>
          <w:szCs w:val="16"/>
        </w:rPr>
        <w:br/>
      </w:r>
      <w:r w:rsidRPr="00781112">
        <w:rPr>
          <w:rFonts w:cs="Arial"/>
          <w:color w:val="000000" w:themeColor="text1"/>
          <w:szCs w:val="16"/>
        </w:rPr>
        <w:br/>
        <w:t>*COLLABORATIVE UNIVERSITY PARTNERSHIPS*</w:t>
      </w:r>
      <w:r w:rsidRPr="00781112">
        <w:rPr>
          <w:rFonts w:cs="Arial"/>
          <w:color w:val="000000" w:themeColor="text1"/>
          <w:szCs w:val="16"/>
        </w:rPr>
        <w:br/>
        <w:t>The West Virginia Department of Education's Office of Special Education (WVDE/OSE) addresses critical needs and recruits future educators through partnerships with universities. These partnerships include offering programs such as the Speech-Language Pathology MA at Marshall University (MU) and West Virginia University (WVU), Speech-Language Pathology graduate/professional learning courses through WVU, Visually Impaired/Hard of Hearing Certification through MU, and collaboration with the Autism Training Center located at Marshall University to enable candidates to complete requirements to become credentialed as Autism Mentors. Additionally, WVDE/OSE has partnered with Marshall University to provide two virtual graduate-level courses: "The Science of Reading: The Speech-Language Pathologist's Roles and Responsibilities in the Schools" and "Strategies for Improving Language of Children with a History of Opioid Exposure." These courses were open to speech-language pathologists (SLPs) and educators throughout the state. WVDE/OSE also continued its partnership with WVU to provide an online master's degree program in speech-language pathology, with the goal of increasing the number of school SLPs in the state.</w:t>
      </w:r>
      <w:r w:rsidRPr="00781112">
        <w:rPr>
          <w:rFonts w:cs="Arial"/>
          <w:color w:val="000000" w:themeColor="text1"/>
          <w:szCs w:val="16"/>
        </w:rPr>
        <w:br/>
      </w:r>
      <w:r w:rsidRPr="00781112">
        <w:rPr>
          <w:rFonts w:cs="Arial"/>
          <w:color w:val="000000" w:themeColor="text1"/>
          <w:szCs w:val="16"/>
        </w:rPr>
        <w:br/>
        <w:t xml:space="preserve">*WVDE-SPONSORED CONFERENCES* </w:t>
      </w:r>
      <w:r w:rsidRPr="00781112">
        <w:rPr>
          <w:rFonts w:cs="Arial"/>
          <w:color w:val="000000" w:themeColor="text1"/>
          <w:szCs w:val="16"/>
        </w:rPr>
        <w:br/>
        <w:t>WVDE sponsors various conferences to support professional development, including:</w:t>
      </w:r>
      <w:r w:rsidRPr="00781112">
        <w:rPr>
          <w:rFonts w:cs="Arial"/>
          <w:color w:val="000000" w:themeColor="text1"/>
          <w:szCs w:val="16"/>
        </w:rPr>
        <w:br/>
        <w:t xml:space="preserve">— Statewide Secondary Transition: This conference was an interagency collaboration between WVDE/OSE, Mountain State Educational Services Cooperative, WV Developmental Disabilities Council, and WV Division of Rehabilitation Services. This conference provided training and resources to parents, families, and school staff on secondary transition planning and services to ensure that SWDs are well-prepared for post-secondary education, employment, and independent living. </w:t>
      </w:r>
      <w:r w:rsidRPr="00781112">
        <w:rPr>
          <w:rFonts w:cs="Arial"/>
          <w:color w:val="000000" w:themeColor="text1"/>
          <w:szCs w:val="16"/>
        </w:rPr>
        <w:br/>
        <w:t xml:space="preserve">— INVEST Workshops: INVEST provides educators with workshops focusing on rich engagement, networking strategies, and effective instructional practices. Experts deliver unique learning sessions, and WVDE offers updates on various initiatives, state codes, and West Virginia Board of Education policies. In addition, special education-focused strands covering various topics are often included as a component of the event . </w:t>
      </w:r>
      <w:r w:rsidRPr="00781112">
        <w:rPr>
          <w:rFonts w:cs="Arial"/>
          <w:color w:val="000000" w:themeColor="text1"/>
          <w:szCs w:val="16"/>
        </w:rPr>
        <w:br/>
        <w:t xml:space="preserve">— New Special Education Teacher “Bootcamps” offer training on various aspects of special education policies and procedures, as well as best practices. They are designed for teachers with less than three years of experience in a special education classroom, uncertified special education teachers, uncertified Pre-K special needs teachers, Pre-K special needs teachers with less than three years of experience in this role, and speech </w:t>
      </w:r>
      <w:r w:rsidRPr="00781112">
        <w:rPr>
          <w:rFonts w:cs="Arial"/>
          <w:color w:val="000000" w:themeColor="text1"/>
          <w:szCs w:val="16"/>
        </w:rPr>
        <w:lastRenderedPageBreak/>
        <w:t>pathologists with less than three years of experience who work with Pre-K students.</w:t>
      </w:r>
      <w:r w:rsidRPr="00781112">
        <w:rPr>
          <w:rFonts w:cs="Arial"/>
          <w:color w:val="000000" w:themeColor="text1"/>
          <w:szCs w:val="16"/>
        </w:rPr>
        <w:br/>
      </w:r>
      <w:r w:rsidRPr="00781112">
        <w:rPr>
          <w:rFonts w:cs="Arial"/>
          <w:color w:val="000000" w:themeColor="text1"/>
          <w:szCs w:val="16"/>
        </w:rPr>
        <w:br/>
        <w:t>Additionally, WVDE/OSE actively disseminates relevant information from the Office of Special Education Programs (OSEP), as well as national OSEP-funded Technical Assistance Centers and other sources to ensure LEAs have access to the latest information, events, best practices, and resources.</w:t>
      </w:r>
    </w:p>
    <w:p w14:paraId="0D25C7E9" w14:textId="57CCC112" w:rsidR="00AF5649" w:rsidRPr="00781112" w:rsidRDefault="00F72E24" w:rsidP="004369B2">
      <w:pPr>
        <w:rPr>
          <w:color w:val="000000" w:themeColor="text1"/>
        </w:rPr>
      </w:pPr>
      <w:r w:rsidRPr="00781112">
        <w:rPr>
          <w:b/>
          <w:color w:val="000000" w:themeColor="text1"/>
        </w:rPr>
        <w:t>Stakeholder Engagement:</w:t>
      </w:r>
    </w:p>
    <w:p w14:paraId="0EB1658A" w14:textId="58A43615" w:rsidR="006457D1" w:rsidRPr="006457D1" w:rsidRDefault="00EE0EC5" w:rsidP="006457D1">
      <w:pPr>
        <w:rPr>
          <w:rFonts w:cs="Arial"/>
          <w:b/>
          <w:color w:val="000000" w:themeColor="text1"/>
          <w:szCs w:val="16"/>
        </w:rPr>
      </w:pPr>
      <w:r w:rsidRPr="00BA3DBE">
        <w:rPr>
          <w:b/>
        </w:rPr>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p>
    <w:p w14:paraId="7621D9ED" w14:textId="6E2BA22E" w:rsidR="000C24C2" w:rsidRPr="00781112" w:rsidRDefault="002B7490" w:rsidP="000C24C2">
      <w:pPr>
        <w:rPr>
          <w:rFonts w:cs="Arial"/>
          <w:color w:val="000000" w:themeColor="text1"/>
          <w:szCs w:val="16"/>
        </w:rPr>
      </w:pPr>
      <w:r w:rsidRPr="00781112">
        <w:rPr>
          <w:rFonts w:cs="Arial"/>
          <w:color w:val="000000" w:themeColor="text1"/>
          <w:szCs w:val="16"/>
        </w:rPr>
        <w:t>The WVDE/OSE actively engages stakeholders through a comprehensive strategy that includes various methods of communication and collaboration:</w:t>
      </w:r>
      <w:r w:rsidRPr="00781112">
        <w:rPr>
          <w:rFonts w:cs="Arial"/>
          <w:color w:val="000000" w:themeColor="text1"/>
          <w:szCs w:val="16"/>
        </w:rPr>
        <w:br/>
      </w:r>
      <w:r w:rsidRPr="00781112">
        <w:rPr>
          <w:rFonts w:cs="Arial"/>
          <w:color w:val="000000" w:themeColor="text1"/>
          <w:szCs w:val="16"/>
        </w:rPr>
        <w:br/>
        <w:t>DIRECT COMMUNICATION</w:t>
      </w:r>
      <w:r w:rsidRPr="00781112">
        <w:rPr>
          <w:rFonts w:cs="Arial"/>
          <w:color w:val="000000" w:themeColor="text1"/>
          <w:szCs w:val="16"/>
        </w:rPr>
        <w:br/>
        <w:t>— Conducting individual calls with parents, advocates, teachers, and community members.</w:t>
      </w:r>
      <w:r w:rsidRPr="00781112">
        <w:rPr>
          <w:rFonts w:cs="Arial"/>
          <w:color w:val="000000" w:themeColor="text1"/>
          <w:szCs w:val="16"/>
        </w:rPr>
        <w:br/>
        <w:t>— Hosting monthly support calls with CSI-ATS school teams and special education directors.</w:t>
      </w:r>
      <w:r w:rsidRPr="00781112">
        <w:rPr>
          <w:rFonts w:cs="Arial"/>
          <w:color w:val="000000" w:themeColor="text1"/>
          <w:szCs w:val="16"/>
        </w:rPr>
        <w:br/>
        <w:t>— Sending emails and surveys to gather feedback from a wide range of stakeholders.</w:t>
      </w:r>
      <w:r w:rsidRPr="00781112">
        <w:rPr>
          <w:rFonts w:cs="Arial"/>
          <w:color w:val="000000" w:themeColor="text1"/>
          <w:szCs w:val="16"/>
        </w:rPr>
        <w:br/>
      </w:r>
      <w:r w:rsidRPr="00781112">
        <w:rPr>
          <w:rFonts w:cs="Arial"/>
          <w:color w:val="000000" w:themeColor="text1"/>
          <w:szCs w:val="16"/>
        </w:rPr>
        <w:br/>
        <w:t>INFORMATION EXCHANGE</w:t>
      </w:r>
      <w:r w:rsidRPr="00781112">
        <w:rPr>
          <w:rFonts w:cs="Arial"/>
          <w:color w:val="000000" w:themeColor="text1"/>
          <w:szCs w:val="16"/>
        </w:rPr>
        <w:br/>
        <w:t>— Using a dedicated Teams site to communicate with LEAs.</w:t>
      </w:r>
      <w:r w:rsidRPr="00781112">
        <w:rPr>
          <w:rFonts w:cs="Arial"/>
          <w:color w:val="000000" w:themeColor="text1"/>
          <w:szCs w:val="16"/>
        </w:rPr>
        <w:br/>
        <w:t>— Providing a public input form on the WVDE website for the SSIP.</w:t>
      </w:r>
      <w:r w:rsidRPr="00781112">
        <w:rPr>
          <w:rFonts w:cs="Arial"/>
          <w:color w:val="000000" w:themeColor="text1"/>
          <w:szCs w:val="16"/>
        </w:rPr>
        <w:br/>
        <w:t>— Gathering feedback from parents, students, and school staff during monitoring activities.</w:t>
      </w:r>
      <w:r w:rsidRPr="00781112">
        <w:rPr>
          <w:rFonts w:cs="Arial"/>
          <w:color w:val="000000" w:themeColor="text1"/>
          <w:szCs w:val="16"/>
        </w:rPr>
        <w:br/>
      </w:r>
      <w:r w:rsidRPr="00781112">
        <w:rPr>
          <w:rFonts w:cs="Arial"/>
          <w:color w:val="000000" w:themeColor="text1"/>
          <w:szCs w:val="16"/>
        </w:rPr>
        <w:br/>
        <w:t>COLLABORATIVE PARTNERSHIPS</w:t>
      </w:r>
      <w:r w:rsidRPr="00781112">
        <w:rPr>
          <w:rFonts w:cs="Arial"/>
          <w:color w:val="000000" w:themeColor="text1"/>
          <w:szCs w:val="16"/>
        </w:rPr>
        <w:br/>
        <w:t>— Participating in regular meetings and interagency teams focused on improving outcomes for individuals with disabilities.</w:t>
      </w:r>
      <w:r w:rsidRPr="00781112">
        <w:rPr>
          <w:rFonts w:cs="Arial"/>
          <w:color w:val="000000" w:themeColor="text1"/>
          <w:szCs w:val="16"/>
        </w:rPr>
        <w:br/>
        <w:t>— Ensuring state director involvement in all WVACEEC meetings, which includes participation, capacity building, and feedback solicitation from LEAs, parents, and community groups.</w:t>
      </w:r>
      <w:r w:rsidRPr="00781112">
        <w:rPr>
          <w:rFonts w:cs="Arial"/>
          <w:color w:val="000000" w:themeColor="text1"/>
          <w:szCs w:val="16"/>
        </w:rPr>
        <w:br/>
        <w:t>— Maintaining periodic meetings and working relationships with legislators, advocacy agencies, teacher organizations, and other interested parties.</w:t>
      </w:r>
    </w:p>
    <w:p w14:paraId="159721AE" w14:textId="2EBB96BA" w:rsidR="00084FF1" w:rsidRPr="00781112" w:rsidRDefault="00084FF1" w:rsidP="000C24C2">
      <w:pPr>
        <w:rPr>
          <w:rFonts w:cs="Arial"/>
          <w:b/>
          <w:color w:val="000000" w:themeColor="text1"/>
          <w:szCs w:val="16"/>
        </w:rPr>
      </w:pPr>
      <w:r w:rsidRPr="00781112">
        <w:rPr>
          <w:rFonts w:cs="Arial"/>
          <w:b/>
          <w:color w:val="000000" w:themeColor="text1"/>
          <w:szCs w:val="16"/>
        </w:rPr>
        <w:t>Apply stakeholder engagement from introduction to all Part B results indicators (y/n)</w:t>
      </w:r>
    </w:p>
    <w:p w14:paraId="2E10E7B0" w14:textId="00B67F00" w:rsidR="00FB0D0A" w:rsidRPr="00781112" w:rsidRDefault="002B7490" w:rsidP="004369B2">
      <w:pPr>
        <w:rPr>
          <w:color w:val="000000" w:themeColor="text1"/>
        </w:rPr>
      </w:pPr>
      <w:r w:rsidRPr="00781112">
        <w:rPr>
          <w:color w:val="000000" w:themeColor="text1"/>
        </w:rPr>
        <w:t>NO</w:t>
      </w:r>
    </w:p>
    <w:p w14:paraId="039304C3" w14:textId="77777777" w:rsidR="00F72E24" w:rsidRPr="00781112" w:rsidRDefault="00F72E24" w:rsidP="00F72E24">
      <w:pPr>
        <w:rPr>
          <w:b/>
          <w:color w:val="000000" w:themeColor="text1"/>
        </w:rPr>
      </w:pPr>
      <w:r w:rsidRPr="00781112">
        <w:rPr>
          <w:b/>
          <w:color w:val="000000" w:themeColor="text1"/>
        </w:rPr>
        <w:t>Number of Parent Members:</w:t>
      </w:r>
    </w:p>
    <w:p w14:paraId="3A2A60D7" w14:textId="5F5224C2" w:rsidR="00F72E24" w:rsidRPr="00781112" w:rsidRDefault="00F72E24" w:rsidP="00F72E24">
      <w:pPr>
        <w:rPr>
          <w:color w:val="000000" w:themeColor="text1"/>
          <w:szCs w:val="16"/>
        </w:rPr>
      </w:pPr>
      <w:r w:rsidRPr="00781112">
        <w:rPr>
          <w:color w:val="000000" w:themeColor="text1"/>
          <w:szCs w:val="16"/>
        </w:rPr>
        <w:t>180</w:t>
      </w:r>
    </w:p>
    <w:p w14:paraId="06D1F432" w14:textId="77777777" w:rsidR="00F72E24" w:rsidRPr="00781112" w:rsidRDefault="00F72E24" w:rsidP="00F72E24">
      <w:pPr>
        <w:rPr>
          <w:b/>
          <w:color w:val="000000" w:themeColor="text1"/>
        </w:rPr>
      </w:pPr>
      <w:r w:rsidRPr="00781112">
        <w:rPr>
          <w:b/>
          <w:color w:val="000000" w:themeColor="text1"/>
        </w:rPr>
        <w:t>Parent Members Engagement:</w:t>
      </w:r>
    </w:p>
    <w:p w14:paraId="243421D1" w14:textId="676E0957" w:rsidR="00F72E24" w:rsidRPr="00781112" w:rsidRDefault="00F72E24" w:rsidP="00F72E24">
      <w:pPr>
        <w:rPr>
          <w:b/>
          <w:color w:val="000000" w:themeColor="text1"/>
        </w:rPr>
      </w:pPr>
      <w:r w:rsidRPr="00781112">
        <w:rPr>
          <w:b/>
          <w:color w:val="000000" w:themeColor="text1"/>
        </w:rPr>
        <w:t>Describe how the parent members of the State Advisory Panel, parent center staff, parents from local and statewide advocacy and advisory committees, and individual parents were engaged in setting targets, analyzing data, developing improvement strategies, and evaluating progress.</w:t>
      </w:r>
    </w:p>
    <w:p w14:paraId="5A19969A" w14:textId="0D5C2CEC" w:rsidR="00F72E24" w:rsidRPr="00781112" w:rsidRDefault="00F72E24" w:rsidP="00F72E24">
      <w:pPr>
        <w:rPr>
          <w:color w:val="000000" w:themeColor="text1"/>
          <w:szCs w:val="16"/>
        </w:rPr>
      </w:pPr>
      <w:r w:rsidRPr="00781112">
        <w:rPr>
          <w:color w:val="000000" w:themeColor="text1"/>
          <w:szCs w:val="16"/>
        </w:rPr>
        <w:t>The West Virginia Advisory Council for the Education of Exceptional Children (WVACEEC) is the State Advisory Council established by state code to comply with IDEA. The council includes members from various demographic groups such as individuals with disabilities, parents of students with disabilities (SWD), teachers, higher education institutions, local administrators, other state agencies, advocacy and parent organizations, private schools, vocational/business communities, representatives for homeless children, SEA officials, state welfare agencies, and state juvenile and adult corrections. The majority of the council must be individuals with disabilities or parents of SWDs, with some members serving multiple roles. Additionally, no more than two state officers or employees may be members.</w:t>
      </w:r>
      <w:r w:rsidRPr="00781112">
        <w:rPr>
          <w:color w:val="000000" w:themeColor="text1"/>
          <w:szCs w:val="16"/>
        </w:rPr>
        <w:br/>
      </w:r>
      <w:r w:rsidRPr="00781112">
        <w:rPr>
          <w:color w:val="000000" w:themeColor="text1"/>
          <w:szCs w:val="16"/>
        </w:rPr>
        <w:br/>
        <w:t>WVACEEC collaborates with the WVDE, council members, and guest presenters to set the agenda for each meeting. Meetings offer a virtual option and rotate physical locations throughout the state to enhance public participation, addressing unmet needs in different geographic areas. Topics are designed to gather input and feedback on SPP/APR Indicator priorities, local highlights, unmet needs, and concerns from parents representing statewide demographics.</w:t>
      </w:r>
      <w:r w:rsidRPr="00781112">
        <w:rPr>
          <w:color w:val="000000" w:themeColor="text1"/>
          <w:szCs w:val="16"/>
        </w:rPr>
        <w:br/>
      </w:r>
      <w:r w:rsidRPr="00781112">
        <w:rPr>
          <w:color w:val="000000" w:themeColor="text1"/>
          <w:szCs w:val="16"/>
        </w:rPr>
        <w:br/>
        <w:t>WVDE/OSE actively incorporates the needs of parents and builds the capacity of its diverse stakeholders through outreach and communication efforts. The State team ensures that educational data is presented clearly and accessibly, using parent-friendly language and contextualizing information to the purpose and function of each indicator. This approach empowers parents to participate actively in their child's education and fosters a collaborative school environment.</w:t>
      </w:r>
      <w:r w:rsidRPr="00781112">
        <w:rPr>
          <w:color w:val="000000" w:themeColor="text1"/>
          <w:szCs w:val="16"/>
        </w:rPr>
        <w:br/>
      </w:r>
      <w:r w:rsidRPr="00781112">
        <w:rPr>
          <w:color w:val="000000" w:themeColor="text1"/>
          <w:szCs w:val="16"/>
        </w:rPr>
        <w:br/>
        <w:t>WVDE/OSE participates in all WVACEEC meetings, featuring an SEA spotlight on various components of general supervision. The council engages in rich discussions and provides valuable feedback on the Annual Compliance Report, initiatives to improve results for SWDs, including the SSIP, policy updates, target discussions, and data collection and use at the SEA and LEA levels. This strong stakeholder engagement is essential for developing and evaluating improvement processes. Additionally, WVACEEC advises the West Virginia Board of Education (WVBE) on unmet needs in special education across the state and submits an annual report to the WVBE. Information about WVACEEC, including meeting schedules and annual reports, is publicly available here [https://wvde.us/special-education/family-and-public-partnership/west-virginia-advisory-council-for-the-education-of-exceptional-children/].</w:t>
      </w:r>
      <w:r w:rsidRPr="00781112">
        <w:rPr>
          <w:color w:val="000000" w:themeColor="text1"/>
          <w:szCs w:val="16"/>
        </w:rPr>
        <w:br/>
      </w:r>
      <w:r w:rsidRPr="00781112">
        <w:rPr>
          <w:color w:val="000000" w:themeColor="text1"/>
          <w:szCs w:val="16"/>
        </w:rPr>
        <w:br/>
        <w:t>WVDE/OSE regularly partners with West Virginia Parent Training and Information, Inc. (WVPTI), a non-profit organization focused on improving the lives and education of all children, especially those with disabilities and special healthcare needs. This partnership ensures that accurate and meaningful information is available to parents. Examples of their work and support materials are available on the WVPTI website [https://wvpti-inc.org/]</w:t>
      </w:r>
      <w:r w:rsidRPr="00781112">
        <w:rPr>
          <w:color w:val="000000" w:themeColor="text1"/>
          <w:szCs w:val="16"/>
        </w:rPr>
        <w:br/>
      </w:r>
      <w:r w:rsidRPr="00781112">
        <w:rPr>
          <w:color w:val="000000" w:themeColor="text1"/>
          <w:szCs w:val="16"/>
        </w:rPr>
        <w:br/>
        <w:t>WVDE/OSE also participates in multiple statewide councils, including the Developmental Disability Council (DD Council), Statewide Independent Living Council (SILC), State Rehab Council (SRC), Employment First, Olmstead Council, and WVACEEC. Stakeholders from these organizations often express appreciation for WVDE/OSE's efforts to enhance their understanding of IDEA processes and improve communication between the SEA and diverse stakeholder groups. WVDE/OSE collaborates with these groups to develop strategies for continuous improvement and evaluate progress toward special education outcomes in West Virginia.</w:t>
      </w:r>
    </w:p>
    <w:p w14:paraId="22B36B69" w14:textId="77777777" w:rsidR="00F72E24" w:rsidRPr="00781112" w:rsidRDefault="00F72E24" w:rsidP="00F72E24">
      <w:pPr>
        <w:rPr>
          <w:b/>
          <w:color w:val="000000" w:themeColor="text1"/>
        </w:rPr>
      </w:pPr>
      <w:r w:rsidRPr="00781112">
        <w:rPr>
          <w:b/>
          <w:color w:val="000000" w:themeColor="text1"/>
        </w:rPr>
        <w:t>Activities to Improve Outcomes for Children with Disabilities:</w:t>
      </w:r>
    </w:p>
    <w:p w14:paraId="362D1ECF" w14:textId="77777777" w:rsidR="006457D1" w:rsidRPr="006457D1" w:rsidRDefault="006457D1" w:rsidP="006457D1">
      <w:pPr>
        <w:rPr>
          <w:b/>
          <w:color w:val="000000" w:themeColor="text1"/>
        </w:rPr>
      </w:pPr>
      <w:r w:rsidRPr="006457D1">
        <w:rPr>
          <w:b/>
          <w:color w:val="000000" w:themeColor="text1"/>
        </w:rPr>
        <w:t>The activities conducted to increase the capacity of diverse groups of parents to support the development of implementation activities designed to improve outcomes for children with disabilities.</w:t>
      </w:r>
    </w:p>
    <w:p w14:paraId="3BDE813D" w14:textId="522F6FB0" w:rsidR="00F72E24" w:rsidRPr="00781112" w:rsidRDefault="00F72E24" w:rsidP="00F72E24">
      <w:pPr>
        <w:rPr>
          <w:color w:val="000000" w:themeColor="text1"/>
          <w:szCs w:val="16"/>
        </w:rPr>
      </w:pPr>
      <w:r w:rsidRPr="00781112">
        <w:rPr>
          <w:color w:val="000000" w:themeColor="text1"/>
          <w:szCs w:val="16"/>
        </w:rPr>
        <w:t>WVDE/OSE continues to offer technical assistance and support to increase the capacity of West Virginia PreK-12 staff &amp; stakeholders in working with diverse parent groups. This support aims to develop activities &amp; programs that improve outcomes for students with disabilities (SWD). By partnering with community members &amp; parents, WVDE/OSE has gained a better understanding of complex issues such as disproportionality, exclusionary practices, &amp; toxic stress affecting students of color &amp; those from low socioeconomic backgrounds.</w:t>
      </w:r>
      <w:r w:rsidRPr="00781112">
        <w:rPr>
          <w:color w:val="000000" w:themeColor="text1"/>
          <w:szCs w:val="16"/>
        </w:rPr>
        <w:br/>
      </w:r>
      <w:r w:rsidRPr="00781112">
        <w:rPr>
          <w:color w:val="000000" w:themeColor="text1"/>
          <w:szCs w:val="16"/>
        </w:rPr>
        <w:lastRenderedPageBreak/>
        <w:br/>
        <w:t>Parent Education Resource Centers (PERCs)</w:t>
      </w:r>
      <w:r w:rsidRPr="00781112">
        <w:rPr>
          <w:color w:val="000000" w:themeColor="text1"/>
          <w:szCs w:val="16"/>
        </w:rPr>
        <w:br/>
        <w:t>— Some LEAs maintain locally funded PERCs to support families of SWDs. Staffed by parent-educator teams, PERCs offer resources &amp; training in parenting skills, problem-solving, educational planning, behavior management, &amp; home learning activities. They also provide individualized support to help families understand their children's needs &amp; identify appropriate resources &amp; services.</w:t>
      </w:r>
      <w:r w:rsidRPr="00781112">
        <w:rPr>
          <w:color w:val="000000" w:themeColor="text1"/>
          <w:szCs w:val="16"/>
        </w:rPr>
        <w:br/>
      </w:r>
      <w:r w:rsidRPr="00781112">
        <w:rPr>
          <w:color w:val="000000" w:themeColor="text1"/>
          <w:szCs w:val="16"/>
        </w:rPr>
        <w:br/>
        <w:t>Local &amp; State-Level Initiatives</w:t>
      </w:r>
      <w:r w:rsidRPr="00781112">
        <w:rPr>
          <w:color w:val="000000" w:themeColor="text1"/>
          <w:szCs w:val="16"/>
        </w:rPr>
        <w:br/>
        <w:t>— WVDE acknowledges the vital role families play in student success &amp; offers various opportunities for parent &amp; family engagement. LEAs, guided by their local boards of education, can implement family engagement strategies tailored to their communities. To support these efforts, WVDE/OSE employs a state-level family engagement coordinator who connects parents, teachers, &amp; administrators, promoting meaningful participation in all aspects of a child's education. This includes enhancing parents' understanding of special education services, empowering their involvement in decision-making, informing them of their rights within special education processes, &amp; helping LEAs develop culturally responsive family engagement initiatives.</w:t>
      </w:r>
      <w:r w:rsidRPr="00781112">
        <w:rPr>
          <w:color w:val="000000" w:themeColor="text1"/>
          <w:szCs w:val="16"/>
        </w:rPr>
        <w:br/>
      </w:r>
      <w:r w:rsidRPr="00781112">
        <w:rPr>
          <w:color w:val="000000" w:themeColor="text1"/>
          <w:szCs w:val="16"/>
        </w:rPr>
        <w:br/>
        <w:t>Communities in Schools (CIS)</w:t>
      </w:r>
      <w:r w:rsidRPr="00781112">
        <w:rPr>
          <w:color w:val="000000" w:themeColor="text1"/>
          <w:szCs w:val="16"/>
        </w:rPr>
        <w:br/>
        <w:t>— WVDE supports families through the statewide CIS initiative. Site coordinators in participating schools guide parents through the educational &amp; community resource landscape. CIS ensures that parents from diverse backgrounds have the information &amp; support needed to engage in their children's education &amp; collaborate with educators. As of SY 2023-24, CIS has site coordinators in schools across all 55 counties in West Virginia.</w:t>
      </w:r>
      <w:r w:rsidRPr="00781112">
        <w:rPr>
          <w:color w:val="000000" w:themeColor="text1"/>
          <w:szCs w:val="16"/>
        </w:rPr>
        <w:br/>
      </w:r>
      <w:r w:rsidRPr="00781112">
        <w:rPr>
          <w:color w:val="000000" w:themeColor="text1"/>
          <w:szCs w:val="16"/>
        </w:rPr>
        <w:br/>
        <w:t>WV Healthy GrandFamilies Program</w:t>
      </w:r>
      <w:r w:rsidRPr="00781112">
        <w:rPr>
          <w:color w:val="000000" w:themeColor="text1"/>
          <w:szCs w:val="16"/>
        </w:rPr>
        <w:br/>
        <w:t>— In collaboration with WV legislators, the WV Bureau of Senior Services, community members, &amp; WV State University Extension's Healthy GrandFamilies Programs (WVHGP), WVDE established a WVHGP in every county school district. This evidence-based program supports grandparents raising school-age children through nine facilitated discussion groups, including one on public school programs, policies, &amp; special education. Each LEA tailors the program curriculum to local needs. The program also offers reading, math, STEAM, &amp; career exploratory activities for the children. Social workers, special education staff, &amp; CIS personnel provide ongoing support for participants &amp; program graduates. For sustainability, graduates of the program mentor new grandparents joining the program each year.</w:t>
      </w:r>
      <w:r w:rsidRPr="00781112">
        <w:rPr>
          <w:color w:val="000000" w:themeColor="text1"/>
          <w:szCs w:val="16"/>
        </w:rPr>
        <w:br/>
      </w:r>
      <w:r w:rsidRPr="00781112">
        <w:rPr>
          <w:color w:val="000000" w:themeColor="text1"/>
          <w:szCs w:val="16"/>
        </w:rPr>
        <w:br/>
        <w:t>Collaboration with Advocates</w:t>
      </w:r>
      <w:r w:rsidRPr="00781112">
        <w:rPr>
          <w:color w:val="000000" w:themeColor="text1"/>
          <w:szCs w:val="16"/>
        </w:rPr>
        <w:br/>
        <w:t>— WVDE/OSE maintains positive relationships with advocacy agencies statewide &amp; frequently collaborates with them as community stakeholders to identify common themes or frequent complaints, which inform ongoing professional development &amp; technical assistance for LEAs. This relationship also enhances parents' capacity to participate in special education decision-making &amp; progress evaluation, ensures underrepresented communities are included in policy development &amp; implementation, &amp; provides families with valuable support &amp; resources as they navigate the special education system.</w:t>
      </w:r>
      <w:r w:rsidRPr="00781112">
        <w:rPr>
          <w:color w:val="000000" w:themeColor="text1"/>
          <w:szCs w:val="16"/>
        </w:rPr>
        <w:br/>
      </w:r>
      <w:r w:rsidRPr="00781112">
        <w:rPr>
          <w:color w:val="000000" w:themeColor="text1"/>
          <w:szCs w:val="16"/>
        </w:rPr>
        <w:br/>
        <w:t>Parent Support &amp; Technical Assistance</w:t>
      </w:r>
      <w:r w:rsidRPr="00781112">
        <w:rPr>
          <w:color w:val="000000" w:themeColor="text1"/>
          <w:szCs w:val="16"/>
        </w:rPr>
        <w:br/>
        <w:t>— During SY 2023-24, WVDE/OSE coordinators fielded over 125 calls from parents statewide, providing technical assistance on a wide range of topics, including Free Appropriate Public Education (FAPE), Least Restrictive Environment (LRE), IEPs, Section 504, Disabilities &amp; Support, Special Education/Related Services, Eligibility, Discipline/Behavior, Policy/Compliance, Curriculum/Instruction, Safety/Classroom Environment, Communication, Meetings/Training, Attendance, Child Find, Homebound, Reading/Dyslexia, Graduation/Diplomas, Dispute Resolution, Alternate Standards/Assessment, &amp; others.</w:t>
      </w:r>
      <w:r w:rsidRPr="00781112">
        <w:rPr>
          <w:color w:val="000000" w:themeColor="text1"/>
          <w:szCs w:val="16"/>
        </w:rPr>
        <w:br/>
      </w:r>
      <w:r w:rsidRPr="00781112">
        <w:rPr>
          <w:color w:val="000000" w:themeColor="text1"/>
          <w:szCs w:val="16"/>
        </w:rPr>
        <w:br/>
        <w:t>Enhancing Support &amp; Engagement for SWDs &amp; their Families</w:t>
      </w:r>
      <w:r w:rsidRPr="00781112">
        <w:rPr>
          <w:color w:val="000000" w:themeColor="text1"/>
          <w:szCs w:val="16"/>
        </w:rPr>
        <w:br/>
        <w:t xml:space="preserve">— In partnership with the WV Family Engagement Center (WVFEC), [ https://www.wvfec.org/] funded by a grant from the U.S. Department of Education, WVDE continues to support SWDs &amp; their families by providing guidance, resources, &amp; collaboration to deliver special education training for staff &amp; parents. In 2024, the two entities partnered to provide training for parents &amp; school staff on working together to impact student learning at the Student Success Summit. Initially, WVFEC conducted listening tours to give parents of SWDs opportunities to learn &amp; share &amp; provided regional data to schools to help improve family engagement &amp; student achievement. Data focused on parents’ perceptions about their child’s education &amp; their role in their children’s learning. The WVDE/OSE family engagement coordinator serves as a liaison between WVDE &amp; WVFEC to target low-performing schools &amp; enhance the participation of parents of SWDs in Career &amp; Technical Education programs, aiming to improve completion &amp; transition outcomes. Recently, WVFEC implemented a coaching model to allow school staff who have been through the program to train additional schools in strengthening partnerships with families. </w:t>
      </w:r>
      <w:r w:rsidRPr="00781112">
        <w:rPr>
          <w:color w:val="000000" w:themeColor="text1"/>
          <w:szCs w:val="16"/>
        </w:rPr>
        <w:br/>
      </w:r>
      <w:r w:rsidRPr="00781112">
        <w:rPr>
          <w:color w:val="000000" w:themeColor="text1"/>
          <w:szCs w:val="16"/>
        </w:rPr>
        <w:br/>
        <w:t xml:space="preserve">WV Governor’s Early Intervention Interagency Coordinating Council (WVGEIICC) </w:t>
      </w:r>
      <w:r w:rsidRPr="00781112">
        <w:rPr>
          <w:color w:val="000000" w:themeColor="text1"/>
          <w:szCs w:val="16"/>
        </w:rPr>
        <w:br/>
        <w:t>— The WVGEIICC provides WVDE/OSE with opportunities to advise &amp; assist the Council. The Council brings together parents, professionals, legislators, advocates, &amp; state interagency partners to develop &amp; implement a statewide system of services &amp; supports for young children who are not meeting developmental milestones. The Council supports the WV Birth to Three program’s mission, including the belief that “all families, with responsive &amp; individualized supports &amp; resources, can enhance their children’s learning &amp; development.” WVGEIICC believes that families should play a major role in all aspects of WV Birth to Three, including program development, implementation, &amp; evaluation. Participation from WVDE provides valuable insight, advice, &amp; assistance to the Council. Although WVDE does not administer Part C of the IDEA, its participation in the Council helps build relationships with parents &amp; stakeholders, strengthening transition activities from Part C to Part B services.</w:t>
      </w:r>
      <w:r w:rsidRPr="00781112">
        <w:rPr>
          <w:color w:val="000000" w:themeColor="text1"/>
          <w:szCs w:val="16"/>
        </w:rPr>
        <w:br/>
      </w:r>
      <w:r w:rsidRPr="00781112">
        <w:rPr>
          <w:color w:val="000000" w:themeColor="text1"/>
          <w:szCs w:val="16"/>
        </w:rPr>
        <w:br/>
        <w:t>Ready Read Write</w:t>
      </w:r>
      <w:r w:rsidRPr="00781112">
        <w:rPr>
          <w:color w:val="000000" w:themeColor="text1"/>
          <w:szCs w:val="16"/>
        </w:rPr>
        <w:br/>
        <w:t>— In SY 2023-24, WVDE’s “Ready Read Write” initiative continued to enhance literacy for all students, including SWDs. The program remained dedicated to supporting families &amp; ensuring parents had the tools &amp; resources needed to actively participate in their children's education. It provided a variety of inclusive &amp; accessible resources to help students improve their reading &amp; writing skills, ensuring that all families, regardless of their background, could benefit from the program's offerings. To support families, the program offered materials &amp; guidance, including tips on creating a supportive home learning environment &amp; strategies for encouraging reading &amp; writing at home.</w:t>
      </w:r>
      <w:r w:rsidRPr="00781112">
        <w:rPr>
          <w:color w:val="000000" w:themeColor="text1"/>
          <w:szCs w:val="16"/>
        </w:rPr>
        <w:br/>
      </w:r>
      <w:r w:rsidRPr="00781112">
        <w:rPr>
          <w:color w:val="000000" w:themeColor="text1"/>
          <w:szCs w:val="16"/>
        </w:rPr>
        <w:br/>
        <w:t>Unite with Numeracy &amp; math4life</w:t>
      </w:r>
      <w:r w:rsidRPr="00781112">
        <w:rPr>
          <w:color w:val="000000" w:themeColor="text1"/>
          <w:szCs w:val="16"/>
        </w:rPr>
        <w:br/>
        <w:t>— The Unite with Numeracy initiative builds on math4life goals of enhancing teacher content knowledge, improving pedagogy, &amp; increasing student achievement &amp; engagement. It aims to improve math literacy for all students, including SWDs, through resources &amp; relationships developed from math4life. The initiative provides families with resources &amp; strategies to support their children's math learning at home including online resources &amp; practical tips. It also focuses on engaging families in numeracy content, emphasizing how mathematics is present in the world around us to make math learning fun &amp; accessible for students of all ages &amp; abilities.</w:t>
      </w:r>
    </w:p>
    <w:p w14:paraId="6210CD83" w14:textId="77777777" w:rsidR="00F72E24" w:rsidRPr="00781112" w:rsidRDefault="00F72E24" w:rsidP="00F72E24">
      <w:pPr>
        <w:rPr>
          <w:b/>
          <w:color w:val="000000" w:themeColor="text1"/>
        </w:rPr>
      </w:pPr>
      <w:r w:rsidRPr="00781112">
        <w:rPr>
          <w:b/>
          <w:color w:val="000000" w:themeColor="text1"/>
        </w:rPr>
        <w:t>Soliciting Public Input:</w:t>
      </w:r>
    </w:p>
    <w:p w14:paraId="39A8F7F4" w14:textId="036934F6" w:rsidR="00F72E24" w:rsidRPr="00781112" w:rsidRDefault="00F72E24" w:rsidP="00F72E24">
      <w:pPr>
        <w:rPr>
          <w:b/>
          <w:color w:val="000000" w:themeColor="text1"/>
        </w:rPr>
      </w:pPr>
      <w:r w:rsidRPr="00781112">
        <w:rPr>
          <w:b/>
          <w:color w:val="000000" w:themeColor="text1"/>
        </w:rPr>
        <w:t>The mechanisms and timelines for soliciting public input for setting targets, analyzing data, developing improvement strategies, and evaluating progress.</w:t>
      </w:r>
    </w:p>
    <w:p w14:paraId="223D0B8E" w14:textId="16A98311" w:rsidR="00F72E24" w:rsidRPr="00781112" w:rsidRDefault="00F72E24" w:rsidP="00F72E24">
      <w:pPr>
        <w:rPr>
          <w:color w:val="000000" w:themeColor="text1"/>
          <w:szCs w:val="16"/>
        </w:rPr>
      </w:pPr>
      <w:r w:rsidRPr="00781112">
        <w:rPr>
          <w:color w:val="000000" w:themeColor="text1"/>
          <w:szCs w:val="16"/>
        </w:rPr>
        <w:lastRenderedPageBreak/>
        <w:t>WVDE/OSE solicits public input for setting and revising SPP/APR targets through collaboration with the West Virginia Advisory Council for the Education of Exceptional Children (WVACEEC). During SY 2023-24, the WVACEEC convened meetings, both in-person and virtually, that brought together a diverse group of stakeholders, including council members, parents of students with disabilities (SWD), educators, local educational agency (LEA) special education directors, WVDE/OSE staff, and community members. During SY 2023-24, WVACEEC also implemented a concern form that parents and other stakeholders may submit to be shared and discussed at council meetings to address their needs or bring their concerns to public awareness even if they are unable to attend in-person or virtually .</w:t>
      </w:r>
      <w:r w:rsidRPr="00781112">
        <w:rPr>
          <w:color w:val="000000" w:themeColor="text1"/>
          <w:szCs w:val="16"/>
        </w:rPr>
        <w:br/>
      </w:r>
      <w:r w:rsidRPr="00781112">
        <w:rPr>
          <w:color w:val="000000" w:themeColor="text1"/>
          <w:szCs w:val="16"/>
        </w:rPr>
        <w:br/>
        <w:t>In September 2023, the Council held a virtual meeting to introduce new members and discuss ongoing activities. This was followed by face-to-face meetings in October 2023 to collect feedback from stakeholders in Hampshire and Mineral counties, where discussions focused on compliance monitoring, district challenges, and educational recovery for foster care youth. The Council emphasized the importance of addressing teacher and classroom aide shortages, behavior concerns, and mental health needs of young students. The meeting included a presentation of the 2021-2022 Annual Compliance Report (ACR) by WVDE’s State Director of Special Education, which highlighted how WVDE/OSE monitors and supports LEAs. The report covered compliance monitoring, annual desk audits, focused monitoring, dispute resolution, and compliance findings. The Education Recovery Specialists discussed their role in supporting youth in foster care, including enrollment assistance and collaboration between stakeholders. Mineral County Schools staff discussed significant challenges such as teacher and classroom aide shortages, behavior concerns of young students, and mental health needs. Despite these challenges, the LEA shared notable successes, including training 30 people on threat assessments and utilizing external facilities for student support.</w:t>
      </w:r>
      <w:r w:rsidRPr="00781112">
        <w:rPr>
          <w:color w:val="000000" w:themeColor="text1"/>
          <w:szCs w:val="16"/>
        </w:rPr>
        <w:br/>
      </w:r>
      <w:r w:rsidRPr="00781112">
        <w:rPr>
          <w:color w:val="000000" w:themeColor="text1"/>
          <w:szCs w:val="16"/>
        </w:rPr>
        <w:br/>
        <w:t>In November 2023, the Council met in Cabell and Putnam counties to review LEA reports and hear public comments. Key issues included the need for co-teaching practices, addressing the high number of students in self-contained placements, and ensuring appropriate accommodations for SWDs. The Council also highlighted the importance of training opportunities for IEP team members to ensure parents feel heard and valued.</w:t>
      </w:r>
      <w:r w:rsidRPr="00781112">
        <w:rPr>
          <w:color w:val="000000" w:themeColor="text1"/>
          <w:szCs w:val="16"/>
        </w:rPr>
        <w:br/>
      </w:r>
      <w:r w:rsidRPr="00781112">
        <w:rPr>
          <w:color w:val="000000" w:themeColor="text1"/>
          <w:szCs w:val="16"/>
        </w:rPr>
        <w:br/>
        <w:t>In February 2024, WVACEEC hosted a Virtual Resource Fair, providing sessions on financial planning, foster care support, and special education laws. This event aimed to equip parents, families, and educators with valuable information and resources.</w:t>
      </w:r>
      <w:r w:rsidRPr="00781112">
        <w:rPr>
          <w:color w:val="000000" w:themeColor="text1"/>
          <w:szCs w:val="16"/>
        </w:rPr>
        <w:br/>
      </w:r>
      <w:r w:rsidRPr="00781112">
        <w:rPr>
          <w:color w:val="000000" w:themeColor="text1"/>
          <w:szCs w:val="16"/>
        </w:rPr>
        <w:br/>
        <w:t>March 2024 saw meetings in Marion and Monongalia counties, where the Council discussed the Grow Your Own initiative and visited the Project SEARCH site at Ruby Memorial Hospital, a program designed to provide job training and employment opportunities for SWDs. The Council recognized the importance of transition options and the need for qualified special education teachers.</w:t>
      </w:r>
      <w:r w:rsidRPr="00781112">
        <w:rPr>
          <w:color w:val="000000" w:themeColor="text1"/>
          <w:szCs w:val="16"/>
        </w:rPr>
        <w:br/>
      </w:r>
      <w:r w:rsidRPr="00781112">
        <w:rPr>
          <w:color w:val="000000" w:themeColor="text1"/>
          <w:szCs w:val="16"/>
        </w:rPr>
        <w:br/>
        <w:t>In April 2024, the Council met in Berkeley, Jefferson, and Morgan counties to review compliance data and hear public comments. The Council emphasized the need for positive communication between parents and schools and the importance of training IEP team members on appropriate communication and meeting protocols.</w:t>
      </w:r>
      <w:r w:rsidRPr="00781112">
        <w:rPr>
          <w:color w:val="000000" w:themeColor="text1"/>
          <w:szCs w:val="16"/>
        </w:rPr>
        <w:br/>
      </w:r>
      <w:r w:rsidRPr="00781112">
        <w:rPr>
          <w:color w:val="000000" w:themeColor="text1"/>
          <w:szCs w:val="16"/>
        </w:rPr>
        <w:br/>
        <w:t>Throughout the year, the WVACEEC made several key recommendations:</w:t>
      </w:r>
      <w:r w:rsidRPr="00781112">
        <w:rPr>
          <w:color w:val="000000" w:themeColor="text1"/>
          <w:szCs w:val="16"/>
        </w:rPr>
        <w:br/>
        <w:t>— Expanding the Grow Your Own Pathway to Teaching Program to address the critical need for qualified special education teachers.</w:t>
      </w:r>
      <w:r w:rsidRPr="00781112">
        <w:rPr>
          <w:color w:val="000000" w:themeColor="text1"/>
          <w:szCs w:val="16"/>
        </w:rPr>
        <w:br/>
        <w:t>— Providing training opportunities for IEP team members to ensure parents feel heard and valued.</w:t>
      </w:r>
      <w:r w:rsidRPr="00781112">
        <w:rPr>
          <w:color w:val="000000" w:themeColor="text1"/>
          <w:szCs w:val="16"/>
        </w:rPr>
        <w:br/>
        <w:t>— Expanding the work of Education Recovery Specialists to support students in foster care.</w:t>
      </w:r>
      <w:r w:rsidRPr="00781112">
        <w:rPr>
          <w:color w:val="000000" w:themeColor="text1"/>
          <w:szCs w:val="16"/>
        </w:rPr>
        <w:br/>
        <w:t>— Promoting and expanding Project SEARCH to provide job training and employment opportunities for SWDs.</w:t>
      </w:r>
      <w:r w:rsidRPr="00781112">
        <w:rPr>
          <w:color w:val="000000" w:themeColor="text1"/>
          <w:szCs w:val="16"/>
        </w:rPr>
        <w:br/>
      </w:r>
      <w:r w:rsidRPr="00781112">
        <w:rPr>
          <w:color w:val="000000" w:themeColor="text1"/>
          <w:szCs w:val="16"/>
        </w:rPr>
        <w:br/>
        <w:t>The Council's efforts reflect a commitment to improving educational outcomes for exceptional children in West Virginia by addressing critical issues and fostering collaboration among stakeholders.</w:t>
      </w:r>
      <w:r w:rsidRPr="00781112">
        <w:rPr>
          <w:color w:val="000000" w:themeColor="text1"/>
          <w:szCs w:val="16"/>
        </w:rPr>
        <w:br/>
      </w:r>
      <w:r w:rsidRPr="00781112">
        <w:rPr>
          <w:color w:val="000000" w:themeColor="text1"/>
          <w:szCs w:val="16"/>
        </w:rPr>
        <w:br/>
        <w:t>SOLICITING PUBLIC INPUT AT THE LOCAL LEVEL</w:t>
      </w:r>
      <w:r w:rsidRPr="00781112">
        <w:rPr>
          <w:color w:val="000000" w:themeColor="text1"/>
          <w:szCs w:val="16"/>
        </w:rPr>
        <w:br/>
        <w:t>Targeted Systemic Improvement Plans (TSIP) focus on specific areas needing enhancement in LEAs that do not meet state targets on the Annual Desk Audit (ADA). Post-ADA data analysis helps identify at least one key area for each TSIP. Engaging stakeholders at the local level is essential in prioritizing these focus areas, ensuring that community input shapes the improvement process. Stakeholders are involved in all critical stages of TSIP development, collaborating with LEAs to set measurable goals, choose evidence-based and practical activities to drive progress, and establish realistic implementation timelines. This extensive engagement fosters a strong commitment to achieving desired outcomes for SWDs and ensures that TSIPs address the needs of local communities. Effective implementation of TSIPs at the local level directly contributes to the State's progress toward its results indicator targets.</w:t>
      </w:r>
    </w:p>
    <w:p w14:paraId="60517C6B" w14:textId="77777777" w:rsidR="001628C0" w:rsidRPr="00781112" w:rsidRDefault="001628C0" w:rsidP="001628C0">
      <w:pPr>
        <w:rPr>
          <w:b/>
          <w:color w:val="000000" w:themeColor="text1"/>
        </w:rPr>
      </w:pPr>
      <w:r w:rsidRPr="00781112">
        <w:rPr>
          <w:b/>
          <w:color w:val="000000" w:themeColor="text1"/>
        </w:rPr>
        <w:t>Making Results Available to the Public:</w:t>
      </w:r>
    </w:p>
    <w:p w14:paraId="311EF023" w14:textId="34EDFFF0" w:rsidR="001628C0" w:rsidRPr="00781112" w:rsidRDefault="001628C0" w:rsidP="001628C0">
      <w:pPr>
        <w:rPr>
          <w:b/>
          <w:color w:val="000000" w:themeColor="text1"/>
        </w:rPr>
      </w:pPr>
      <w:r w:rsidRPr="00781112">
        <w:rPr>
          <w:b/>
          <w:color w:val="000000" w:themeColor="text1"/>
        </w:rPr>
        <w:t>The mechanisms and timelines for making the results of the target setting, data analysis, development of the improvement strategies, and evaluation available to the public.</w:t>
      </w:r>
    </w:p>
    <w:p w14:paraId="0AEF38F9" w14:textId="1C0CFAA1" w:rsidR="001628C0" w:rsidRPr="00781112" w:rsidRDefault="001628C0" w:rsidP="001628C0">
      <w:pPr>
        <w:rPr>
          <w:color w:val="000000" w:themeColor="text1"/>
          <w:szCs w:val="16"/>
        </w:rPr>
      </w:pPr>
      <w:r w:rsidRPr="00781112">
        <w:rPr>
          <w:color w:val="000000" w:themeColor="text1"/>
          <w:szCs w:val="16"/>
        </w:rPr>
        <w:t>The WVACEEC receives yearly summaries of LEA and SEA outcomes after the Annual Desk Audit, the release of the SPP/APR results, and the annual SEA and LEA determinations.</w:t>
      </w:r>
      <w:r w:rsidRPr="00781112">
        <w:rPr>
          <w:color w:val="000000" w:themeColor="text1"/>
          <w:szCs w:val="16"/>
        </w:rPr>
        <w:br/>
      </w:r>
      <w:r w:rsidRPr="00781112">
        <w:rPr>
          <w:color w:val="000000" w:themeColor="text1"/>
          <w:szCs w:val="16"/>
        </w:rPr>
        <w:br/>
        <w:t>WVDE/OSE also provides key data on the SSIP webpage via an interactive dashboard. This allows stakeholders to monitor progress, determine areas needing improvement, and hold LEAs and schools accountable. Stakeholders can view metrics such as graduation rates, dropout rates, secondary transition compliance, and other important data (e.g., post-school outcomes rates, SSIP grant award amounts) across different LEAs. Tooltips are included to explain specialized terms and acronyms, making the data more accessible to a wider audience. The webpage also features an anonymous survey link for external stakeholders to provide feedback, which is used to continuously improve the website and resources. [https://wvde.us/special-education/wv-guideposts-to-graduation/]</w:t>
      </w:r>
      <w:r w:rsidRPr="00781112">
        <w:rPr>
          <w:color w:val="000000" w:themeColor="text1"/>
          <w:szCs w:val="16"/>
        </w:rPr>
        <w:br/>
      </w:r>
      <w:r w:rsidRPr="00781112">
        <w:rPr>
          <w:color w:val="000000" w:themeColor="text1"/>
          <w:szCs w:val="16"/>
        </w:rPr>
        <w:br/>
        <w:t>For more detailed analysis, additional publicly reported data can be found on the ZoomWV Dashboard: [https://zoomwv.k12.wv.us/Dashboard/dashboard/6161]. Data is updated regularly following each collection certification.</w:t>
      </w:r>
    </w:p>
    <w:p w14:paraId="7432C5B0" w14:textId="77777777" w:rsidR="00F72E24" w:rsidRPr="00781112" w:rsidRDefault="00F72E24" w:rsidP="004369B2">
      <w:pPr>
        <w:rPr>
          <w:color w:val="000000" w:themeColor="text1"/>
        </w:rPr>
      </w:pPr>
    </w:p>
    <w:p w14:paraId="41976EFD" w14:textId="52C6C218" w:rsidR="00AF5649" w:rsidRPr="00781112" w:rsidRDefault="00AF5649" w:rsidP="004369B2">
      <w:pPr>
        <w:rPr>
          <w:color w:val="000000" w:themeColor="text1"/>
        </w:rPr>
      </w:pPr>
      <w:r w:rsidRPr="00781112">
        <w:rPr>
          <w:b/>
          <w:color w:val="000000" w:themeColor="text1"/>
        </w:rPr>
        <w:t>Reporting to the Public</w:t>
      </w:r>
    </w:p>
    <w:p w14:paraId="6989C68F" w14:textId="66A1D600" w:rsidR="00AF5649" w:rsidRPr="00781112" w:rsidRDefault="00AF5649" w:rsidP="004369B2">
      <w:pPr>
        <w:rPr>
          <w:b/>
          <w:color w:val="000000" w:themeColor="text1"/>
        </w:rPr>
      </w:pPr>
      <w:r w:rsidRPr="00781112">
        <w:rPr>
          <w:b/>
          <w:color w:val="000000" w:themeColor="text1"/>
        </w:rPr>
        <w:t>How and where the State reported to the public on the FFY 2022 performance of each LEA located in the State on the targets in the SPP/APR as soon as practicable, but no later than 120 days following the State’s submission of its FFY 2022 APR, as required by 34 CFR §300.602(b)(1)(i)(A); and a description of where, on its Web site, a complete copy of the State’s SPP/APR, including any revisions if the State has revised the targets that it submitted with its FFY 2022 APR in 2024, is available.</w:t>
      </w:r>
    </w:p>
    <w:p w14:paraId="4B111ECA" w14:textId="48A73890" w:rsidR="000C24C2" w:rsidRPr="00781112" w:rsidRDefault="002B7490" w:rsidP="007925C6">
      <w:pPr>
        <w:rPr>
          <w:rFonts w:cs="Arial"/>
          <w:color w:val="000000" w:themeColor="text1"/>
          <w:szCs w:val="16"/>
        </w:rPr>
      </w:pPr>
      <w:r w:rsidRPr="00781112">
        <w:rPr>
          <w:rFonts w:cs="Arial"/>
          <w:color w:val="000000" w:themeColor="text1"/>
          <w:szCs w:val="16"/>
        </w:rPr>
        <w:t xml:space="preserve">West Virginia’s SPP/APR is posted annually no later than 120 days after the final report is loaded into EMAPS by OSEP. Both WVDE/OSE’s SPP/APR and LEA APRs are posted on the WVDE/OSE website [https://wvde.us/special-education/data-and-public-reporting/]. LEA APR data are provided in an online spreadsheet with instructions for navigation through the use of embedded hyperlinks. Each tab in the spreadsheet explains the indicator, provides </w:t>
      </w:r>
      <w:r w:rsidRPr="00781112">
        <w:rPr>
          <w:rFonts w:cs="Arial"/>
          <w:color w:val="000000" w:themeColor="text1"/>
          <w:szCs w:val="16"/>
        </w:rPr>
        <w:lastRenderedPageBreak/>
        <w:t>the target(s), and displays all LEA data, including whether the LEA met the state target for the reporting year. Cell counts &lt;10 and computed statistics (i.e., percentages) involving a numerator &lt;10 or denominator &lt;20 are suppressed to protect student privacy.</w:t>
      </w:r>
    </w:p>
    <w:p w14:paraId="5231B97D" w14:textId="77777777" w:rsidR="00466646" w:rsidRPr="00781112" w:rsidRDefault="00466646" w:rsidP="007925C6">
      <w:pPr>
        <w:rPr>
          <w:rFonts w:cs="Arial"/>
          <w:color w:val="000000" w:themeColor="text1"/>
          <w:szCs w:val="16"/>
        </w:rPr>
      </w:pPr>
    </w:p>
    <w:p w14:paraId="149B9F3D" w14:textId="71D786D9" w:rsidR="00AA4DAF" w:rsidRPr="00781112" w:rsidRDefault="00684B51" w:rsidP="008645AD">
      <w:pPr>
        <w:pStyle w:val="Heading2"/>
      </w:pPr>
      <w:r w:rsidRPr="00781112">
        <w:t xml:space="preserve">Intro - </w:t>
      </w:r>
      <w:r w:rsidR="006B0FD9" w:rsidRPr="00781112">
        <w:t xml:space="preserve">Prior FFY Required </w:t>
      </w:r>
      <w:r w:rsidR="00AA4DAF" w:rsidRPr="00781112">
        <w:t xml:space="preserve">Actions </w:t>
      </w:r>
    </w:p>
    <w:p w14:paraId="66CEC339" w14:textId="2D6DB901" w:rsidR="000C24C2" w:rsidRPr="00781112" w:rsidRDefault="002B7490" w:rsidP="000B4AA4">
      <w:pPr>
        <w:rPr>
          <w:rFonts w:cs="Arial"/>
          <w:color w:val="000000" w:themeColor="text1"/>
          <w:szCs w:val="16"/>
        </w:rPr>
      </w:pPr>
      <w:r w:rsidRPr="00781112">
        <w:rPr>
          <w:rFonts w:cs="Arial"/>
          <w:color w:val="000000" w:themeColor="text1"/>
          <w:szCs w:val="16"/>
        </w:rPr>
        <w:t>None</w:t>
      </w:r>
    </w:p>
    <w:p w14:paraId="6ECA4985" w14:textId="77777777" w:rsidR="008C56EE" w:rsidRPr="00781112" w:rsidRDefault="008C56EE" w:rsidP="000B4AA4">
      <w:pPr>
        <w:rPr>
          <w:rFonts w:cs="Arial"/>
          <w:color w:val="000000" w:themeColor="text1"/>
          <w:szCs w:val="16"/>
        </w:rPr>
      </w:pPr>
    </w:p>
    <w:p w14:paraId="4A252D01" w14:textId="7879CF0B" w:rsidR="00CE6EB0" w:rsidRPr="00781112" w:rsidRDefault="00684B51" w:rsidP="008645AD">
      <w:pPr>
        <w:pStyle w:val="Heading2"/>
      </w:pPr>
      <w:r w:rsidRPr="00781112">
        <w:t xml:space="preserve">Intro - </w:t>
      </w:r>
      <w:r w:rsidR="00CE6EB0" w:rsidRPr="00781112">
        <w:t>OSEP Response</w:t>
      </w:r>
    </w:p>
    <w:p w14:paraId="75883DD0" w14:textId="26E7A768" w:rsidR="000C24C2" w:rsidRPr="00781112" w:rsidRDefault="000C24C2" w:rsidP="001F692C">
      <w:pPr>
        <w:rPr>
          <w:rFonts w:cs="Arial"/>
          <w:color w:val="000000" w:themeColor="text1"/>
          <w:szCs w:val="16"/>
        </w:rPr>
      </w:pPr>
    </w:p>
    <w:p w14:paraId="53B509C2" w14:textId="7458BB00" w:rsidR="00CE6EB0" w:rsidRPr="00781112" w:rsidRDefault="00684B51" w:rsidP="008645AD">
      <w:pPr>
        <w:pStyle w:val="Heading2"/>
      </w:pPr>
      <w:r w:rsidRPr="00781112">
        <w:t>Intro - Required Actions</w:t>
      </w:r>
    </w:p>
    <w:p w14:paraId="4593FA49" w14:textId="4CE6B2B1" w:rsidR="000C24C2" w:rsidRPr="00781112" w:rsidRDefault="002B7490" w:rsidP="001F692C">
      <w:pPr>
        <w:rPr>
          <w:rFonts w:cs="Arial"/>
          <w:color w:val="000000" w:themeColor="text1"/>
          <w:szCs w:val="16"/>
        </w:rPr>
      </w:pPr>
      <w:r w:rsidRPr="00781112">
        <w:rPr>
          <w:rFonts w:cs="Arial"/>
          <w:color w:val="000000" w:themeColor="text1"/>
          <w:szCs w:val="16"/>
        </w:rPr>
        <w:t>The State's IDEA Part B determination for both 2024 and 2025 is Needs Assistance. In the State's 2025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in order to improve its performance. The State must report, with its FFY 2024 SPP/APR submission, due February 1, 2026, on: (1) the technical assistance sources from which the State received assistance; and (2) the actions the State took as a result of that technical assistance.</w:t>
      </w:r>
    </w:p>
    <w:p w14:paraId="42393C4C"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8F1108C" w14:textId="1387D8AF" w:rsidR="00EB0146" w:rsidRPr="00781112" w:rsidRDefault="00EB0146" w:rsidP="000444E2">
      <w:pPr>
        <w:pStyle w:val="Heading1"/>
        <w:rPr>
          <w:color w:val="000000" w:themeColor="text1"/>
          <w:sz w:val="22"/>
        </w:rPr>
      </w:pPr>
      <w:r w:rsidRPr="00781112">
        <w:rPr>
          <w:color w:val="000000" w:themeColor="text1"/>
          <w:sz w:val="22"/>
        </w:rPr>
        <w:lastRenderedPageBreak/>
        <w:t>Indicator 1: Graduation</w:t>
      </w:r>
      <w:bookmarkEnd w:id="1"/>
      <w:bookmarkEnd w:id="2"/>
    </w:p>
    <w:p w14:paraId="5D906D37" w14:textId="78FAD2CB" w:rsidR="009A62A4" w:rsidRPr="002C274F" w:rsidRDefault="009A62A4" w:rsidP="002C274F">
      <w:pPr>
        <w:rPr>
          <w:b/>
          <w:bCs/>
          <w:sz w:val="20"/>
          <w:szCs w:val="20"/>
        </w:rPr>
      </w:pPr>
      <w:r w:rsidRPr="002C274F">
        <w:rPr>
          <w:b/>
          <w:bCs/>
          <w:sz w:val="20"/>
          <w:szCs w:val="20"/>
        </w:rPr>
        <w:t>Instructions and Measurement</w:t>
      </w:r>
    </w:p>
    <w:p w14:paraId="13149CC2" w14:textId="77777777" w:rsidR="004B782D" w:rsidRPr="00781112" w:rsidRDefault="004B782D" w:rsidP="004369B2">
      <w:pPr>
        <w:rPr>
          <w:color w:val="000000" w:themeColor="text1"/>
        </w:rPr>
      </w:pPr>
      <w:bookmarkStart w:id="4" w:name="_Toc392159259"/>
      <w:r w:rsidRPr="00781112">
        <w:rPr>
          <w:b/>
          <w:color w:val="000000" w:themeColor="text1"/>
        </w:rPr>
        <w:t>Monitoring Priority:</w:t>
      </w:r>
      <w:r w:rsidRPr="00781112">
        <w:rPr>
          <w:color w:val="000000" w:themeColor="text1"/>
        </w:rPr>
        <w:t xml:space="preserve"> FAPE in the LRE </w:t>
      </w:r>
    </w:p>
    <w:p w14:paraId="18CE8669" w14:textId="0A91E220" w:rsidR="00531ED7" w:rsidRPr="00781112" w:rsidRDefault="004B782D" w:rsidP="009340E3">
      <w:pPr>
        <w:rPr>
          <w:color w:val="000000" w:themeColor="text1"/>
        </w:rPr>
      </w:pPr>
      <w:r w:rsidRPr="00781112">
        <w:rPr>
          <w:b/>
          <w:color w:val="000000" w:themeColor="text1"/>
        </w:rPr>
        <w:t>Results indicator:</w:t>
      </w:r>
      <w:r w:rsidRPr="00781112">
        <w:rPr>
          <w:color w:val="000000" w:themeColor="text1"/>
        </w:rPr>
        <w:t xml:space="preserve"> Percent of youth with</w:t>
      </w:r>
      <w:r w:rsidR="005F5514" w:rsidRPr="00781112">
        <w:rPr>
          <w:color w:val="000000" w:themeColor="text1"/>
        </w:rPr>
        <w:t xml:space="preserve"> Individualized Education </w:t>
      </w:r>
      <w:r w:rsidR="00DA7FAE" w:rsidRPr="00781112">
        <w:rPr>
          <w:color w:val="000000" w:themeColor="text1"/>
        </w:rPr>
        <w:t>Programs</w:t>
      </w:r>
      <w:r w:rsidRPr="00781112">
        <w:rPr>
          <w:color w:val="000000" w:themeColor="text1"/>
        </w:rPr>
        <w:t xml:space="preserve"> </w:t>
      </w:r>
      <w:r w:rsidR="005F5514" w:rsidRPr="00781112">
        <w:rPr>
          <w:color w:val="000000" w:themeColor="text1"/>
        </w:rPr>
        <w:t>(</w:t>
      </w:r>
      <w:r w:rsidRPr="00781112">
        <w:rPr>
          <w:color w:val="000000" w:themeColor="text1"/>
        </w:rPr>
        <w:t>IEPs</w:t>
      </w:r>
      <w:r w:rsidR="005F5514" w:rsidRPr="00781112">
        <w:rPr>
          <w:color w:val="000000" w:themeColor="text1"/>
        </w:rPr>
        <w:t>)</w:t>
      </w:r>
      <w:r w:rsidRPr="00781112">
        <w:rPr>
          <w:color w:val="000000" w:themeColor="text1"/>
        </w:rPr>
        <w:t xml:space="preserve"> </w:t>
      </w:r>
      <w:r w:rsidR="003068D4" w:rsidRPr="00781112">
        <w:rPr>
          <w:color w:val="000000" w:themeColor="text1"/>
        </w:rPr>
        <w:t>exiting</w:t>
      </w:r>
      <w:r w:rsidR="00EF4CAF" w:rsidRPr="00781112">
        <w:rPr>
          <w:color w:val="000000" w:themeColor="text1"/>
        </w:rPr>
        <w:t xml:space="preserve"> </w:t>
      </w:r>
      <w:r w:rsidR="00EF4CAF" w:rsidRPr="00781112">
        <w:rPr>
          <w:rFonts w:cs="Arial"/>
          <w:szCs w:val="16"/>
        </w:rPr>
        <w:t>special education due to graduating</w:t>
      </w:r>
      <w:r w:rsidR="003068D4" w:rsidRPr="00781112">
        <w:rPr>
          <w:color w:val="000000" w:themeColor="text1"/>
        </w:rPr>
        <w:t xml:space="preserve"> </w:t>
      </w:r>
      <w:r w:rsidRPr="00781112">
        <w:rPr>
          <w:color w:val="000000" w:themeColor="text1"/>
        </w:rPr>
        <w:t>with a regular</w:t>
      </w:r>
      <w:r w:rsidR="005F5514" w:rsidRPr="00781112">
        <w:rPr>
          <w:color w:val="000000" w:themeColor="text1"/>
        </w:rPr>
        <w:t xml:space="preserve"> high school diploma</w:t>
      </w:r>
      <w:r w:rsidRPr="00781112">
        <w:rPr>
          <w:color w:val="000000" w:themeColor="text1"/>
        </w:rPr>
        <w:t>.</w:t>
      </w:r>
      <w:r w:rsidR="00552927" w:rsidRPr="00781112">
        <w:rPr>
          <w:color w:val="000000" w:themeColor="text1"/>
        </w:rPr>
        <w:t xml:space="preserve"> </w:t>
      </w:r>
      <w:r w:rsidRPr="00781112">
        <w:rPr>
          <w:color w:val="000000" w:themeColor="text1"/>
        </w:rPr>
        <w:t>(20 U.S.C. 1416 (a)(3)(A))</w:t>
      </w:r>
    </w:p>
    <w:p w14:paraId="6446BBA4" w14:textId="09E75AD8" w:rsidR="005F5514" w:rsidRPr="00781112" w:rsidRDefault="00460298" w:rsidP="004369B2">
      <w:pPr>
        <w:rPr>
          <w:rFonts w:cs="Arial"/>
          <w:bCs/>
          <w:color w:val="000000" w:themeColor="text1"/>
          <w:szCs w:val="16"/>
        </w:rPr>
      </w:pPr>
      <w:r w:rsidRPr="00781112">
        <w:rPr>
          <w:rFonts w:cs="Arial"/>
          <w:b/>
          <w:bCs/>
          <w:color w:val="000000" w:themeColor="text1"/>
          <w:szCs w:val="16"/>
        </w:rPr>
        <w:t>Data Source</w:t>
      </w:r>
    </w:p>
    <w:p w14:paraId="08997539" w14:textId="281A6713" w:rsidR="005F5514" w:rsidRPr="00781112" w:rsidRDefault="00460298" w:rsidP="003A6167">
      <w:pPr>
        <w:rPr>
          <w:rFonts w:cs="Arial"/>
          <w:color w:val="000000" w:themeColor="text1"/>
          <w:szCs w:val="16"/>
        </w:rPr>
      </w:pPr>
      <w:r w:rsidRPr="00781112">
        <w:rPr>
          <w:rFonts w:cs="Arial"/>
          <w:color w:val="000000" w:themeColor="text1"/>
          <w:szCs w:val="16"/>
          <w:shd w:val="clear" w:color="auto" w:fill="FFFFFF"/>
        </w:rPr>
        <w:t xml:space="preserve">Same data as used for reporting to the Department </w:t>
      </w:r>
      <w:r w:rsidR="001A0C28" w:rsidRPr="00781112">
        <w:rPr>
          <w:rFonts w:cs="Arial"/>
          <w:szCs w:val="16"/>
          <w:shd w:val="clear" w:color="auto" w:fill="FFFFFF"/>
        </w:rPr>
        <w:t>under section 618 of the Individuals with Disabilities Education Act (IDEA), using the definitions in ED</w:t>
      </w:r>
      <w:r w:rsidR="001A0C28" w:rsidRPr="00BA3DBE">
        <w:rPr>
          <w:rFonts w:cs="Arial"/>
          <w:i/>
          <w:iCs/>
          <w:szCs w:val="16"/>
          <w:shd w:val="clear" w:color="auto" w:fill="FFFFFF"/>
        </w:rPr>
        <w:t>Facts</w:t>
      </w:r>
      <w:r w:rsidR="001A0C28" w:rsidRPr="00781112">
        <w:rPr>
          <w:rFonts w:cs="Arial"/>
          <w:szCs w:val="16"/>
          <w:shd w:val="clear" w:color="auto" w:fill="FFFFFF"/>
        </w:rPr>
        <w:t xml:space="preserve"> file specification FS009</w:t>
      </w:r>
      <w:r w:rsidRPr="00781112">
        <w:rPr>
          <w:rFonts w:cs="Arial"/>
          <w:color w:val="000000" w:themeColor="text1"/>
          <w:szCs w:val="16"/>
          <w:shd w:val="clear" w:color="auto" w:fill="FFFFFF"/>
        </w:rPr>
        <w:t>.</w:t>
      </w:r>
    </w:p>
    <w:p w14:paraId="453C54CF" w14:textId="0B94BC61" w:rsidR="005F5514" w:rsidRPr="00781112" w:rsidRDefault="005F5514" w:rsidP="004369B2">
      <w:pPr>
        <w:rPr>
          <w:color w:val="000000" w:themeColor="text1"/>
        </w:rPr>
      </w:pPr>
      <w:r w:rsidRPr="00781112">
        <w:rPr>
          <w:b/>
          <w:color w:val="000000" w:themeColor="text1"/>
        </w:rPr>
        <w:t>Measurement</w:t>
      </w:r>
    </w:p>
    <w:p w14:paraId="368E5D32" w14:textId="2D879251" w:rsidR="005F5514" w:rsidRPr="00781112" w:rsidRDefault="005F5514" w:rsidP="003A6167">
      <w:pPr>
        <w:rPr>
          <w:rFonts w:cs="Arial"/>
          <w:color w:val="000000" w:themeColor="text1"/>
          <w:szCs w:val="16"/>
        </w:rPr>
      </w:pPr>
      <w:r w:rsidRPr="00781112">
        <w:rPr>
          <w:rFonts w:cs="Arial"/>
          <w:color w:val="000000" w:themeColor="text1"/>
          <w:szCs w:val="16"/>
          <w:shd w:val="clear" w:color="auto" w:fill="FFFFFF"/>
        </w:rPr>
        <w:t xml:space="preserve">States </w:t>
      </w:r>
      <w:r w:rsidR="0084727C" w:rsidRPr="00781112">
        <w:rPr>
          <w:rFonts w:cs="Arial"/>
          <w:szCs w:val="16"/>
          <w:shd w:val="clear" w:color="auto" w:fill="FFFFFF"/>
        </w:rPr>
        <w:t xml:space="preserve">must report a percentage using the number of youth with IEPs (ages 14-21) who exited special education due to graduating with a regular high school diploma in the numerator and the number of all youth with IEPs who </w:t>
      </w:r>
      <w:r w:rsidR="00CB505C" w:rsidRPr="00781112">
        <w:rPr>
          <w:rFonts w:cs="Arial"/>
          <w:szCs w:val="16"/>
          <w:shd w:val="clear" w:color="auto" w:fill="FFFFFF"/>
        </w:rPr>
        <w:t>exited</w:t>
      </w:r>
      <w:r w:rsidR="0084727C" w:rsidRPr="00781112">
        <w:rPr>
          <w:rFonts w:cs="Arial"/>
          <w:szCs w:val="16"/>
          <w:shd w:val="clear" w:color="auto" w:fill="FFFFFF"/>
        </w:rPr>
        <w:t xml:space="preserve"> high school (ages 14-21) in the denominator</w:t>
      </w:r>
      <w:r w:rsidRPr="00781112">
        <w:rPr>
          <w:rFonts w:cs="Arial"/>
          <w:color w:val="000000" w:themeColor="text1"/>
          <w:szCs w:val="16"/>
          <w:shd w:val="clear" w:color="auto" w:fill="FFFFFF"/>
        </w:rPr>
        <w:t>.</w:t>
      </w:r>
    </w:p>
    <w:p w14:paraId="3C528AFB" w14:textId="76079BAD" w:rsidR="005F5514" w:rsidRPr="00781112" w:rsidRDefault="005F5514" w:rsidP="004369B2">
      <w:pPr>
        <w:rPr>
          <w:color w:val="000000" w:themeColor="text1"/>
        </w:rPr>
      </w:pPr>
      <w:r w:rsidRPr="00781112">
        <w:rPr>
          <w:b/>
          <w:color w:val="000000" w:themeColor="text1"/>
        </w:rPr>
        <w:t>Instructions</w:t>
      </w:r>
    </w:p>
    <w:p w14:paraId="675BD796" w14:textId="6D333C0C" w:rsidR="005F5514" w:rsidRPr="00781112" w:rsidRDefault="005F5514" w:rsidP="004369B2">
      <w:pPr>
        <w:rPr>
          <w:i/>
          <w:color w:val="000000" w:themeColor="text1"/>
        </w:rPr>
      </w:pPr>
      <w:r w:rsidRPr="00781112">
        <w:rPr>
          <w:i/>
          <w:color w:val="000000" w:themeColor="text1"/>
        </w:rPr>
        <w:t>Sampling is not allowed.</w:t>
      </w:r>
    </w:p>
    <w:p w14:paraId="496A7DDE" w14:textId="56F504E4" w:rsidR="005F5514" w:rsidRPr="00781112" w:rsidRDefault="00815B9B" w:rsidP="003A6167">
      <w:pPr>
        <w:rPr>
          <w:rFonts w:cs="Arial"/>
          <w:color w:val="000000" w:themeColor="text1"/>
          <w:szCs w:val="16"/>
        </w:rPr>
      </w:pPr>
      <w:r w:rsidRPr="00781112">
        <w:t xml:space="preserve">Data for this indicator are “lag” data. </w:t>
      </w:r>
      <w:r w:rsidR="005F5514" w:rsidRPr="00781112">
        <w:rPr>
          <w:rFonts w:cs="Arial"/>
          <w:color w:val="000000" w:themeColor="text1"/>
          <w:szCs w:val="16"/>
        </w:rPr>
        <w:t xml:space="preserve">Describe the results of the State’s examination of the data for the year before the reporting year (e.g., for </w:t>
      </w:r>
      <w:r w:rsidR="007639D7">
        <w:rPr>
          <w:rFonts w:cs="Arial"/>
          <w:color w:val="000000" w:themeColor="text1"/>
          <w:szCs w:val="16"/>
        </w:rPr>
        <w:t>the FFY 202</w:t>
      </w:r>
      <w:r w:rsidR="000D428C">
        <w:rPr>
          <w:rFonts w:cs="Arial"/>
          <w:color w:val="000000" w:themeColor="text1"/>
          <w:szCs w:val="16"/>
        </w:rPr>
        <w:t>3</w:t>
      </w:r>
      <w:r w:rsidR="007639D7">
        <w:rPr>
          <w:rFonts w:cs="Arial"/>
          <w:color w:val="000000" w:themeColor="text1"/>
          <w:szCs w:val="16"/>
        </w:rPr>
        <w:t xml:space="preserve"> SPP/APR, use data from 202</w:t>
      </w:r>
      <w:r w:rsidR="000D428C">
        <w:rPr>
          <w:rFonts w:cs="Arial"/>
          <w:color w:val="000000" w:themeColor="text1"/>
          <w:szCs w:val="16"/>
        </w:rPr>
        <w:t>2</w:t>
      </w:r>
      <w:r w:rsidR="007639D7">
        <w:rPr>
          <w:rFonts w:cs="Arial"/>
          <w:color w:val="000000" w:themeColor="text1"/>
          <w:szCs w:val="16"/>
        </w:rPr>
        <w:t>-202</w:t>
      </w:r>
      <w:r w:rsidR="000D428C">
        <w:rPr>
          <w:rFonts w:cs="Arial"/>
          <w:color w:val="000000" w:themeColor="text1"/>
          <w:szCs w:val="16"/>
        </w:rPr>
        <w:t>3</w:t>
      </w:r>
      <w:r w:rsidR="005F5514" w:rsidRPr="00781112">
        <w:rPr>
          <w:rFonts w:cs="Arial"/>
          <w:color w:val="000000" w:themeColor="text1"/>
          <w:szCs w:val="16"/>
        </w:rPr>
        <w:t xml:space="preserve">), and compare the results to the target. </w:t>
      </w:r>
    </w:p>
    <w:p w14:paraId="7E94BD74" w14:textId="77777777" w:rsidR="003069AE" w:rsidRPr="00781112" w:rsidRDefault="003069AE" w:rsidP="003069AE">
      <w:r w:rsidRPr="00781112">
        <w:t xml:space="preserve">Include in the denominator the following exiting categories: (a) graduated with a regular high school diploma; (b) graduated with a state-defined alternate diploma; (c) received a certificate; (d) reached maximum age; or (e) dropped out. </w:t>
      </w:r>
    </w:p>
    <w:p w14:paraId="6D62B3B3" w14:textId="4F597FD3" w:rsidR="003069AE" w:rsidRPr="00781112" w:rsidRDefault="003069AE" w:rsidP="003A6167">
      <w:r w:rsidRPr="00781112">
        <w:t xml:space="preserve">Do not include in the denominator the number of youths with IEPs who exited special education due to: (a) transferring to regular education; or (b) who moved but are known to be continuing in an educational program. </w:t>
      </w:r>
    </w:p>
    <w:p w14:paraId="156B8877" w14:textId="52998CDB" w:rsidR="005F5514" w:rsidRPr="00781112" w:rsidRDefault="005F5514" w:rsidP="003A6167">
      <w:pPr>
        <w:rPr>
          <w:rFonts w:cs="Arial"/>
          <w:color w:val="000000" w:themeColor="text1"/>
          <w:szCs w:val="16"/>
        </w:rPr>
      </w:pPr>
      <w:r w:rsidRPr="00781112">
        <w:rPr>
          <w:rFonts w:cs="Arial"/>
          <w:color w:val="000000" w:themeColor="text1"/>
          <w:szCs w:val="16"/>
        </w:rPr>
        <w:t>Provide a narrative that describes the conditions youth must meet in order to graduate with a regular high school diploma. If the conditions that youth with IEPs must meet in order to graduate with a regular high school diploma are different, please explain.</w:t>
      </w:r>
    </w:p>
    <w:p w14:paraId="17C36F54" w14:textId="0B0AD4FB" w:rsidR="00B34EE6" w:rsidRPr="00781112" w:rsidRDefault="00B0742B" w:rsidP="008645AD">
      <w:pPr>
        <w:pStyle w:val="Heading2"/>
      </w:pPr>
      <w:r w:rsidRPr="00781112">
        <w:t>1</w:t>
      </w:r>
      <w:r w:rsidR="00684B51" w:rsidRPr="00781112">
        <w:t xml:space="preserve"> </w:t>
      </w:r>
      <w:r w:rsidRPr="00781112">
        <w:t xml:space="preserve">- </w:t>
      </w:r>
      <w:r w:rsidR="007742F1" w:rsidRPr="00781112">
        <w:t xml:space="preserve">Indicator </w:t>
      </w:r>
      <w:r w:rsidR="00B34EE6" w:rsidRPr="00781112">
        <w:t xml:space="preserve">Data </w:t>
      </w:r>
    </w:p>
    <w:bookmarkEnd w:id="4"/>
    <w:p w14:paraId="7BB99CB8" w14:textId="1745E070" w:rsidR="005E59DB" w:rsidRPr="00781112" w:rsidRDefault="005E59DB" w:rsidP="00B65C2C">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1BASELINEDATA"/>
      </w:tblPr>
      <w:tblGrid>
        <w:gridCol w:w="1797"/>
        <w:gridCol w:w="1798"/>
      </w:tblGrid>
      <w:tr w:rsidR="008F3F33" w:rsidRPr="00781112" w14:paraId="58873103" w14:textId="77777777" w:rsidTr="0033429D">
        <w:trPr>
          <w:trHeight w:val="311"/>
          <w:tblHeader/>
        </w:trPr>
        <w:tc>
          <w:tcPr>
            <w:tcW w:w="1797" w:type="dxa"/>
          </w:tcPr>
          <w:p w14:paraId="3521E7AE" w14:textId="2CED297B" w:rsidR="008F3F33" w:rsidRPr="00781112" w:rsidRDefault="008F3F33" w:rsidP="0033429D">
            <w:pPr>
              <w:jc w:val="center"/>
              <w:rPr>
                <w:b/>
                <w:color w:val="000000" w:themeColor="text1"/>
              </w:rPr>
            </w:pPr>
            <w:r w:rsidRPr="00781112">
              <w:rPr>
                <w:rFonts w:cs="Arial"/>
                <w:b/>
                <w:color w:val="000000" w:themeColor="text1"/>
                <w:szCs w:val="16"/>
              </w:rPr>
              <w:t>Baseline Year</w:t>
            </w:r>
          </w:p>
        </w:tc>
        <w:tc>
          <w:tcPr>
            <w:tcW w:w="1798" w:type="dxa"/>
          </w:tcPr>
          <w:p w14:paraId="70C1DEA4" w14:textId="362D12BF" w:rsidR="008F3F33" w:rsidRPr="00781112" w:rsidRDefault="008F3F33" w:rsidP="0033429D">
            <w:pPr>
              <w:jc w:val="center"/>
              <w:rPr>
                <w:b/>
                <w:color w:val="000000" w:themeColor="text1"/>
              </w:rPr>
            </w:pPr>
            <w:r w:rsidRPr="00781112">
              <w:rPr>
                <w:b/>
                <w:color w:val="000000" w:themeColor="text1"/>
              </w:rPr>
              <w:t>Baseline Data</w:t>
            </w:r>
          </w:p>
        </w:tc>
      </w:tr>
      <w:tr w:rsidR="008F3F33" w:rsidRPr="00781112" w14:paraId="1079C891" w14:textId="77777777" w:rsidTr="0033429D">
        <w:trPr>
          <w:trHeight w:val="311"/>
        </w:trPr>
        <w:tc>
          <w:tcPr>
            <w:tcW w:w="1797" w:type="dxa"/>
            <w:vAlign w:val="center"/>
          </w:tcPr>
          <w:p w14:paraId="55702E9C" w14:textId="3300C91F" w:rsidR="008F3F33" w:rsidRPr="00781112" w:rsidRDefault="008F3F33" w:rsidP="0033429D">
            <w:pPr>
              <w:jc w:val="center"/>
              <w:rPr>
                <w:b/>
                <w:color w:val="000000" w:themeColor="text1"/>
              </w:rPr>
            </w:pPr>
            <w:r w:rsidRPr="00781112">
              <w:rPr>
                <w:rFonts w:cs="Arial"/>
                <w:color w:val="000000" w:themeColor="text1"/>
                <w:szCs w:val="16"/>
              </w:rPr>
              <w:t>2018</w:t>
            </w:r>
          </w:p>
        </w:tc>
        <w:tc>
          <w:tcPr>
            <w:tcW w:w="1798" w:type="dxa"/>
            <w:vAlign w:val="center"/>
          </w:tcPr>
          <w:p w14:paraId="4BB8ED70" w14:textId="40307D5C" w:rsidR="008F3F33" w:rsidRPr="00781112" w:rsidRDefault="008F3F33" w:rsidP="0033429D">
            <w:pPr>
              <w:jc w:val="center"/>
              <w:rPr>
                <w:b/>
                <w:color w:val="000000" w:themeColor="text1"/>
              </w:rPr>
            </w:pPr>
            <w:r w:rsidRPr="00781112">
              <w:rPr>
                <w:rFonts w:cs="Arial"/>
                <w:color w:val="000000" w:themeColor="text1"/>
                <w:szCs w:val="16"/>
              </w:rPr>
              <w:t>83.21%</w:t>
            </w:r>
          </w:p>
        </w:tc>
      </w:tr>
    </w:tbl>
    <w:p w14:paraId="04BDDA65" w14:textId="77777777" w:rsidR="008F3F33" w:rsidRPr="00781112" w:rsidRDefault="008F3F33" w:rsidP="00B65C2C">
      <w:pPr>
        <w:rPr>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HISTDATA"/>
      </w:tblPr>
      <w:tblGrid>
        <w:gridCol w:w="1798"/>
        <w:gridCol w:w="1798"/>
        <w:gridCol w:w="1798"/>
        <w:gridCol w:w="1798"/>
        <w:gridCol w:w="1798"/>
        <w:gridCol w:w="1800"/>
      </w:tblGrid>
      <w:tr w:rsidR="005C29F8" w:rsidRPr="00781112" w14:paraId="6EF7C6D0" w14:textId="1CEAEBAE" w:rsidTr="00087EB9">
        <w:trPr>
          <w:trHeight w:val="350"/>
        </w:trPr>
        <w:tc>
          <w:tcPr>
            <w:tcW w:w="833" w:type="pct"/>
            <w:tcBorders>
              <w:bottom w:val="single" w:sz="4" w:space="0" w:color="auto"/>
            </w:tcBorders>
            <w:shd w:val="clear" w:color="auto" w:fill="auto"/>
          </w:tcPr>
          <w:p w14:paraId="4483C39A" w14:textId="77777777" w:rsidR="007F24E2" w:rsidRPr="00781112" w:rsidRDefault="007F24E2" w:rsidP="00CD2DF5">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0DF3D5A6" w14:textId="2DA8A75D" w:rsidR="007F24E2" w:rsidRPr="00781112" w:rsidRDefault="002B7490" w:rsidP="00894709">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5E57E797" w14:textId="6309195B" w:rsidR="007F24E2" w:rsidRPr="00781112" w:rsidRDefault="002B7490" w:rsidP="00894709">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6D5C8516" w14:textId="2F8BF9E2" w:rsidR="007F24E2" w:rsidRPr="00781112" w:rsidRDefault="002B7490" w:rsidP="00894709">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116A9927" w14:textId="1D308C81" w:rsidR="007F24E2" w:rsidRPr="00781112" w:rsidRDefault="002B7490" w:rsidP="00894709">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41821FE5" w14:textId="02E4CA44" w:rsidR="007F24E2" w:rsidRPr="00781112" w:rsidRDefault="002B7490" w:rsidP="00894709">
            <w:pPr>
              <w:jc w:val="center"/>
              <w:rPr>
                <w:rFonts w:cs="Arial"/>
                <w:b/>
                <w:color w:val="000000" w:themeColor="text1"/>
                <w:szCs w:val="16"/>
              </w:rPr>
            </w:pPr>
            <w:r w:rsidRPr="00781112">
              <w:rPr>
                <w:rFonts w:cs="Arial"/>
                <w:b/>
                <w:color w:val="000000" w:themeColor="text1"/>
                <w:szCs w:val="16"/>
              </w:rPr>
              <w:t>2022</w:t>
            </w:r>
          </w:p>
        </w:tc>
      </w:tr>
      <w:tr w:rsidR="005C29F8" w:rsidRPr="00781112" w14:paraId="69850889" w14:textId="5FBD9A23" w:rsidTr="0033429D">
        <w:trPr>
          <w:trHeight w:val="357"/>
        </w:trPr>
        <w:tc>
          <w:tcPr>
            <w:tcW w:w="833" w:type="pct"/>
            <w:shd w:val="clear" w:color="auto" w:fill="auto"/>
            <w:vAlign w:val="center"/>
          </w:tcPr>
          <w:p w14:paraId="329304B6" w14:textId="1D4FEA84" w:rsidR="007F24E2" w:rsidRPr="00781112" w:rsidRDefault="007F24E2"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vAlign w:val="center"/>
          </w:tcPr>
          <w:p w14:paraId="4D288A5D" w14:textId="1DE49DCD" w:rsidR="007F24E2" w:rsidRPr="00781112" w:rsidRDefault="002B7490" w:rsidP="00E0321D">
            <w:pPr>
              <w:jc w:val="center"/>
              <w:rPr>
                <w:rFonts w:cs="Arial"/>
                <w:color w:val="000000" w:themeColor="text1"/>
                <w:szCs w:val="16"/>
              </w:rPr>
            </w:pPr>
            <w:r w:rsidRPr="00781112">
              <w:rPr>
                <w:rFonts w:cs="Arial"/>
                <w:color w:val="000000" w:themeColor="text1"/>
                <w:szCs w:val="16"/>
              </w:rPr>
              <w:t>79.50%</w:t>
            </w:r>
          </w:p>
        </w:tc>
        <w:tc>
          <w:tcPr>
            <w:tcW w:w="833" w:type="pct"/>
            <w:shd w:val="clear" w:color="auto" w:fill="auto"/>
            <w:vAlign w:val="center"/>
          </w:tcPr>
          <w:p w14:paraId="2751003B" w14:textId="66867EC3" w:rsidR="007F24E2" w:rsidRPr="00781112" w:rsidRDefault="002B7490" w:rsidP="00E0321D">
            <w:pPr>
              <w:jc w:val="center"/>
              <w:rPr>
                <w:rFonts w:cs="Arial"/>
                <w:color w:val="000000" w:themeColor="text1"/>
                <w:szCs w:val="16"/>
              </w:rPr>
            </w:pPr>
            <w:r w:rsidRPr="00781112">
              <w:rPr>
                <w:rFonts w:cs="Arial"/>
                <w:color w:val="000000" w:themeColor="text1"/>
                <w:szCs w:val="16"/>
              </w:rPr>
              <w:t>80.80%</w:t>
            </w:r>
          </w:p>
        </w:tc>
        <w:tc>
          <w:tcPr>
            <w:tcW w:w="833" w:type="pct"/>
            <w:shd w:val="clear" w:color="auto" w:fill="auto"/>
            <w:vAlign w:val="center"/>
          </w:tcPr>
          <w:p w14:paraId="6982A73B" w14:textId="50B9EF02" w:rsidR="007F24E2" w:rsidRPr="00781112" w:rsidRDefault="002B7490" w:rsidP="00E0321D">
            <w:pPr>
              <w:jc w:val="center"/>
              <w:rPr>
                <w:rFonts w:cs="Arial"/>
                <w:color w:val="000000" w:themeColor="text1"/>
                <w:szCs w:val="16"/>
              </w:rPr>
            </w:pPr>
            <w:r w:rsidRPr="00781112">
              <w:rPr>
                <w:rFonts w:cs="Arial"/>
                <w:color w:val="000000" w:themeColor="text1"/>
                <w:szCs w:val="16"/>
              </w:rPr>
              <w:t>83.71%</w:t>
            </w:r>
          </w:p>
        </w:tc>
        <w:tc>
          <w:tcPr>
            <w:tcW w:w="833" w:type="pct"/>
            <w:shd w:val="clear" w:color="auto" w:fill="auto"/>
            <w:vAlign w:val="center"/>
          </w:tcPr>
          <w:p w14:paraId="54566D6E" w14:textId="0812F659" w:rsidR="007F24E2" w:rsidRPr="00781112" w:rsidRDefault="002B7490" w:rsidP="00E0321D">
            <w:pPr>
              <w:jc w:val="center"/>
              <w:rPr>
                <w:rFonts w:cs="Arial"/>
                <w:color w:val="000000" w:themeColor="text1"/>
                <w:szCs w:val="16"/>
              </w:rPr>
            </w:pPr>
            <w:r w:rsidRPr="00781112">
              <w:rPr>
                <w:rFonts w:cs="Arial"/>
                <w:color w:val="000000" w:themeColor="text1"/>
                <w:szCs w:val="16"/>
              </w:rPr>
              <w:t>84.21%</w:t>
            </w:r>
          </w:p>
        </w:tc>
        <w:tc>
          <w:tcPr>
            <w:tcW w:w="834" w:type="pct"/>
            <w:shd w:val="clear" w:color="auto" w:fill="auto"/>
            <w:vAlign w:val="center"/>
          </w:tcPr>
          <w:p w14:paraId="12B0FD7D" w14:textId="7E3C835D" w:rsidR="007F24E2" w:rsidRPr="00781112" w:rsidRDefault="002B7490" w:rsidP="00E0321D">
            <w:pPr>
              <w:jc w:val="center"/>
              <w:rPr>
                <w:rFonts w:cs="Arial"/>
                <w:color w:val="000000" w:themeColor="text1"/>
                <w:szCs w:val="16"/>
              </w:rPr>
            </w:pPr>
            <w:r w:rsidRPr="00781112">
              <w:rPr>
                <w:rFonts w:cs="Arial"/>
                <w:color w:val="000000" w:themeColor="text1"/>
                <w:szCs w:val="16"/>
              </w:rPr>
              <w:t>84.71%</w:t>
            </w:r>
          </w:p>
        </w:tc>
      </w:tr>
      <w:tr w:rsidR="005C29F8" w:rsidRPr="00781112" w14:paraId="146BC5C2" w14:textId="426AC9C6" w:rsidTr="0033429D">
        <w:trPr>
          <w:trHeight w:val="85"/>
        </w:trPr>
        <w:tc>
          <w:tcPr>
            <w:tcW w:w="833" w:type="pct"/>
            <w:shd w:val="clear" w:color="auto" w:fill="auto"/>
            <w:vAlign w:val="center"/>
          </w:tcPr>
          <w:p w14:paraId="2FA56C27" w14:textId="77777777" w:rsidR="007F24E2" w:rsidRPr="00781112" w:rsidRDefault="007F24E2"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7832DBB9" w14:textId="0E41C477" w:rsidR="007F24E2" w:rsidRPr="00781112" w:rsidRDefault="002B7490" w:rsidP="00E0321D">
            <w:pPr>
              <w:jc w:val="center"/>
              <w:rPr>
                <w:rFonts w:cs="Arial"/>
                <w:color w:val="000000" w:themeColor="text1"/>
                <w:szCs w:val="16"/>
              </w:rPr>
            </w:pPr>
            <w:r w:rsidRPr="00781112">
              <w:rPr>
                <w:rFonts w:cs="Arial"/>
                <w:color w:val="000000" w:themeColor="text1"/>
                <w:szCs w:val="16"/>
              </w:rPr>
              <w:t>76.86%</w:t>
            </w:r>
          </w:p>
        </w:tc>
        <w:tc>
          <w:tcPr>
            <w:tcW w:w="833" w:type="pct"/>
            <w:shd w:val="clear" w:color="auto" w:fill="auto"/>
            <w:vAlign w:val="center"/>
          </w:tcPr>
          <w:p w14:paraId="522433F4" w14:textId="15824FD9" w:rsidR="007F24E2" w:rsidRPr="00781112" w:rsidRDefault="002B7490" w:rsidP="00E0321D">
            <w:pPr>
              <w:jc w:val="center"/>
              <w:rPr>
                <w:rFonts w:cs="Arial"/>
                <w:color w:val="000000" w:themeColor="text1"/>
                <w:szCs w:val="16"/>
              </w:rPr>
            </w:pPr>
            <w:r w:rsidRPr="00781112">
              <w:rPr>
                <w:rFonts w:cs="Arial"/>
                <w:color w:val="000000" w:themeColor="text1"/>
                <w:szCs w:val="16"/>
              </w:rPr>
              <w:t>78.70%</w:t>
            </w:r>
          </w:p>
        </w:tc>
        <w:tc>
          <w:tcPr>
            <w:tcW w:w="833" w:type="pct"/>
            <w:tcBorders>
              <w:bottom w:val="single" w:sz="4" w:space="0" w:color="auto"/>
            </w:tcBorders>
            <w:shd w:val="clear" w:color="auto" w:fill="auto"/>
            <w:vAlign w:val="center"/>
          </w:tcPr>
          <w:p w14:paraId="51E9F945" w14:textId="1DED232A" w:rsidR="007F24E2" w:rsidRPr="00781112" w:rsidRDefault="002B7490" w:rsidP="00E0321D">
            <w:pPr>
              <w:jc w:val="center"/>
              <w:rPr>
                <w:rFonts w:cs="Arial"/>
                <w:color w:val="000000" w:themeColor="text1"/>
                <w:szCs w:val="16"/>
              </w:rPr>
            </w:pPr>
            <w:r w:rsidRPr="00781112">
              <w:rPr>
                <w:rFonts w:cs="Arial"/>
                <w:color w:val="000000" w:themeColor="text1"/>
                <w:szCs w:val="16"/>
              </w:rPr>
              <w:t>83.97%</w:t>
            </w:r>
          </w:p>
        </w:tc>
        <w:tc>
          <w:tcPr>
            <w:tcW w:w="833" w:type="pct"/>
            <w:tcBorders>
              <w:bottom w:val="single" w:sz="4" w:space="0" w:color="auto"/>
            </w:tcBorders>
            <w:shd w:val="clear" w:color="auto" w:fill="auto"/>
            <w:vAlign w:val="center"/>
          </w:tcPr>
          <w:p w14:paraId="180CBFE9" w14:textId="01D5E7B3" w:rsidR="007F24E2" w:rsidRPr="00781112" w:rsidRDefault="002B7490" w:rsidP="00E0321D">
            <w:pPr>
              <w:jc w:val="center"/>
              <w:rPr>
                <w:rFonts w:cs="Arial"/>
                <w:color w:val="000000" w:themeColor="text1"/>
                <w:szCs w:val="16"/>
              </w:rPr>
            </w:pPr>
            <w:r w:rsidRPr="00781112">
              <w:rPr>
                <w:rFonts w:cs="Arial"/>
                <w:color w:val="000000" w:themeColor="text1"/>
                <w:szCs w:val="16"/>
              </w:rPr>
              <w:t>84.38%</w:t>
            </w:r>
          </w:p>
        </w:tc>
        <w:tc>
          <w:tcPr>
            <w:tcW w:w="834" w:type="pct"/>
            <w:tcBorders>
              <w:bottom w:val="single" w:sz="4" w:space="0" w:color="auto"/>
            </w:tcBorders>
            <w:shd w:val="clear" w:color="auto" w:fill="auto"/>
            <w:vAlign w:val="center"/>
          </w:tcPr>
          <w:p w14:paraId="3C2AFA14" w14:textId="153E7CE5" w:rsidR="007F24E2" w:rsidRPr="00781112" w:rsidRDefault="002B7490" w:rsidP="00E0321D">
            <w:pPr>
              <w:jc w:val="center"/>
              <w:rPr>
                <w:rFonts w:cs="Arial"/>
                <w:color w:val="000000" w:themeColor="text1"/>
                <w:szCs w:val="16"/>
              </w:rPr>
            </w:pPr>
            <w:r w:rsidRPr="00781112">
              <w:rPr>
                <w:rFonts w:cs="Arial"/>
                <w:color w:val="000000" w:themeColor="text1"/>
                <w:szCs w:val="16"/>
              </w:rPr>
              <w:t>83.51%</w:t>
            </w:r>
          </w:p>
        </w:tc>
      </w:tr>
    </w:tbl>
    <w:p w14:paraId="43E7AA4B" w14:textId="77777777" w:rsidR="00654A4B" w:rsidRPr="00781112" w:rsidRDefault="00654A4B" w:rsidP="00B65C2C">
      <w:pPr>
        <w:rPr>
          <w:color w:val="000000" w:themeColor="text1"/>
        </w:rPr>
      </w:pPr>
    </w:p>
    <w:p w14:paraId="058E572E" w14:textId="747B93F2" w:rsidR="005E59DB" w:rsidRPr="00781112" w:rsidRDefault="005E59DB" w:rsidP="00B65C2C">
      <w:pPr>
        <w:rPr>
          <w:b/>
          <w:color w:val="000000" w:themeColor="text1"/>
        </w:rPr>
      </w:pPr>
      <w:r w:rsidRPr="00781112">
        <w:rPr>
          <w:b/>
          <w:color w:val="000000" w:themeColor="text1"/>
        </w:rPr>
        <w:t>Targets</w:t>
      </w:r>
    </w:p>
    <w:tbl>
      <w:tblPr>
        <w:tblW w:w="2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TARGETS"/>
      </w:tblPr>
      <w:tblGrid>
        <w:gridCol w:w="1157"/>
        <w:gridCol w:w="1612"/>
        <w:gridCol w:w="1612"/>
        <w:gridCol w:w="1610"/>
      </w:tblGrid>
      <w:tr w:rsidR="0094481B" w:rsidRPr="00781112" w14:paraId="2AA1A231" w14:textId="4E09135F" w:rsidTr="00FE4611">
        <w:trPr>
          <w:trHeight w:val="366"/>
        </w:trPr>
        <w:tc>
          <w:tcPr>
            <w:tcW w:w="966" w:type="pct"/>
            <w:tcBorders>
              <w:bottom w:val="single" w:sz="4" w:space="0" w:color="auto"/>
            </w:tcBorders>
            <w:shd w:val="clear" w:color="auto" w:fill="auto"/>
          </w:tcPr>
          <w:p w14:paraId="40B33FED" w14:textId="77777777" w:rsidR="0094481B" w:rsidRPr="00781112" w:rsidRDefault="0094481B" w:rsidP="00373F78">
            <w:pPr>
              <w:jc w:val="center"/>
              <w:rPr>
                <w:b/>
                <w:color w:val="000000" w:themeColor="text1"/>
              </w:rPr>
            </w:pPr>
            <w:r w:rsidRPr="00781112">
              <w:rPr>
                <w:b/>
                <w:color w:val="000000" w:themeColor="text1"/>
              </w:rPr>
              <w:t>FFY</w:t>
            </w:r>
          </w:p>
        </w:tc>
        <w:tc>
          <w:tcPr>
            <w:tcW w:w="1345" w:type="pct"/>
            <w:shd w:val="clear" w:color="auto" w:fill="auto"/>
          </w:tcPr>
          <w:p w14:paraId="71086D9D" w14:textId="38ED494E" w:rsidR="0094481B" w:rsidRPr="00781112" w:rsidRDefault="0094481B" w:rsidP="00373F78">
            <w:pPr>
              <w:jc w:val="center"/>
              <w:rPr>
                <w:b/>
                <w:color w:val="000000" w:themeColor="text1"/>
              </w:rPr>
            </w:pPr>
            <w:r w:rsidRPr="00781112">
              <w:rPr>
                <w:b/>
                <w:color w:val="000000" w:themeColor="text1"/>
              </w:rPr>
              <w:t>2023</w:t>
            </w:r>
          </w:p>
        </w:tc>
        <w:tc>
          <w:tcPr>
            <w:tcW w:w="1345" w:type="pct"/>
          </w:tcPr>
          <w:p w14:paraId="4D39066B" w14:textId="301F6A49" w:rsidR="0094481B" w:rsidRPr="00781112" w:rsidRDefault="0094481B" w:rsidP="00373F78">
            <w:pPr>
              <w:jc w:val="center"/>
              <w:rPr>
                <w:b/>
                <w:color w:val="000000" w:themeColor="text1"/>
              </w:rPr>
            </w:pPr>
            <w:r w:rsidRPr="00781112">
              <w:rPr>
                <w:rFonts w:cs="Arial"/>
                <w:b/>
                <w:color w:val="000000" w:themeColor="text1"/>
                <w:szCs w:val="16"/>
              </w:rPr>
              <w:t>2024</w:t>
            </w:r>
          </w:p>
        </w:tc>
        <w:tc>
          <w:tcPr>
            <w:tcW w:w="1345" w:type="pct"/>
          </w:tcPr>
          <w:p w14:paraId="1FB807B9" w14:textId="403D43E4" w:rsidR="0094481B" w:rsidRPr="00781112" w:rsidRDefault="0094481B" w:rsidP="00373F78">
            <w:pPr>
              <w:jc w:val="center"/>
              <w:rPr>
                <w:b/>
                <w:color w:val="000000" w:themeColor="text1"/>
              </w:rPr>
            </w:pPr>
            <w:r w:rsidRPr="00781112">
              <w:rPr>
                <w:rFonts w:cs="Arial"/>
                <w:b/>
                <w:color w:val="000000" w:themeColor="text1"/>
                <w:szCs w:val="16"/>
              </w:rPr>
              <w:t>2025</w:t>
            </w:r>
          </w:p>
        </w:tc>
      </w:tr>
      <w:tr w:rsidR="0094481B" w:rsidRPr="00781112" w14:paraId="30C65E4A" w14:textId="7AB118F2" w:rsidTr="00FE4611">
        <w:trPr>
          <w:trHeight w:val="374"/>
        </w:trPr>
        <w:tc>
          <w:tcPr>
            <w:tcW w:w="966" w:type="pct"/>
            <w:shd w:val="clear" w:color="auto" w:fill="auto"/>
            <w:vAlign w:val="center"/>
          </w:tcPr>
          <w:p w14:paraId="15D80559" w14:textId="5A8166E8" w:rsidR="0094481B" w:rsidRPr="00781112" w:rsidRDefault="0094481B" w:rsidP="00BA3DBE">
            <w:pPr>
              <w:jc w:val="center"/>
              <w:rPr>
                <w:rFonts w:cs="Arial"/>
                <w:color w:val="000000" w:themeColor="text1"/>
                <w:szCs w:val="16"/>
              </w:rPr>
            </w:pPr>
            <w:r w:rsidRPr="00781112">
              <w:rPr>
                <w:rFonts w:cs="Arial"/>
                <w:color w:val="000000" w:themeColor="text1"/>
                <w:szCs w:val="16"/>
              </w:rPr>
              <w:t>Target &gt;=</w:t>
            </w:r>
          </w:p>
        </w:tc>
        <w:tc>
          <w:tcPr>
            <w:tcW w:w="1345" w:type="pct"/>
            <w:shd w:val="clear" w:color="auto" w:fill="auto"/>
            <w:vAlign w:val="center"/>
          </w:tcPr>
          <w:p w14:paraId="5C1E2097" w14:textId="7100F4DF" w:rsidR="0094481B" w:rsidRPr="00781112" w:rsidRDefault="0094481B" w:rsidP="00373F78">
            <w:pPr>
              <w:jc w:val="center"/>
              <w:rPr>
                <w:rFonts w:cs="Arial"/>
                <w:color w:val="000000" w:themeColor="text1"/>
                <w:szCs w:val="16"/>
              </w:rPr>
            </w:pPr>
            <w:r w:rsidRPr="00781112">
              <w:rPr>
                <w:rFonts w:cs="Arial"/>
                <w:color w:val="000000" w:themeColor="text1"/>
                <w:szCs w:val="16"/>
              </w:rPr>
              <w:t>85.21%</w:t>
            </w:r>
          </w:p>
        </w:tc>
        <w:tc>
          <w:tcPr>
            <w:tcW w:w="1345" w:type="pct"/>
          </w:tcPr>
          <w:p w14:paraId="7717027B" w14:textId="1C4C1650" w:rsidR="0094481B" w:rsidRPr="00781112" w:rsidRDefault="0094481B" w:rsidP="00373F78">
            <w:pPr>
              <w:jc w:val="center"/>
              <w:rPr>
                <w:rFonts w:cs="Arial"/>
                <w:color w:val="000000" w:themeColor="text1"/>
                <w:szCs w:val="16"/>
              </w:rPr>
            </w:pPr>
            <w:r w:rsidRPr="00781112">
              <w:rPr>
                <w:color w:val="000000" w:themeColor="text1"/>
                <w:szCs w:val="16"/>
              </w:rPr>
              <w:t>85.71%</w:t>
            </w:r>
          </w:p>
        </w:tc>
        <w:tc>
          <w:tcPr>
            <w:tcW w:w="1345" w:type="pct"/>
          </w:tcPr>
          <w:p w14:paraId="48C73194" w14:textId="78C93C75" w:rsidR="0094481B" w:rsidRPr="00781112" w:rsidRDefault="0094481B" w:rsidP="00373F78">
            <w:pPr>
              <w:jc w:val="center"/>
              <w:rPr>
                <w:rFonts w:cs="Arial"/>
                <w:color w:val="000000" w:themeColor="text1"/>
                <w:szCs w:val="16"/>
              </w:rPr>
            </w:pPr>
            <w:r w:rsidRPr="00781112">
              <w:rPr>
                <w:color w:val="000000" w:themeColor="text1"/>
                <w:szCs w:val="16"/>
              </w:rPr>
              <w:t>86.21%</w:t>
            </w:r>
          </w:p>
        </w:tc>
      </w:tr>
    </w:tbl>
    <w:p w14:paraId="346A80A2" w14:textId="77777777" w:rsidR="00654A4B" w:rsidRPr="00781112" w:rsidRDefault="00654A4B" w:rsidP="004369B2">
      <w:pPr>
        <w:rPr>
          <w:color w:val="000000" w:themeColor="text1"/>
        </w:rPr>
      </w:pPr>
    </w:p>
    <w:p w14:paraId="451C0051" w14:textId="1929A141" w:rsidR="005E59DB" w:rsidRPr="00781112" w:rsidRDefault="005E59DB">
      <w:pPr>
        <w:rPr>
          <w:b/>
          <w:color w:val="000000" w:themeColor="text1"/>
        </w:rPr>
      </w:pPr>
      <w:r w:rsidRPr="00781112">
        <w:rPr>
          <w:b/>
          <w:color w:val="000000" w:themeColor="text1"/>
        </w:rPr>
        <w:t xml:space="preserve">Targets: Description of Stakeholder Input </w:t>
      </w:r>
    </w:p>
    <w:p w14:paraId="6F475956" w14:textId="6AAE3895" w:rsidR="000C24C2" w:rsidRPr="00781112" w:rsidRDefault="002B7490" w:rsidP="001011BB">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FFY 2023</w:t>
      </w:r>
      <w:r w:rsidRPr="00781112">
        <w:rPr>
          <w:rFonts w:cs="Arial"/>
          <w:color w:val="000000" w:themeColor="text1"/>
          <w:szCs w:val="16"/>
        </w:rPr>
        <w:br/>
        <w:t>Stakeholders did not express interest in revising the Graduation targets during any meetings throughout the reporting period; however, WVDE/OSE is receptive to any potential concerns or recommendations that stakeholders may have regarding these targets.</w:t>
      </w:r>
    </w:p>
    <w:p w14:paraId="4026D322" w14:textId="77777777" w:rsidR="00654A4B" w:rsidRPr="00781112" w:rsidRDefault="00654A4B" w:rsidP="00B65C2C">
      <w:pPr>
        <w:rPr>
          <w:color w:val="000000" w:themeColor="text1"/>
        </w:rPr>
      </w:pPr>
    </w:p>
    <w:p w14:paraId="5BFE0C1F" w14:textId="74D590F4" w:rsidR="00995737" w:rsidRPr="00781112" w:rsidRDefault="00995737" w:rsidP="00B65C2C">
      <w:pPr>
        <w:rPr>
          <w:b/>
          <w:bCs/>
          <w:color w:val="000000" w:themeColor="text1"/>
        </w:rPr>
      </w:pPr>
      <w:r w:rsidRPr="00781112">
        <w:rPr>
          <w:b/>
          <w:bCs/>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PREPOPDATA"/>
      </w:tblPr>
      <w:tblGrid>
        <w:gridCol w:w="2909"/>
        <w:gridCol w:w="2130"/>
        <w:gridCol w:w="3507"/>
        <w:gridCol w:w="2244"/>
      </w:tblGrid>
      <w:tr w:rsidR="005C29F8" w:rsidRPr="00781112" w14:paraId="30F51C80" w14:textId="4B2A2ADB" w:rsidTr="00044B5C">
        <w:trPr>
          <w:trHeight w:val="372"/>
          <w:tblHeader/>
        </w:trPr>
        <w:tc>
          <w:tcPr>
            <w:tcW w:w="1348" w:type="pct"/>
            <w:shd w:val="clear" w:color="auto" w:fill="auto"/>
          </w:tcPr>
          <w:p w14:paraId="323D50E8" w14:textId="6779F814"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1C2B5F0" w14:textId="1D5140A6"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Date</w:t>
            </w:r>
          </w:p>
        </w:tc>
        <w:tc>
          <w:tcPr>
            <w:tcW w:w="1625" w:type="pct"/>
            <w:shd w:val="clear" w:color="auto" w:fill="auto"/>
          </w:tcPr>
          <w:p w14:paraId="1FC5546A" w14:textId="059B9945"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Description</w:t>
            </w:r>
          </w:p>
        </w:tc>
        <w:tc>
          <w:tcPr>
            <w:tcW w:w="1040" w:type="pct"/>
            <w:shd w:val="clear" w:color="auto" w:fill="auto"/>
          </w:tcPr>
          <w:p w14:paraId="189AD2F4" w14:textId="2C14B569"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Data</w:t>
            </w:r>
          </w:p>
        </w:tc>
      </w:tr>
      <w:tr w:rsidR="005A75AD" w:rsidRPr="00781112" w14:paraId="30B629CE" w14:textId="3D9C8EF1" w:rsidTr="00044B5C">
        <w:trPr>
          <w:trHeight w:val="380"/>
        </w:trPr>
        <w:tc>
          <w:tcPr>
            <w:tcW w:w="1348" w:type="pct"/>
            <w:shd w:val="clear" w:color="auto" w:fill="auto"/>
          </w:tcPr>
          <w:p w14:paraId="73323AED" w14:textId="61550716" w:rsidR="005A75AD" w:rsidRPr="00781112" w:rsidRDefault="005A75AD" w:rsidP="005A75AD">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5E976CB4" w14:textId="15FDC9EF" w:rsidR="005A75AD" w:rsidRPr="00781112" w:rsidRDefault="005A75AD" w:rsidP="005A75AD">
            <w:pPr>
              <w:jc w:val="center"/>
              <w:rPr>
                <w:rFonts w:cs="Arial"/>
                <w:color w:val="000000" w:themeColor="text1"/>
                <w:szCs w:val="16"/>
              </w:rPr>
            </w:pPr>
            <w:r w:rsidRPr="00781112">
              <w:rPr>
                <w:rFonts w:cs="Arial"/>
                <w:color w:val="000000" w:themeColor="text1"/>
                <w:szCs w:val="16"/>
              </w:rPr>
              <w:t>02/21/2024</w:t>
            </w:r>
          </w:p>
        </w:tc>
        <w:tc>
          <w:tcPr>
            <w:tcW w:w="1625" w:type="pct"/>
            <w:shd w:val="clear" w:color="auto" w:fill="auto"/>
          </w:tcPr>
          <w:p w14:paraId="01C211E9" w14:textId="4BA1367C"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graduating with a regular high school diploma (a)</w:t>
            </w:r>
          </w:p>
        </w:tc>
        <w:tc>
          <w:tcPr>
            <w:tcW w:w="1040" w:type="pct"/>
            <w:shd w:val="clear" w:color="auto" w:fill="auto"/>
          </w:tcPr>
          <w:p w14:paraId="18434B19" w14:textId="3271491A" w:rsidR="005A75AD" w:rsidRPr="00781112" w:rsidRDefault="005A75AD" w:rsidP="005A75AD">
            <w:pPr>
              <w:jc w:val="center"/>
              <w:rPr>
                <w:rFonts w:cs="Arial"/>
                <w:color w:val="000000" w:themeColor="text1"/>
                <w:szCs w:val="16"/>
              </w:rPr>
            </w:pPr>
            <w:r w:rsidRPr="00781112">
              <w:rPr>
                <w:rFonts w:cs="Arial"/>
                <w:color w:val="000000" w:themeColor="text1"/>
                <w:szCs w:val="16"/>
              </w:rPr>
              <w:t>2,189</w:t>
            </w:r>
          </w:p>
        </w:tc>
      </w:tr>
      <w:tr w:rsidR="005A75AD" w:rsidRPr="00781112" w14:paraId="2E9BAC4B" w14:textId="77777777" w:rsidTr="00044B5C">
        <w:trPr>
          <w:trHeight w:val="380"/>
        </w:trPr>
        <w:tc>
          <w:tcPr>
            <w:tcW w:w="1348" w:type="pct"/>
            <w:shd w:val="clear" w:color="auto" w:fill="auto"/>
          </w:tcPr>
          <w:p w14:paraId="019DE2CA" w14:textId="1C16E7CC" w:rsidR="005A75AD" w:rsidRPr="00781112" w:rsidRDefault="005A75AD" w:rsidP="005A75AD">
            <w:pPr>
              <w:jc w:val="center"/>
              <w:rPr>
                <w:rFonts w:cs="Arial"/>
                <w:color w:val="000000" w:themeColor="text1"/>
                <w:szCs w:val="16"/>
              </w:rPr>
            </w:pPr>
            <w:r w:rsidRPr="00781112">
              <w:rPr>
                <w:rFonts w:cs="Arial"/>
                <w:color w:val="000000" w:themeColor="text1"/>
                <w:szCs w:val="16"/>
              </w:rPr>
              <w:lastRenderedPageBreak/>
              <w:t>SY 2022-23 Exiting Data Groups (EDFacts file spec FS009; Data Group 85)</w:t>
            </w:r>
          </w:p>
        </w:tc>
        <w:tc>
          <w:tcPr>
            <w:tcW w:w="987" w:type="pct"/>
            <w:shd w:val="clear" w:color="auto" w:fill="auto"/>
          </w:tcPr>
          <w:p w14:paraId="21121509" w14:textId="35C72B6A" w:rsidR="005A75AD" w:rsidRPr="00781112" w:rsidRDefault="005A75AD" w:rsidP="005A75AD">
            <w:pPr>
              <w:jc w:val="center"/>
              <w:rPr>
                <w:rFonts w:cs="Arial"/>
                <w:color w:val="000000" w:themeColor="text1"/>
                <w:szCs w:val="16"/>
              </w:rPr>
            </w:pPr>
            <w:r w:rsidRPr="00781112">
              <w:rPr>
                <w:rFonts w:cs="Arial"/>
                <w:color w:val="000000" w:themeColor="text1"/>
                <w:szCs w:val="16"/>
              </w:rPr>
              <w:t>02/21/2024</w:t>
            </w:r>
          </w:p>
        </w:tc>
        <w:tc>
          <w:tcPr>
            <w:tcW w:w="1625" w:type="pct"/>
            <w:shd w:val="clear" w:color="auto" w:fill="auto"/>
          </w:tcPr>
          <w:p w14:paraId="4DBDAFD8" w14:textId="70B6722B"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1040" w:type="pct"/>
            <w:shd w:val="clear" w:color="auto" w:fill="auto"/>
          </w:tcPr>
          <w:p w14:paraId="010FD1F1" w14:textId="7C43793B" w:rsidR="005A75AD" w:rsidRPr="00781112" w:rsidRDefault="005A75AD" w:rsidP="005A75AD">
            <w:pPr>
              <w:jc w:val="center"/>
              <w:rPr>
                <w:rFonts w:cs="Arial"/>
                <w:color w:val="000000" w:themeColor="text1"/>
                <w:szCs w:val="16"/>
              </w:rPr>
            </w:pPr>
            <w:r w:rsidRPr="00781112">
              <w:rPr>
                <w:rFonts w:cs="Arial"/>
                <w:color w:val="000000" w:themeColor="text1"/>
                <w:szCs w:val="16"/>
              </w:rPr>
              <w:t>228</w:t>
            </w:r>
          </w:p>
        </w:tc>
      </w:tr>
      <w:tr w:rsidR="005A75AD" w:rsidRPr="00781112" w14:paraId="032776B0" w14:textId="77777777" w:rsidTr="00044B5C">
        <w:trPr>
          <w:trHeight w:val="380"/>
        </w:trPr>
        <w:tc>
          <w:tcPr>
            <w:tcW w:w="1348" w:type="pct"/>
            <w:shd w:val="clear" w:color="auto" w:fill="auto"/>
          </w:tcPr>
          <w:p w14:paraId="5813DAD1" w14:textId="06D60F55" w:rsidR="005A75AD" w:rsidRPr="00781112" w:rsidRDefault="005A75AD" w:rsidP="005A75AD">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0CBE5647" w14:textId="5D16DC3C" w:rsidR="005A75AD" w:rsidRPr="00781112" w:rsidRDefault="005A75AD" w:rsidP="005A75AD">
            <w:pPr>
              <w:jc w:val="center"/>
              <w:rPr>
                <w:rFonts w:cs="Arial"/>
                <w:color w:val="000000" w:themeColor="text1"/>
                <w:szCs w:val="16"/>
              </w:rPr>
            </w:pPr>
            <w:r w:rsidRPr="00781112">
              <w:rPr>
                <w:rFonts w:cs="Arial"/>
                <w:color w:val="000000" w:themeColor="text1"/>
                <w:szCs w:val="16"/>
              </w:rPr>
              <w:t>02/21/2024</w:t>
            </w:r>
          </w:p>
        </w:tc>
        <w:tc>
          <w:tcPr>
            <w:tcW w:w="1625" w:type="pct"/>
            <w:shd w:val="clear" w:color="auto" w:fill="auto"/>
          </w:tcPr>
          <w:p w14:paraId="7D0086CE" w14:textId="510BD804"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receiving a certificate (c)</w:t>
            </w:r>
          </w:p>
        </w:tc>
        <w:tc>
          <w:tcPr>
            <w:tcW w:w="1040" w:type="pct"/>
            <w:shd w:val="clear" w:color="auto" w:fill="auto"/>
          </w:tcPr>
          <w:p w14:paraId="184082B3" w14:textId="438EC66B" w:rsidR="005A75AD" w:rsidRPr="00781112" w:rsidRDefault="005A75AD" w:rsidP="005A75AD">
            <w:pPr>
              <w:jc w:val="center"/>
              <w:rPr>
                <w:rFonts w:cs="Arial"/>
                <w:color w:val="000000" w:themeColor="text1"/>
                <w:szCs w:val="16"/>
              </w:rPr>
            </w:pPr>
          </w:p>
        </w:tc>
      </w:tr>
      <w:tr w:rsidR="00E1624B" w:rsidRPr="00781112" w14:paraId="73AB7466" w14:textId="77777777" w:rsidTr="00044B5C">
        <w:trPr>
          <w:trHeight w:val="380"/>
        </w:trPr>
        <w:tc>
          <w:tcPr>
            <w:tcW w:w="1348" w:type="pct"/>
            <w:shd w:val="clear" w:color="auto" w:fill="auto"/>
          </w:tcPr>
          <w:p w14:paraId="4B56ED01" w14:textId="0B62D17A" w:rsidR="00E1624B" w:rsidRPr="00781112" w:rsidRDefault="00E1624B" w:rsidP="00E1624B">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60CF2903" w14:textId="690ADEAE" w:rsidR="00E1624B" w:rsidRPr="00781112" w:rsidRDefault="00E1624B" w:rsidP="00E1624B">
            <w:pPr>
              <w:jc w:val="center"/>
              <w:rPr>
                <w:rFonts w:cs="Arial"/>
                <w:color w:val="000000" w:themeColor="text1"/>
                <w:szCs w:val="16"/>
              </w:rPr>
            </w:pPr>
            <w:r w:rsidRPr="00781112">
              <w:rPr>
                <w:rFonts w:cs="Arial"/>
                <w:color w:val="000000" w:themeColor="text1"/>
                <w:szCs w:val="16"/>
              </w:rPr>
              <w:t>02/21/2024</w:t>
            </w:r>
          </w:p>
        </w:tc>
        <w:tc>
          <w:tcPr>
            <w:tcW w:w="1625" w:type="pct"/>
            <w:shd w:val="clear" w:color="auto" w:fill="auto"/>
          </w:tcPr>
          <w:p w14:paraId="06653647" w14:textId="36FF0607" w:rsidR="00E1624B" w:rsidRPr="00781112" w:rsidRDefault="00E1624B">
            <w:pPr>
              <w:rPr>
                <w:rFonts w:cs="Arial"/>
                <w:szCs w:val="16"/>
              </w:rPr>
            </w:pPr>
            <w:r w:rsidRPr="00781112">
              <w:rPr>
                <w:rFonts w:cs="Arial"/>
                <w:szCs w:val="16"/>
              </w:rPr>
              <w:t>Number of youth with IEPs (ages 14-21) who exited special education by reaching maximum age (d)</w:t>
            </w:r>
          </w:p>
        </w:tc>
        <w:tc>
          <w:tcPr>
            <w:tcW w:w="1040" w:type="pct"/>
            <w:shd w:val="clear" w:color="auto" w:fill="auto"/>
          </w:tcPr>
          <w:p w14:paraId="73E001A1" w14:textId="747191F4" w:rsidR="00E1624B" w:rsidRPr="00781112" w:rsidRDefault="00E1624B" w:rsidP="00E1624B">
            <w:pPr>
              <w:jc w:val="center"/>
              <w:rPr>
                <w:rFonts w:cs="Arial"/>
                <w:color w:val="000000" w:themeColor="text1"/>
                <w:szCs w:val="16"/>
              </w:rPr>
            </w:pPr>
            <w:r w:rsidRPr="00781112">
              <w:rPr>
                <w:rFonts w:cs="Arial"/>
                <w:color w:val="000000" w:themeColor="text1"/>
                <w:szCs w:val="16"/>
              </w:rPr>
              <w:t>11</w:t>
            </w:r>
          </w:p>
        </w:tc>
      </w:tr>
      <w:tr w:rsidR="00E1624B" w:rsidRPr="00781112" w14:paraId="14CC53E0" w14:textId="77777777" w:rsidTr="00044B5C">
        <w:trPr>
          <w:trHeight w:val="380"/>
        </w:trPr>
        <w:tc>
          <w:tcPr>
            <w:tcW w:w="1348" w:type="pct"/>
            <w:shd w:val="clear" w:color="auto" w:fill="auto"/>
          </w:tcPr>
          <w:p w14:paraId="3B200D0B" w14:textId="610D9D3D" w:rsidR="00E1624B" w:rsidRPr="00781112" w:rsidRDefault="00E1624B" w:rsidP="00E1624B">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57A125A7" w14:textId="625619CE" w:rsidR="00E1624B" w:rsidRPr="00781112" w:rsidRDefault="00E1624B" w:rsidP="00E1624B">
            <w:pPr>
              <w:jc w:val="center"/>
              <w:rPr>
                <w:rFonts w:cs="Arial"/>
                <w:color w:val="000000" w:themeColor="text1"/>
                <w:szCs w:val="16"/>
              </w:rPr>
            </w:pPr>
            <w:r w:rsidRPr="00781112">
              <w:rPr>
                <w:rFonts w:cs="Arial"/>
                <w:color w:val="000000" w:themeColor="text1"/>
                <w:szCs w:val="16"/>
              </w:rPr>
              <w:t>02/21/2024</w:t>
            </w:r>
          </w:p>
        </w:tc>
        <w:tc>
          <w:tcPr>
            <w:tcW w:w="1625" w:type="pct"/>
            <w:shd w:val="clear" w:color="auto" w:fill="auto"/>
          </w:tcPr>
          <w:p w14:paraId="5C2E5C85" w14:textId="316DABB1" w:rsidR="00E1624B" w:rsidRPr="00781112" w:rsidRDefault="00E1624B" w:rsidP="00E1624B">
            <w:pPr>
              <w:rPr>
                <w:rFonts w:cs="Arial"/>
                <w:szCs w:val="16"/>
              </w:rPr>
            </w:pPr>
            <w:r w:rsidRPr="00781112">
              <w:rPr>
                <w:rFonts w:cs="Arial"/>
                <w:szCs w:val="16"/>
              </w:rPr>
              <w:t>Number of youth with IEPs (ages 14-21) who exited special education due to dropping out (e)</w:t>
            </w:r>
          </w:p>
        </w:tc>
        <w:tc>
          <w:tcPr>
            <w:tcW w:w="1040" w:type="pct"/>
            <w:shd w:val="clear" w:color="auto" w:fill="auto"/>
          </w:tcPr>
          <w:p w14:paraId="79A046E2" w14:textId="17FE2759" w:rsidR="00E1624B" w:rsidRPr="00781112" w:rsidRDefault="00E1624B" w:rsidP="00E1624B">
            <w:pPr>
              <w:jc w:val="center"/>
              <w:rPr>
                <w:rFonts w:cs="Arial"/>
                <w:color w:val="000000" w:themeColor="text1"/>
                <w:szCs w:val="16"/>
              </w:rPr>
            </w:pPr>
            <w:r w:rsidRPr="00781112">
              <w:rPr>
                <w:rFonts w:cs="Arial"/>
                <w:color w:val="000000" w:themeColor="text1"/>
                <w:szCs w:val="16"/>
              </w:rPr>
              <w:t>171</w:t>
            </w:r>
          </w:p>
        </w:tc>
      </w:tr>
    </w:tbl>
    <w:p w14:paraId="0D2CDC7B" w14:textId="77777777" w:rsidR="00654A4B" w:rsidRPr="00781112" w:rsidRDefault="00654A4B" w:rsidP="00B65C2C">
      <w:pPr>
        <w:rPr>
          <w:color w:val="000000" w:themeColor="text1"/>
        </w:rPr>
      </w:pPr>
    </w:p>
    <w:p w14:paraId="7939D078" w14:textId="587AB3CE" w:rsidR="00995737" w:rsidRPr="00781112" w:rsidRDefault="0047313F" w:rsidP="00C74928">
      <w:pPr>
        <w:keepNext/>
        <w:rPr>
          <w:b/>
          <w:bCs/>
          <w:color w:val="000000" w:themeColor="text1"/>
        </w:rPr>
      </w:pPr>
      <w:r>
        <w:rPr>
          <w:b/>
          <w:bCs/>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1CFFYAPRDATA"/>
      </w:tblPr>
      <w:tblGrid>
        <w:gridCol w:w="1502"/>
        <w:gridCol w:w="1688"/>
        <w:gridCol w:w="1344"/>
        <w:gridCol w:w="2022"/>
        <w:gridCol w:w="1208"/>
        <w:gridCol w:w="1539"/>
        <w:gridCol w:w="1487"/>
      </w:tblGrid>
      <w:tr w:rsidR="0047313F" w:rsidRPr="00781112" w14:paraId="02722994" w14:textId="4BCF686A" w:rsidTr="0047313F">
        <w:trPr>
          <w:trHeight w:val="333"/>
          <w:tblHeader/>
        </w:trPr>
        <w:tc>
          <w:tcPr>
            <w:tcW w:w="696" w:type="pct"/>
            <w:shd w:val="clear" w:color="auto" w:fill="auto"/>
            <w:vAlign w:val="bottom"/>
          </w:tcPr>
          <w:p w14:paraId="272BBF68" w14:textId="161B6D1A"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Number of youth with IEPs (ages 14-21) who exited special education due to graduating with a regular high school diploma</w:t>
            </w:r>
          </w:p>
        </w:tc>
        <w:tc>
          <w:tcPr>
            <w:tcW w:w="782" w:type="pct"/>
            <w:shd w:val="clear" w:color="auto" w:fill="auto"/>
            <w:vAlign w:val="bottom"/>
          </w:tcPr>
          <w:p w14:paraId="055EF61F" w14:textId="6ADAF307" w:rsidR="0047313F" w:rsidRPr="00781112" w:rsidRDefault="0047313F" w:rsidP="0047313F">
            <w:pPr>
              <w:spacing w:after="0"/>
              <w:jc w:val="center"/>
              <w:rPr>
                <w:rFonts w:cs="Arial"/>
                <w:b/>
                <w:bCs/>
                <w:color w:val="000000" w:themeColor="text1"/>
                <w:szCs w:val="16"/>
              </w:rPr>
            </w:pPr>
            <w:r w:rsidRPr="00781112">
              <w:rPr>
                <w:b/>
                <w:bCs/>
              </w:rPr>
              <w:t xml:space="preserve">Number of all youth with IEPs who exited special education (ages 14-21)  </w:t>
            </w:r>
          </w:p>
        </w:tc>
        <w:tc>
          <w:tcPr>
            <w:tcW w:w="623" w:type="pct"/>
            <w:shd w:val="clear" w:color="auto" w:fill="auto"/>
            <w:vAlign w:val="bottom"/>
          </w:tcPr>
          <w:p w14:paraId="74998318" w14:textId="7650D028" w:rsidR="0047313F" w:rsidRPr="00073BD7" w:rsidRDefault="0047313F" w:rsidP="0047313F">
            <w:pPr>
              <w:spacing w:after="0"/>
              <w:jc w:val="center"/>
              <w:rPr>
                <w:rFonts w:cs="Arial"/>
                <w:b/>
                <w:bCs/>
                <w:color w:val="000000" w:themeColor="text1"/>
                <w:szCs w:val="16"/>
              </w:rPr>
            </w:pPr>
            <w:r w:rsidRPr="00073BD7">
              <w:rPr>
                <w:b/>
                <w:bCs/>
              </w:rPr>
              <w:t>FFY 2022 Data</w:t>
            </w:r>
          </w:p>
        </w:tc>
        <w:tc>
          <w:tcPr>
            <w:tcW w:w="937" w:type="pct"/>
            <w:shd w:val="clear" w:color="auto" w:fill="auto"/>
            <w:vAlign w:val="bottom"/>
          </w:tcPr>
          <w:p w14:paraId="5A1C61A6" w14:textId="154E8512" w:rsidR="0047313F" w:rsidRPr="00073BD7" w:rsidRDefault="0047313F" w:rsidP="0047313F">
            <w:pPr>
              <w:spacing w:after="0"/>
              <w:jc w:val="center"/>
              <w:rPr>
                <w:rFonts w:cs="Arial"/>
                <w:b/>
                <w:bCs/>
                <w:color w:val="000000" w:themeColor="text1"/>
                <w:szCs w:val="16"/>
              </w:rPr>
            </w:pPr>
            <w:r w:rsidRPr="00073BD7">
              <w:rPr>
                <w:b/>
                <w:bCs/>
              </w:rPr>
              <w:t>FFY 2023 Target</w:t>
            </w:r>
          </w:p>
        </w:tc>
        <w:tc>
          <w:tcPr>
            <w:tcW w:w="560" w:type="pct"/>
            <w:shd w:val="clear" w:color="auto" w:fill="auto"/>
            <w:vAlign w:val="bottom"/>
          </w:tcPr>
          <w:p w14:paraId="51DD5A1B" w14:textId="0053C4CE" w:rsidR="0047313F" w:rsidRPr="00073BD7" w:rsidRDefault="0047313F" w:rsidP="0047313F">
            <w:pPr>
              <w:spacing w:after="0"/>
              <w:jc w:val="center"/>
              <w:rPr>
                <w:rFonts w:cs="Arial"/>
                <w:b/>
                <w:bCs/>
                <w:color w:val="000000" w:themeColor="text1"/>
                <w:szCs w:val="16"/>
              </w:rPr>
            </w:pPr>
            <w:r w:rsidRPr="00073BD7">
              <w:rPr>
                <w:b/>
                <w:bCs/>
              </w:rPr>
              <w:t>FFY 2023 Data</w:t>
            </w:r>
          </w:p>
        </w:tc>
        <w:tc>
          <w:tcPr>
            <w:tcW w:w="713" w:type="pct"/>
            <w:shd w:val="clear" w:color="auto" w:fill="auto"/>
            <w:vAlign w:val="bottom"/>
          </w:tcPr>
          <w:p w14:paraId="23C86FAA" w14:textId="7FC8D54B"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Status</w:t>
            </w:r>
          </w:p>
        </w:tc>
        <w:tc>
          <w:tcPr>
            <w:tcW w:w="690" w:type="pct"/>
            <w:shd w:val="clear" w:color="auto" w:fill="auto"/>
            <w:vAlign w:val="bottom"/>
          </w:tcPr>
          <w:p w14:paraId="6EE58552" w14:textId="4AA8F220"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Slippage</w:t>
            </w:r>
          </w:p>
        </w:tc>
      </w:tr>
      <w:tr w:rsidR="005C29F8" w:rsidRPr="00781112" w14:paraId="601A0599" w14:textId="76387A52" w:rsidTr="0047313F">
        <w:trPr>
          <w:trHeight w:val="340"/>
        </w:trPr>
        <w:tc>
          <w:tcPr>
            <w:tcW w:w="696" w:type="pct"/>
            <w:shd w:val="clear" w:color="auto" w:fill="auto"/>
            <w:vAlign w:val="center"/>
          </w:tcPr>
          <w:p w14:paraId="70B1C138" w14:textId="6CAA41C3" w:rsidR="0098478C" w:rsidRPr="00781112" w:rsidRDefault="002B7490" w:rsidP="00A018D4">
            <w:pPr>
              <w:jc w:val="center"/>
              <w:rPr>
                <w:rFonts w:cs="Arial"/>
                <w:color w:val="000000" w:themeColor="text1"/>
                <w:szCs w:val="16"/>
              </w:rPr>
            </w:pPr>
            <w:r w:rsidRPr="00781112">
              <w:rPr>
                <w:rFonts w:cs="Arial"/>
                <w:color w:val="000000" w:themeColor="text1"/>
                <w:szCs w:val="16"/>
              </w:rPr>
              <w:t>2,189</w:t>
            </w:r>
          </w:p>
        </w:tc>
        <w:tc>
          <w:tcPr>
            <w:tcW w:w="782" w:type="pct"/>
            <w:shd w:val="clear" w:color="auto" w:fill="auto"/>
          </w:tcPr>
          <w:p w14:paraId="614E7B59" w14:textId="5AA9B72C" w:rsidR="0098478C" w:rsidRPr="00781112" w:rsidRDefault="002B7490" w:rsidP="00A018D4">
            <w:pPr>
              <w:jc w:val="center"/>
              <w:rPr>
                <w:rFonts w:cs="Arial"/>
                <w:color w:val="000000" w:themeColor="text1"/>
                <w:szCs w:val="16"/>
              </w:rPr>
            </w:pPr>
            <w:r w:rsidRPr="00781112">
              <w:rPr>
                <w:rFonts w:cs="Arial"/>
                <w:color w:val="000000" w:themeColor="text1"/>
                <w:szCs w:val="16"/>
              </w:rPr>
              <w:t>2,599</w:t>
            </w:r>
          </w:p>
        </w:tc>
        <w:tc>
          <w:tcPr>
            <w:tcW w:w="623" w:type="pct"/>
            <w:shd w:val="clear" w:color="auto" w:fill="auto"/>
          </w:tcPr>
          <w:p w14:paraId="02406DF0" w14:textId="52BAECC6" w:rsidR="0098478C" w:rsidRPr="00781112" w:rsidRDefault="002B7490" w:rsidP="00A018D4">
            <w:pPr>
              <w:jc w:val="center"/>
              <w:rPr>
                <w:rFonts w:cs="Arial"/>
                <w:color w:val="000000" w:themeColor="text1"/>
                <w:szCs w:val="16"/>
              </w:rPr>
            </w:pPr>
            <w:r w:rsidRPr="00781112">
              <w:rPr>
                <w:rFonts w:cs="Arial"/>
                <w:color w:val="000000" w:themeColor="text1"/>
                <w:szCs w:val="16"/>
              </w:rPr>
              <w:t>83.51%</w:t>
            </w:r>
          </w:p>
        </w:tc>
        <w:tc>
          <w:tcPr>
            <w:tcW w:w="937" w:type="pct"/>
            <w:shd w:val="clear" w:color="auto" w:fill="auto"/>
          </w:tcPr>
          <w:p w14:paraId="2398C001" w14:textId="76ED9E04" w:rsidR="0098478C" w:rsidRPr="00781112" w:rsidRDefault="002B7490" w:rsidP="00A018D4">
            <w:pPr>
              <w:jc w:val="center"/>
              <w:rPr>
                <w:rFonts w:cs="Arial"/>
                <w:color w:val="000000" w:themeColor="text1"/>
                <w:szCs w:val="16"/>
              </w:rPr>
            </w:pPr>
            <w:r w:rsidRPr="00781112">
              <w:rPr>
                <w:rFonts w:cs="Arial"/>
                <w:color w:val="000000" w:themeColor="text1"/>
                <w:szCs w:val="16"/>
              </w:rPr>
              <w:t>85.21%</w:t>
            </w:r>
          </w:p>
        </w:tc>
        <w:tc>
          <w:tcPr>
            <w:tcW w:w="560" w:type="pct"/>
            <w:shd w:val="clear" w:color="auto" w:fill="auto"/>
          </w:tcPr>
          <w:p w14:paraId="4A53AF2D" w14:textId="3BE4EB07" w:rsidR="0098478C" w:rsidRPr="00781112" w:rsidRDefault="002B7490" w:rsidP="00A018D4">
            <w:pPr>
              <w:jc w:val="center"/>
              <w:rPr>
                <w:rFonts w:cs="Arial"/>
                <w:color w:val="000000" w:themeColor="text1"/>
                <w:szCs w:val="16"/>
              </w:rPr>
            </w:pPr>
            <w:r w:rsidRPr="00781112">
              <w:rPr>
                <w:rFonts w:cs="Arial"/>
                <w:color w:val="000000" w:themeColor="text1"/>
                <w:szCs w:val="16"/>
              </w:rPr>
              <w:t>84.22%</w:t>
            </w:r>
          </w:p>
        </w:tc>
        <w:tc>
          <w:tcPr>
            <w:tcW w:w="713" w:type="pct"/>
            <w:shd w:val="clear" w:color="auto" w:fill="auto"/>
          </w:tcPr>
          <w:p w14:paraId="0A60DC85" w14:textId="479F7096" w:rsidR="0098478C"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90" w:type="pct"/>
            <w:shd w:val="clear" w:color="auto" w:fill="auto"/>
          </w:tcPr>
          <w:p w14:paraId="6FB98C67" w14:textId="68AEDB07" w:rsidR="0098478C"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BB119D0" w14:textId="387277D1" w:rsidR="005E59DB" w:rsidRPr="00781112" w:rsidRDefault="005E59DB" w:rsidP="004369B2">
      <w:pPr>
        <w:rPr>
          <w:color w:val="000000" w:themeColor="text1"/>
        </w:rPr>
      </w:pPr>
      <w:r w:rsidRPr="00781112">
        <w:rPr>
          <w:b/>
          <w:color w:val="000000" w:themeColor="text1"/>
        </w:rPr>
        <w:t xml:space="preserve">Graduation Conditions </w:t>
      </w:r>
    </w:p>
    <w:p w14:paraId="44381070" w14:textId="5786BC0C" w:rsidR="005E59DB" w:rsidRPr="00781112" w:rsidRDefault="00C14D48" w:rsidP="00552927">
      <w:pPr>
        <w:rPr>
          <w:rFonts w:cs="Arial"/>
          <w:b/>
          <w:i/>
          <w:color w:val="000000" w:themeColor="text1"/>
          <w:szCs w:val="16"/>
        </w:rPr>
      </w:pPr>
      <w:r w:rsidRPr="00781112">
        <w:rPr>
          <w:rFonts w:cs="Arial"/>
          <w:b/>
          <w:color w:val="000000" w:themeColor="text1"/>
          <w:szCs w:val="16"/>
        </w:rPr>
        <w:t xml:space="preserve">Provide a narrative that describes the conditions youth must meet in order to graduate with a regular high school diploma. </w:t>
      </w:r>
    </w:p>
    <w:p w14:paraId="7C1B3984" w14:textId="08BD1460" w:rsidR="002D145D" w:rsidRPr="00781112" w:rsidRDefault="002B7490" w:rsidP="006618C8">
      <w:pPr>
        <w:rPr>
          <w:rFonts w:cs="Arial"/>
          <w:color w:val="000000" w:themeColor="text1"/>
          <w:szCs w:val="16"/>
        </w:rPr>
      </w:pPr>
      <w:r w:rsidRPr="00781112">
        <w:rPr>
          <w:rFonts w:cs="Arial"/>
          <w:color w:val="000000" w:themeColor="text1"/>
          <w:szCs w:val="16"/>
        </w:rPr>
        <w:t>West Virginia Board of Education (WVBE) Policy 2510: “Assuring the Quality of Education: Regulations for Education Programs” (effective July 1, 2022) contains the graduation requirements for all WV youth, including those with IEPs. The graduation requirements for FFY 2023  were as follows:</w:t>
      </w:r>
      <w:r w:rsidRPr="00781112">
        <w:rPr>
          <w:rFonts w:cs="Arial"/>
          <w:color w:val="000000" w:themeColor="text1"/>
          <w:szCs w:val="16"/>
        </w:rPr>
        <w:br/>
      </w:r>
      <w:r w:rsidRPr="00781112">
        <w:rPr>
          <w:rFonts w:cs="Arial"/>
          <w:color w:val="000000" w:themeColor="text1"/>
          <w:szCs w:val="16"/>
        </w:rPr>
        <w:br/>
        <w:t>22 total credits (12 prescribed and 10 personalized)</w:t>
      </w:r>
      <w:r w:rsidRPr="00781112">
        <w:rPr>
          <w:rFonts w:cs="Arial"/>
          <w:color w:val="000000" w:themeColor="text1"/>
          <w:szCs w:val="16"/>
        </w:rPr>
        <w:br/>
      </w:r>
      <w:r w:rsidRPr="00781112">
        <w:rPr>
          <w:rFonts w:cs="Arial"/>
          <w:color w:val="000000" w:themeColor="text1"/>
          <w:szCs w:val="16"/>
        </w:rPr>
        <w:br/>
        <w:t xml:space="preserve">The specific requirements are as follows: </w:t>
      </w:r>
      <w:r w:rsidRPr="00781112">
        <w:rPr>
          <w:rFonts w:cs="Arial"/>
          <w:color w:val="000000" w:themeColor="text1"/>
          <w:szCs w:val="16"/>
        </w:rPr>
        <w:br/>
        <w:t xml:space="preserve">— English Language Arts = 4 credits (3 prescribed/1 personalized); </w:t>
      </w:r>
      <w:r w:rsidRPr="00781112">
        <w:rPr>
          <w:rFonts w:cs="Arial"/>
          <w:color w:val="000000" w:themeColor="text1"/>
          <w:szCs w:val="16"/>
        </w:rPr>
        <w:br/>
        <w:t xml:space="preserve">— Mathematics = 4 credits (2 prescribed/2 personalized); </w:t>
      </w:r>
      <w:r w:rsidRPr="00781112">
        <w:rPr>
          <w:rFonts w:cs="Arial"/>
          <w:color w:val="000000" w:themeColor="text1"/>
          <w:szCs w:val="16"/>
        </w:rPr>
        <w:br/>
        <w:t xml:space="preserve">— Science = 3 credits (2 prescribed/1 personalized); </w:t>
      </w:r>
      <w:r w:rsidRPr="00781112">
        <w:rPr>
          <w:rFonts w:cs="Arial"/>
          <w:color w:val="000000" w:themeColor="text1"/>
          <w:szCs w:val="16"/>
        </w:rPr>
        <w:br/>
        <w:t xml:space="preserve">— Social Studies = 4 credits (3 prescribed/1 personalized); </w:t>
      </w:r>
      <w:r w:rsidRPr="00781112">
        <w:rPr>
          <w:rFonts w:cs="Arial"/>
          <w:color w:val="000000" w:themeColor="text1"/>
          <w:szCs w:val="16"/>
        </w:rPr>
        <w:br/>
        <w:t xml:space="preserve">— Physical Education = 1 credit (prescribed); </w:t>
      </w:r>
      <w:r w:rsidRPr="00781112">
        <w:rPr>
          <w:rFonts w:cs="Arial"/>
          <w:color w:val="000000" w:themeColor="text1"/>
          <w:szCs w:val="16"/>
        </w:rPr>
        <w:br/>
        <w:t xml:space="preserve">— Health = 1 credit (prescribed); </w:t>
      </w:r>
      <w:r w:rsidRPr="00781112">
        <w:rPr>
          <w:rFonts w:cs="Arial"/>
          <w:color w:val="000000" w:themeColor="text1"/>
          <w:szCs w:val="16"/>
        </w:rPr>
        <w:br/>
        <w:t xml:space="preserve">— Art = 1 credit (personalized); and </w:t>
      </w:r>
      <w:r w:rsidRPr="00781112">
        <w:rPr>
          <w:rFonts w:cs="Arial"/>
          <w:color w:val="000000" w:themeColor="text1"/>
          <w:szCs w:val="16"/>
        </w:rPr>
        <w:br/>
        <w:t xml:space="preserve">— Personalized Education Plan (PEP) = 4 credits (personalized). </w:t>
      </w:r>
      <w:r w:rsidRPr="00781112">
        <w:rPr>
          <w:rFonts w:cs="Arial"/>
          <w:color w:val="000000" w:themeColor="text1"/>
          <w:szCs w:val="16"/>
        </w:rPr>
        <w:br/>
      </w:r>
      <w:r w:rsidRPr="00781112">
        <w:rPr>
          <w:rFonts w:cs="Arial"/>
          <w:color w:val="000000" w:themeColor="text1"/>
          <w:szCs w:val="16"/>
        </w:rPr>
        <w:br/>
        <w:t>All courses needed for graduation require mastery of approved content standards (WV Code §126-42-6.2 High School Programming). In addition, all public secondary schools are required to offer programs of study for Career and Technical Education, Computer Science, World Languages, Driver Education, a Social Emotional Advisory System for Student Success, and no less than 4 AP course offerings per school year.</w:t>
      </w:r>
    </w:p>
    <w:p w14:paraId="58C36CC8" w14:textId="7DE9B0CE" w:rsidR="00F672DF" w:rsidRPr="00781112" w:rsidRDefault="00F672DF" w:rsidP="006618C8">
      <w:pPr>
        <w:rPr>
          <w:rFonts w:cs="Arial"/>
          <w:b/>
          <w:color w:val="000000" w:themeColor="text1"/>
          <w:szCs w:val="16"/>
        </w:rPr>
      </w:pPr>
      <w:r w:rsidRPr="00781112">
        <w:rPr>
          <w:rFonts w:cs="Arial"/>
          <w:b/>
          <w:color w:val="000000" w:themeColor="text1"/>
          <w:szCs w:val="16"/>
        </w:rPr>
        <w:t>Are the conditions that youth with IEPs must meet to graduate with a regular high school diploma different from the conditions noted above? (yes/no)</w:t>
      </w:r>
    </w:p>
    <w:p w14:paraId="0930BD95" w14:textId="4EF39A81" w:rsidR="00F672DF" w:rsidRPr="00781112" w:rsidRDefault="00F672DF" w:rsidP="006618C8">
      <w:pPr>
        <w:rPr>
          <w:rFonts w:cs="Arial"/>
          <w:color w:val="000000" w:themeColor="text1"/>
          <w:szCs w:val="16"/>
        </w:rPr>
      </w:pPr>
      <w:r w:rsidRPr="00781112">
        <w:rPr>
          <w:rFonts w:cs="Arial"/>
          <w:color w:val="000000" w:themeColor="text1"/>
          <w:szCs w:val="16"/>
        </w:rPr>
        <w:t>NO</w:t>
      </w:r>
    </w:p>
    <w:p w14:paraId="51BF8B64" w14:textId="746664C9" w:rsidR="0098478C" w:rsidRPr="00781112" w:rsidRDefault="0098478C" w:rsidP="004369B2">
      <w:pPr>
        <w:rPr>
          <w:b/>
          <w:color w:val="000000" w:themeColor="text1"/>
        </w:rPr>
      </w:pPr>
      <w:r w:rsidRPr="00781112">
        <w:rPr>
          <w:b/>
          <w:color w:val="000000" w:themeColor="text1"/>
        </w:rPr>
        <w:t>Provide additional information about this indicator (optional)</w:t>
      </w:r>
    </w:p>
    <w:p w14:paraId="2CDAC437" w14:textId="58A5CDB2" w:rsidR="002D145D" w:rsidRPr="00781112" w:rsidRDefault="002B7490" w:rsidP="000E33D0">
      <w:pPr>
        <w:rPr>
          <w:rFonts w:cs="Arial"/>
          <w:color w:val="000000" w:themeColor="text1"/>
          <w:szCs w:val="16"/>
        </w:rPr>
      </w:pPr>
      <w:r w:rsidRPr="00781112">
        <w:rPr>
          <w:rFonts w:cs="Arial"/>
          <w:color w:val="000000" w:themeColor="text1"/>
          <w:szCs w:val="16"/>
        </w:rPr>
        <w:t xml:space="preserve">A revision of Policy 2510 was filed in May 2024 and made effective July 1, 2024. Revisions to any graduation requirements will be reflected in the appropriate SPP/APR submission. </w:t>
      </w:r>
      <w:r w:rsidRPr="00781112">
        <w:rPr>
          <w:rFonts w:cs="Arial"/>
          <w:color w:val="000000" w:themeColor="text1"/>
          <w:szCs w:val="16"/>
        </w:rPr>
        <w:br/>
      </w:r>
      <w:r w:rsidRPr="00781112">
        <w:rPr>
          <w:rFonts w:cs="Arial"/>
          <w:color w:val="000000" w:themeColor="text1"/>
          <w:szCs w:val="16"/>
        </w:rPr>
        <w:br/>
        <w:t>Link to WV Board of Education Policies: [https://wvde.state.wv.us/policies/]</w:t>
      </w:r>
    </w:p>
    <w:p w14:paraId="7D2A5658" w14:textId="39995CE7" w:rsidR="000C60E1" w:rsidRPr="00781112" w:rsidRDefault="00B0742B" w:rsidP="008645AD">
      <w:pPr>
        <w:pStyle w:val="Heading2"/>
      </w:pPr>
      <w:bookmarkStart w:id="5" w:name="_Toc382082358"/>
      <w:r w:rsidRPr="00781112">
        <w:t>1</w:t>
      </w:r>
      <w:r w:rsidR="00684B51" w:rsidRPr="00781112">
        <w:t xml:space="preserve"> </w:t>
      </w:r>
      <w:r w:rsidRPr="00781112">
        <w:t xml:space="preserve">- </w:t>
      </w:r>
      <w:r w:rsidR="002D145D" w:rsidRPr="00781112">
        <w:t>Prior FFY Required Actions</w:t>
      </w:r>
    </w:p>
    <w:p w14:paraId="42534530" w14:textId="7BEF428C" w:rsidR="002D145D" w:rsidRPr="00781112" w:rsidRDefault="002B7490" w:rsidP="00CE5723">
      <w:pPr>
        <w:rPr>
          <w:rFonts w:cs="Arial"/>
          <w:color w:val="000000" w:themeColor="text1"/>
          <w:szCs w:val="16"/>
        </w:rPr>
      </w:pPr>
      <w:r w:rsidRPr="00781112">
        <w:rPr>
          <w:rFonts w:cs="Arial"/>
          <w:color w:val="000000" w:themeColor="text1"/>
          <w:szCs w:val="16"/>
        </w:rPr>
        <w:t>None</w:t>
      </w:r>
    </w:p>
    <w:p w14:paraId="12317A47" w14:textId="75A98BEA" w:rsidR="00A2794A" w:rsidRPr="00781112" w:rsidRDefault="00A2794A" w:rsidP="00CE5723">
      <w:pPr>
        <w:rPr>
          <w:rFonts w:cs="Arial"/>
          <w:color w:val="000000" w:themeColor="text1"/>
          <w:szCs w:val="16"/>
        </w:rPr>
      </w:pPr>
    </w:p>
    <w:p w14:paraId="0D99EF95" w14:textId="4B8DDAD7" w:rsidR="004C462E" w:rsidRPr="00781112" w:rsidRDefault="00862B20" w:rsidP="008645AD">
      <w:pPr>
        <w:pStyle w:val="Heading2"/>
      </w:pPr>
      <w:r w:rsidRPr="00781112">
        <w:t>1</w:t>
      </w:r>
      <w:r w:rsidR="00684B51" w:rsidRPr="00781112">
        <w:t xml:space="preserve"> </w:t>
      </w:r>
      <w:r w:rsidRPr="00781112">
        <w:t xml:space="preserve">- </w:t>
      </w:r>
      <w:r w:rsidR="004C462E" w:rsidRPr="00781112">
        <w:t>OSEP Response</w:t>
      </w:r>
    </w:p>
    <w:p w14:paraId="47549565" w14:textId="0718C089" w:rsidR="002D145D" w:rsidRPr="00781112" w:rsidRDefault="002D145D" w:rsidP="001F692C">
      <w:pPr>
        <w:rPr>
          <w:rFonts w:cs="Arial"/>
          <w:color w:val="000000" w:themeColor="text1"/>
          <w:szCs w:val="16"/>
        </w:rPr>
      </w:pPr>
    </w:p>
    <w:p w14:paraId="5F7376D0" w14:textId="1C114A8A" w:rsidR="004C462E" w:rsidRPr="00781112" w:rsidRDefault="00B0742B" w:rsidP="008645AD">
      <w:pPr>
        <w:pStyle w:val="Heading2"/>
      </w:pPr>
      <w:bookmarkStart w:id="6" w:name="_Hlk21352084"/>
      <w:r w:rsidRPr="00781112">
        <w:t xml:space="preserve">1 - </w:t>
      </w:r>
      <w:bookmarkEnd w:id="6"/>
      <w:r w:rsidR="004C462E" w:rsidRPr="00781112">
        <w:t>Required Actions</w:t>
      </w:r>
    </w:p>
    <w:p w14:paraId="1EB5204A" w14:textId="0BB66F29" w:rsidR="002D145D" w:rsidRPr="00781112" w:rsidRDefault="002D145D" w:rsidP="001F692C">
      <w:pPr>
        <w:rPr>
          <w:rFonts w:cs="Arial"/>
          <w:color w:val="000000" w:themeColor="text1"/>
          <w:szCs w:val="16"/>
        </w:rPr>
      </w:pPr>
    </w:p>
    <w:p w14:paraId="14062900" w14:textId="77777777" w:rsidR="00D37BF0" w:rsidRPr="00781112" w:rsidRDefault="00D37BF0">
      <w:pPr>
        <w:spacing w:before="0" w:after="200" w:line="276" w:lineRule="auto"/>
        <w:rPr>
          <w:rFonts w:eastAsiaTheme="majorEastAsia" w:cs="Arial"/>
          <w:b/>
          <w:bCs/>
          <w:color w:val="000000" w:themeColor="text1"/>
          <w:szCs w:val="16"/>
        </w:rPr>
      </w:pPr>
      <w:bookmarkStart w:id="7" w:name="_Toc392159262"/>
      <w:r w:rsidRPr="00781112">
        <w:rPr>
          <w:rFonts w:cs="Arial"/>
          <w:color w:val="000000" w:themeColor="text1"/>
          <w:szCs w:val="16"/>
        </w:rPr>
        <w:br w:type="page"/>
      </w:r>
    </w:p>
    <w:p w14:paraId="06F42DD3" w14:textId="793A19C1" w:rsidR="00D21EAA" w:rsidRPr="00781112" w:rsidRDefault="00D21EAA">
      <w:pPr>
        <w:pStyle w:val="Heading1"/>
        <w:rPr>
          <w:color w:val="000000" w:themeColor="text1"/>
          <w:sz w:val="22"/>
        </w:rPr>
      </w:pPr>
      <w:r w:rsidRPr="00781112">
        <w:rPr>
          <w:color w:val="000000" w:themeColor="text1"/>
          <w:sz w:val="22"/>
        </w:rPr>
        <w:lastRenderedPageBreak/>
        <w:t>Indicator 2: Drop Out</w:t>
      </w:r>
      <w:bookmarkEnd w:id="5"/>
      <w:bookmarkEnd w:id="7"/>
    </w:p>
    <w:p w14:paraId="7F31959F" w14:textId="2F015437" w:rsidR="002C60D5" w:rsidRPr="002C274F" w:rsidRDefault="002C60D5" w:rsidP="002C274F">
      <w:pPr>
        <w:rPr>
          <w:b/>
          <w:bCs/>
          <w:sz w:val="20"/>
          <w:szCs w:val="20"/>
        </w:rPr>
      </w:pPr>
      <w:r w:rsidRPr="002C274F">
        <w:rPr>
          <w:b/>
          <w:bCs/>
          <w:sz w:val="20"/>
          <w:szCs w:val="20"/>
        </w:rPr>
        <w:t>Instructions and Measurement</w:t>
      </w:r>
    </w:p>
    <w:p w14:paraId="135DFB11" w14:textId="77777777" w:rsidR="00820751" w:rsidRPr="00651E83" w:rsidRDefault="00820751" w:rsidP="00820751">
      <w:pPr>
        <w:pStyle w:val="Subhed"/>
      </w:pPr>
      <w:bookmarkStart w:id="8" w:name="_Toc392159263"/>
      <w:r w:rsidRPr="00651E83">
        <w:t xml:space="preserve">Monitoring Priority: </w:t>
      </w:r>
      <w:r w:rsidRPr="004A6DE5">
        <w:rPr>
          <w:b w:val="0"/>
        </w:rPr>
        <w:t>FAPE in the LRE</w:t>
      </w:r>
    </w:p>
    <w:p w14:paraId="1775856F" w14:textId="77777777" w:rsidR="00820751" w:rsidRPr="00651E83" w:rsidRDefault="00820751" w:rsidP="00820751">
      <w:pPr>
        <w:rPr>
          <w:rFonts w:cs="Arial"/>
          <w:szCs w:val="16"/>
        </w:rPr>
      </w:pPr>
      <w:r w:rsidRPr="00DC263A">
        <w:rPr>
          <w:rFonts w:cs="Arial"/>
          <w:b/>
          <w:szCs w:val="16"/>
        </w:rPr>
        <w:t>Results indicator</w:t>
      </w:r>
      <w:r w:rsidRPr="00651E83">
        <w:rPr>
          <w:rFonts w:cs="Arial"/>
          <w:szCs w:val="16"/>
        </w:rPr>
        <w:t>: Percent of youth with IEPs</w:t>
      </w:r>
      <w:r>
        <w:rPr>
          <w:rFonts w:cs="Arial"/>
          <w:szCs w:val="16"/>
        </w:rPr>
        <w:t xml:space="preserve"> who exited special education due to</w:t>
      </w:r>
      <w:r w:rsidRPr="00651E83">
        <w:rPr>
          <w:rFonts w:cs="Arial"/>
          <w:szCs w:val="16"/>
        </w:rPr>
        <w:t xml:space="preserve"> dropping out. (20 U.S.C. 1416 (a)(3)(A))</w:t>
      </w:r>
    </w:p>
    <w:p w14:paraId="128CA707" w14:textId="77777777" w:rsidR="00820751" w:rsidRPr="00651E83" w:rsidRDefault="00820751" w:rsidP="00820751">
      <w:pPr>
        <w:pStyle w:val="Subhed"/>
      </w:pPr>
      <w:r w:rsidRPr="00651E83">
        <w:t>Data Source</w:t>
      </w:r>
    </w:p>
    <w:p w14:paraId="38F077C2" w14:textId="77777777" w:rsidR="00820751" w:rsidRPr="00651E83" w:rsidRDefault="00820751" w:rsidP="00820751">
      <w:pPr>
        <w:rPr>
          <w:rFonts w:cs="Arial"/>
          <w:szCs w:val="16"/>
        </w:rPr>
      </w:pPr>
      <w:bookmarkStart w:id="9" w:name="_Hlk51055176"/>
      <w:r w:rsidRPr="00651E83">
        <w:rPr>
          <w:rFonts w:cs="Arial"/>
          <w:szCs w:val="16"/>
        </w:rPr>
        <w:t>Same data as used for reporting to the Department under section 618 of the Individuals with Disabilities Education Act (IDEA), using the definitions in ED</w:t>
      </w:r>
      <w:r w:rsidRPr="00BA3DBE">
        <w:rPr>
          <w:rFonts w:cs="Arial"/>
          <w:i/>
          <w:iCs/>
          <w:szCs w:val="16"/>
        </w:rPr>
        <w:t>Facts</w:t>
      </w:r>
      <w:r w:rsidRPr="00651E83">
        <w:rPr>
          <w:rFonts w:cs="Arial"/>
          <w:szCs w:val="16"/>
        </w:rPr>
        <w:t xml:space="preserve"> file specification FS009.</w:t>
      </w:r>
    </w:p>
    <w:bookmarkEnd w:id="9"/>
    <w:p w14:paraId="36189637" w14:textId="77777777" w:rsidR="00820751" w:rsidRPr="00651E83" w:rsidRDefault="00820751" w:rsidP="00820751">
      <w:pPr>
        <w:pStyle w:val="Subhed"/>
      </w:pPr>
      <w:r w:rsidRPr="00651E83">
        <w:t>Measurement</w:t>
      </w:r>
    </w:p>
    <w:p w14:paraId="68477D3E" w14:textId="77777777" w:rsidR="00820751" w:rsidRPr="00651E83" w:rsidRDefault="00820751" w:rsidP="00820751">
      <w:pPr>
        <w:rPr>
          <w:rFonts w:cs="Arial"/>
          <w:szCs w:val="16"/>
        </w:rPr>
      </w:pPr>
      <w:r w:rsidRPr="00651E83">
        <w:rPr>
          <w:rFonts w:cs="Arial"/>
          <w:szCs w:val="16"/>
        </w:rPr>
        <w:t>States must report a percentage using the number of youth with IEPs (ages 14-21) who exited special education due to dropping out in the numerator and the number of all youth with IEPs who exited special education (ages 14-21) in the denominator.</w:t>
      </w:r>
    </w:p>
    <w:p w14:paraId="199C9562" w14:textId="77777777" w:rsidR="00820751" w:rsidRPr="00651E83" w:rsidRDefault="00820751" w:rsidP="00820751">
      <w:pPr>
        <w:pStyle w:val="Subhed"/>
      </w:pPr>
      <w:r w:rsidRPr="00651E83">
        <w:t>Instructions</w:t>
      </w:r>
    </w:p>
    <w:p w14:paraId="271B8C9F" w14:textId="77777777" w:rsidR="00820751" w:rsidRPr="00FE4C6C" w:rsidRDefault="00820751" w:rsidP="00820751">
      <w:pPr>
        <w:rPr>
          <w:rFonts w:cs="Arial"/>
          <w:i/>
          <w:iCs/>
          <w:szCs w:val="16"/>
        </w:rPr>
      </w:pPr>
      <w:r w:rsidRPr="00FE4C6C">
        <w:rPr>
          <w:rFonts w:cs="Arial"/>
          <w:i/>
          <w:iCs/>
          <w:szCs w:val="16"/>
        </w:rPr>
        <w:t>Sampling is not allowed.</w:t>
      </w:r>
    </w:p>
    <w:p w14:paraId="66EE7631" w14:textId="482E3D6F" w:rsidR="00820751" w:rsidRDefault="00820751" w:rsidP="00820751">
      <w:pPr>
        <w:rPr>
          <w:rFonts w:cs="Arial"/>
          <w:szCs w:val="16"/>
        </w:rPr>
      </w:pPr>
      <w:r w:rsidRPr="00937503">
        <w:rPr>
          <w:rFonts w:cs="Arial"/>
          <w:szCs w:val="16"/>
        </w:rPr>
        <w:t>Data for this indicator are “lag” data. Describe the results of the State’s examination of the section 618 exiting data for the year before the reporting year (e.g., for the FFY 2023 SPP/APR, use data from 2022-2023), and compare the results to the target.</w:t>
      </w:r>
    </w:p>
    <w:p w14:paraId="5D5E271B" w14:textId="3F25DDFB" w:rsidR="00820751" w:rsidRPr="00651E83" w:rsidRDefault="00820751" w:rsidP="00820751">
      <w:pPr>
        <w:rPr>
          <w:rFonts w:cs="Arial"/>
          <w:szCs w:val="16"/>
        </w:rPr>
      </w:pPr>
      <w:r w:rsidRPr="00651E83">
        <w:rPr>
          <w:rFonts w:cs="Arial"/>
          <w:szCs w:val="16"/>
        </w:rPr>
        <w:t xml:space="preserve">Include in the denominator the following exiting categories: (a) graduated with a regular high school diploma; (b) graduated with a state-defined alternate diploma; (c) received a certificate; (d) reached maximum age; or (e) dropped out. </w:t>
      </w:r>
    </w:p>
    <w:p w14:paraId="000F1718" w14:textId="77777777" w:rsidR="00820751" w:rsidRPr="00651E83" w:rsidRDefault="00820751" w:rsidP="00820751">
      <w:pPr>
        <w:rPr>
          <w:rFonts w:cs="Arial"/>
          <w:szCs w:val="16"/>
        </w:rPr>
      </w:pPr>
      <w:r w:rsidRPr="00651E83">
        <w:rPr>
          <w:rFonts w:cs="Arial"/>
          <w:szCs w:val="16"/>
        </w:rPr>
        <w:t>Do not include in the denominator the number of youths with IEPs who exited special education due to: (a) transferring to regular education; or (b) who moved but are known to be continuing in an educational program.</w:t>
      </w:r>
    </w:p>
    <w:p w14:paraId="37EF3DEB" w14:textId="77777777" w:rsidR="00820751" w:rsidRDefault="00820751" w:rsidP="00820751">
      <w:pPr>
        <w:rPr>
          <w:rFonts w:cs="Arial"/>
          <w:szCs w:val="16"/>
        </w:rPr>
      </w:pPr>
      <w:r w:rsidRPr="0019013F">
        <w:rPr>
          <w:rFonts w:cs="Arial"/>
          <w:szCs w:val="16"/>
        </w:rPr>
        <w:t>Provide a narrative that describes what counts as dropping out for all youth. Please explain if there is a difference between what counts as dropping out for all students and what counts as dropping out for students with IEPs.</w:t>
      </w:r>
    </w:p>
    <w:bookmarkEnd w:id="8"/>
    <w:p w14:paraId="7F3C4C70" w14:textId="5E656134" w:rsidR="002C60D5" w:rsidRPr="00781112" w:rsidRDefault="00F914B4" w:rsidP="008645AD">
      <w:pPr>
        <w:pStyle w:val="Heading2"/>
      </w:pPr>
      <w:r w:rsidRPr="00781112">
        <w:t>2</w:t>
      </w:r>
      <w:r w:rsidR="00684B51" w:rsidRPr="00781112">
        <w:t xml:space="preserve"> </w:t>
      </w:r>
      <w:r w:rsidRPr="00781112">
        <w:t xml:space="preserve">- </w:t>
      </w:r>
      <w:r w:rsidR="002C60D5" w:rsidRPr="00781112">
        <w:t>Indicator Data</w:t>
      </w:r>
    </w:p>
    <w:p w14:paraId="6F5DCECF" w14:textId="739F0BA3" w:rsidR="00907A35" w:rsidRPr="00781112" w:rsidRDefault="00907A3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2BASELINEDATA"/>
      </w:tblPr>
      <w:tblGrid>
        <w:gridCol w:w="1797"/>
        <w:gridCol w:w="1798"/>
      </w:tblGrid>
      <w:tr w:rsidR="008F3F33" w:rsidRPr="00781112" w14:paraId="628BEDAF" w14:textId="77777777" w:rsidTr="0033429D">
        <w:trPr>
          <w:trHeight w:val="311"/>
          <w:tblHeader/>
        </w:trPr>
        <w:tc>
          <w:tcPr>
            <w:tcW w:w="1797" w:type="dxa"/>
          </w:tcPr>
          <w:p w14:paraId="43FEF78C" w14:textId="77777777" w:rsidR="008F3F33" w:rsidRPr="00781112" w:rsidRDefault="008F3F33" w:rsidP="002B6965">
            <w:pPr>
              <w:jc w:val="center"/>
              <w:rPr>
                <w:b/>
                <w:color w:val="000000" w:themeColor="text1"/>
              </w:rPr>
            </w:pPr>
            <w:r w:rsidRPr="00781112">
              <w:rPr>
                <w:rFonts w:cs="Arial"/>
                <w:b/>
                <w:color w:val="000000" w:themeColor="text1"/>
                <w:szCs w:val="16"/>
              </w:rPr>
              <w:t>Baseline Year</w:t>
            </w:r>
          </w:p>
        </w:tc>
        <w:tc>
          <w:tcPr>
            <w:tcW w:w="1798" w:type="dxa"/>
          </w:tcPr>
          <w:p w14:paraId="276B82F6" w14:textId="77777777" w:rsidR="008F3F33" w:rsidRPr="00781112" w:rsidRDefault="008F3F33" w:rsidP="002B6965">
            <w:pPr>
              <w:jc w:val="center"/>
              <w:rPr>
                <w:b/>
                <w:color w:val="000000" w:themeColor="text1"/>
              </w:rPr>
            </w:pPr>
            <w:r w:rsidRPr="00781112">
              <w:rPr>
                <w:b/>
                <w:color w:val="000000" w:themeColor="text1"/>
              </w:rPr>
              <w:t>Baseline Data</w:t>
            </w:r>
          </w:p>
        </w:tc>
      </w:tr>
      <w:tr w:rsidR="008F3F33" w:rsidRPr="00781112" w14:paraId="4706A01B" w14:textId="77777777" w:rsidTr="0033429D">
        <w:trPr>
          <w:trHeight w:val="311"/>
        </w:trPr>
        <w:tc>
          <w:tcPr>
            <w:tcW w:w="1797" w:type="dxa"/>
            <w:vAlign w:val="center"/>
          </w:tcPr>
          <w:p w14:paraId="2D2A3601" w14:textId="2E05C132" w:rsidR="008F3F33" w:rsidRPr="00781112" w:rsidRDefault="008F3F33" w:rsidP="002B6965">
            <w:pPr>
              <w:jc w:val="center"/>
              <w:rPr>
                <w:bCs/>
                <w:color w:val="000000" w:themeColor="text1"/>
              </w:rPr>
            </w:pPr>
            <w:r w:rsidRPr="00781112">
              <w:rPr>
                <w:bCs/>
                <w:color w:val="000000" w:themeColor="text1"/>
              </w:rPr>
              <w:t>2018</w:t>
            </w:r>
          </w:p>
        </w:tc>
        <w:tc>
          <w:tcPr>
            <w:tcW w:w="1798" w:type="dxa"/>
            <w:vAlign w:val="center"/>
          </w:tcPr>
          <w:p w14:paraId="47669FA0" w14:textId="71ECEF5D" w:rsidR="008F3F33" w:rsidRPr="00781112" w:rsidRDefault="008F3F33" w:rsidP="002B6965">
            <w:pPr>
              <w:jc w:val="center"/>
              <w:rPr>
                <w:bCs/>
                <w:color w:val="000000" w:themeColor="text1"/>
              </w:rPr>
            </w:pPr>
            <w:r w:rsidRPr="00781112">
              <w:rPr>
                <w:bCs/>
                <w:color w:val="000000" w:themeColor="text1"/>
              </w:rPr>
              <w:t>6.17%</w:t>
            </w:r>
          </w:p>
        </w:tc>
      </w:tr>
    </w:tbl>
    <w:p w14:paraId="1D724648" w14:textId="77777777" w:rsidR="008F3F33" w:rsidRPr="00781112" w:rsidRDefault="008F3F33"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HISTDATA"/>
      </w:tblPr>
      <w:tblGrid>
        <w:gridCol w:w="1798"/>
        <w:gridCol w:w="1798"/>
        <w:gridCol w:w="1798"/>
        <w:gridCol w:w="1798"/>
        <w:gridCol w:w="1798"/>
        <w:gridCol w:w="1800"/>
      </w:tblGrid>
      <w:tr w:rsidR="005C29F8" w:rsidRPr="00781112" w14:paraId="4B5BBF62" w14:textId="77777777" w:rsidTr="00DF4C35">
        <w:trPr>
          <w:trHeight w:val="350"/>
        </w:trPr>
        <w:tc>
          <w:tcPr>
            <w:tcW w:w="833" w:type="pct"/>
            <w:tcBorders>
              <w:bottom w:val="single" w:sz="4" w:space="0" w:color="auto"/>
            </w:tcBorders>
            <w:shd w:val="clear" w:color="auto" w:fill="auto"/>
          </w:tcPr>
          <w:p w14:paraId="7CE940CD" w14:textId="77777777" w:rsidR="00907A35" w:rsidRPr="00781112" w:rsidRDefault="00907A35" w:rsidP="004369B2">
            <w:pPr>
              <w:jc w:val="center"/>
              <w:rPr>
                <w:b/>
                <w:color w:val="000000" w:themeColor="text1"/>
              </w:rPr>
            </w:pPr>
            <w:r w:rsidRPr="00781112">
              <w:rPr>
                <w:b/>
                <w:color w:val="000000" w:themeColor="text1"/>
              </w:rPr>
              <w:t>FFY</w:t>
            </w:r>
          </w:p>
        </w:tc>
        <w:tc>
          <w:tcPr>
            <w:tcW w:w="833" w:type="pct"/>
            <w:shd w:val="clear" w:color="auto" w:fill="auto"/>
          </w:tcPr>
          <w:p w14:paraId="1B67E69F" w14:textId="56F9072E" w:rsidR="00907A35" w:rsidRPr="00781112" w:rsidRDefault="002B7490" w:rsidP="00894709">
            <w:pPr>
              <w:jc w:val="center"/>
              <w:rPr>
                <w:b/>
                <w:color w:val="000000" w:themeColor="text1"/>
              </w:rPr>
            </w:pPr>
            <w:r w:rsidRPr="00781112">
              <w:rPr>
                <w:b/>
                <w:color w:val="000000" w:themeColor="text1"/>
              </w:rPr>
              <w:t>2018</w:t>
            </w:r>
          </w:p>
        </w:tc>
        <w:tc>
          <w:tcPr>
            <w:tcW w:w="833" w:type="pct"/>
            <w:shd w:val="clear" w:color="auto" w:fill="auto"/>
          </w:tcPr>
          <w:p w14:paraId="7C0715D5" w14:textId="197F633E" w:rsidR="00907A35" w:rsidRPr="00781112" w:rsidRDefault="002B7490" w:rsidP="00894709">
            <w:pPr>
              <w:jc w:val="center"/>
              <w:rPr>
                <w:b/>
                <w:color w:val="000000" w:themeColor="text1"/>
              </w:rPr>
            </w:pPr>
            <w:r w:rsidRPr="00781112">
              <w:rPr>
                <w:b/>
                <w:color w:val="000000" w:themeColor="text1"/>
              </w:rPr>
              <w:t>2019</w:t>
            </w:r>
          </w:p>
        </w:tc>
        <w:tc>
          <w:tcPr>
            <w:tcW w:w="833" w:type="pct"/>
            <w:shd w:val="clear" w:color="auto" w:fill="auto"/>
          </w:tcPr>
          <w:p w14:paraId="36DD95CC" w14:textId="1D95C11E" w:rsidR="00907A35" w:rsidRPr="00781112" w:rsidRDefault="002B7490" w:rsidP="00894709">
            <w:pPr>
              <w:jc w:val="center"/>
              <w:rPr>
                <w:b/>
                <w:color w:val="000000" w:themeColor="text1"/>
              </w:rPr>
            </w:pPr>
            <w:r w:rsidRPr="00781112">
              <w:rPr>
                <w:b/>
                <w:color w:val="000000" w:themeColor="text1"/>
              </w:rPr>
              <w:t>2020</w:t>
            </w:r>
          </w:p>
        </w:tc>
        <w:tc>
          <w:tcPr>
            <w:tcW w:w="833" w:type="pct"/>
            <w:shd w:val="clear" w:color="auto" w:fill="auto"/>
          </w:tcPr>
          <w:p w14:paraId="6DC8920B" w14:textId="560E0E60" w:rsidR="00907A35" w:rsidRPr="00781112" w:rsidRDefault="002B7490" w:rsidP="00894709">
            <w:pPr>
              <w:jc w:val="center"/>
              <w:rPr>
                <w:b/>
                <w:color w:val="000000" w:themeColor="text1"/>
              </w:rPr>
            </w:pPr>
            <w:r w:rsidRPr="00781112">
              <w:rPr>
                <w:b/>
                <w:color w:val="000000" w:themeColor="text1"/>
              </w:rPr>
              <w:t>2021</w:t>
            </w:r>
          </w:p>
        </w:tc>
        <w:tc>
          <w:tcPr>
            <w:tcW w:w="834" w:type="pct"/>
            <w:shd w:val="clear" w:color="auto" w:fill="auto"/>
          </w:tcPr>
          <w:p w14:paraId="42978F28" w14:textId="43280835" w:rsidR="00907A35" w:rsidRPr="00781112" w:rsidRDefault="002B7490" w:rsidP="00894709">
            <w:pPr>
              <w:jc w:val="center"/>
              <w:rPr>
                <w:b/>
                <w:color w:val="000000" w:themeColor="text1"/>
              </w:rPr>
            </w:pPr>
            <w:r w:rsidRPr="00781112">
              <w:rPr>
                <w:b/>
                <w:color w:val="000000" w:themeColor="text1"/>
              </w:rPr>
              <w:t>2022</w:t>
            </w:r>
          </w:p>
        </w:tc>
      </w:tr>
      <w:tr w:rsidR="005C29F8" w:rsidRPr="00781112" w14:paraId="58F3D93E" w14:textId="77777777" w:rsidTr="00DF4C35">
        <w:trPr>
          <w:trHeight w:val="357"/>
        </w:trPr>
        <w:tc>
          <w:tcPr>
            <w:tcW w:w="833" w:type="pct"/>
            <w:shd w:val="clear" w:color="auto" w:fill="auto"/>
            <w:vAlign w:val="center"/>
          </w:tcPr>
          <w:p w14:paraId="19C9E1E1" w14:textId="72240B64" w:rsidR="00907A35" w:rsidRPr="00781112" w:rsidRDefault="00907A35" w:rsidP="00BA3DBE">
            <w:pPr>
              <w:jc w:val="center"/>
              <w:rPr>
                <w:rFonts w:cs="Arial"/>
                <w:color w:val="000000" w:themeColor="text1"/>
                <w:szCs w:val="16"/>
              </w:rPr>
            </w:pPr>
            <w:r w:rsidRPr="00781112">
              <w:rPr>
                <w:rFonts w:cs="Arial"/>
                <w:color w:val="000000" w:themeColor="text1"/>
                <w:szCs w:val="16"/>
              </w:rPr>
              <w:t xml:space="preserve">Target </w:t>
            </w:r>
            <w:r w:rsidR="0051170F" w:rsidRPr="00781112">
              <w:rPr>
                <w:rFonts w:cs="Arial"/>
                <w:color w:val="000000" w:themeColor="text1"/>
                <w:szCs w:val="16"/>
                <w:shd w:val="clear" w:color="auto" w:fill="FFFFFF"/>
              </w:rPr>
              <w:t>&lt;=</w:t>
            </w:r>
          </w:p>
        </w:tc>
        <w:tc>
          <w:tcPr>
            <w:tcW w:w="833" w:type="pct"/>
            <w:shd w:val="clear" w:color="auto" w:fill="auto"/>
            <w:vAlign w:val="center"/>
          </w:tcPr>
          <w:p w14:paraId="70EB2EF4" w14:textId="3E0F0873" w:rsidR="00907A35" w:rsidRPr="00781112" w:rsidRDefault="002B7490" w:rsidP="00E0321D">
            <w:pPr>
              <w:jc w:val="center"/>
              <w:rPr>
                <w:rFonts w:cs="Arial"/>
                <w:color w:val="000000" w:themeColor="text1"/>
                <w:szCs w:val="16"/>
              </w:rPr>
            </w:pPr>
            <w:r w:rsidRPr="00781112">
              <w:rPr>
                <w:rFonts w:cs="Arial"/>
                <w:color w:val="000000" w:themeColor="text1"/>
                <w:szCs w:val="16"/>
              </w:rPr>
              <w:t>2.00%</w:t>
            </w:r>
          </w:p>
        </w:tc>
        <w:tc>
          <w:tcPr>
            <w:tcW w:w="833" w:type="pct"/>
            <w:shd w:val="clear" w:color="auto" w:fill="auto"/>
            <w:vAlign w:val="center"/>
          </w:tcPr>
          <w:p w14:paraId="09754C04" w14:textId="6AA1C908" w:rsidR="00907A35" w:rsidRPr="00781112" w:rsidRDefault="002B7490" w:rsidP="00E0321D">
            <w:pPr>
              <w:jc w:val="center"/>
              <w:rPr>
                <w:rFonts w:cs="Arial"/>
                <w:color w:val="000000" w:themeColor="text1"/>
                <w:szCs w:val="16"/>
              </w:rPr>
            </w:pPr>
            <w:r w:rsidRPr="00781112">
              <w:rPr>
                <w:rFonts w:cs="Arial"/>
                <w:color w:val="000000" w:themeColor="text1"/>
                <w:szCs w:val="16"/>
              </w:rPr>
              <w:t>1.75%</w:t>
            </w:r>
          </w:p>
        </w:tc>
        <w:tc>
          <w:tcPr>
            <w:tcW w:w="833" w:type="pct"/>
            <w:shd w:val="clear" w:color="auto" w:fill="auto"/>
            <w:vAlign w:val="center"/>
          </w:tcPr>
          <w:p w14:paraId="73F1F537" w14:textId="213B7CF6" w:rsidR="00907A35" w:rsidRPr="00781112" w:rsidRDefault="002B7490" w:rsidP="00E0321D">
            <w:pPr>
              <w:jc w:val="center"/>
              <w:rPr>
                <w:rFonts w:cs="Arial"/>
                <w:color w:val="000000" w:themeColor="text1"/>
                <w:szCs w:val="16"/>
              </w:rPr>
            </w:pPr>
            <w:r w:rsidRPr="00781112">
              <w:rPr>
                <w:rFonts w:cs="Arial"/>
                <w:color w:val="000000" w:themeColor="text1"/>
                <w:szCs w:val="16"/>
              </w:rPr>
              <w:t>5.67%</w:t>
            </w:r>
          </w:p>
        </w:tc>
        <w:tc>
          <w:tcPr>
            <w:tcW w:w="833" w:type="pct"/>
            <w:shd w:val="clear" w:color="auto" w:fill="auto"/>
            <w:vAlign w:val="center"/>
          </w:tcPr>
          <w:p w14:paraId="24592EED" w14:textId="5BE30DC5" w:rsidR="00907A35" w:rsidRPr="00781112" w:rsidRDefault="002B7490" w:rsidP="00E0321D">
            <w:pPr>
              <w:jc w:val="center"/>
              <w:rPr>
                <w:rFonts w:cs="Arial"/>
                <w:color w:val="000000" w:themeColor="text1"/>
                <w:szCs w:val="16"/>
              </w:rPr>
            </w:pPr>
            <w:r w:rsidRPr="00781112">
              <w:rPr>
                <w:rFonts w:cs="Arial"/>
                <w:color w:val="000000" w:themeColor="text1"/>
                <w:szCs w:val="16"/>
              </w:rPr>
              <w:t>5.17%</w:t>
            </w:r>
          </w:p>
        </w:tc>
        <w:tc>
          <w:tcPr>
            <w:tcW w:w="834" w:type="pct"/>
            <w:shd w:val="clear" w:color="auto" w:fill="auto"/>
            <w:vAlign w:val="center"/>
          </w:tcPr>
          <w:p w14:paraId="0C69FBF7" w14:textId="5FED7341" w:rsidR="00907A35" w:rsidRPr="00781112" w:rsidRDefault="002B7490" w:rsidP="00E0321D">
            <w:pPr>
              <w:jc w:val="center"/>
              <w:rPr>
                <w:rFonts w:cs="Arial"/>
                <w:color w:val="000000" w:themeColor="text1"/>
                <w:szCs w:val="16"/>
              </w:rPr>
            </w:pPr>
            <w:r w:rsidRPr="00781112">
              <w:rPr>
                <w:rFonts w:cs="Arial"/>
                <w:color w:val="000000" w:themeColor="text1"/>
                <w:szCs w:val="16"/>
              </w:rPr>
              <w:t>4.67%</w:t>
            </w:r>
          </w:p>
        </w:tc>
      </w:tr>
      <w:tr w:rsidR="005C29F8" w:rsidRPr="00781112" w14:paraId="06558B7E" w14:textId="77777777" w:rsidTr="00DF4C35">
        <w:trPr>
          <w:trHeight w:val="85"/>
        </w:trPr>
        <w:tc>
          <w:tcPr>
            <w:tcW w:w="833" w:type="pct"/>
            <w:shd w:val="clear" w:color="auto" w:fill="auto"/>
            <w:vAlign w:val="center"/>
          </w:tcPr>
          <w:p w14:paraId="1DE2074D" w14:textId="77777777" w:rsidR="00907A35" w:rsidRPr="00781112" w:rsidRDefault="00907A35"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33EDE68" w14:textId="28E51F4E" w:rsidR="00907A35" w:rsidRPr="00781112" w:rsidRDefault="002B7490" w:rsidP="00E0321D">
            <w:pPr>
              <w:jc w:val="center"/>
              <w:rPr>
                <w:rFonts w:cs="Arial"/>
                <w:color w:val="000000" w:themeColor="text1"/>
                <w:szCs w:val="16"/>
              </w:rPr>
            </w:pPr>
            <w:r w:rsidRPr="00781112">
              <w:rPr>
                <w:rFonts w:cs="Arial"/>
                <w:color w:val="000000" w:themeColor="text1"/>
                <w:szCs w:val="16"/>
              </w:rPr>
              <w:t>0.87%</w:t>
            </w:r>
          </w:p>
        </w:tc>
        <w:tc>
          <w:tcPr>
            <w:tcW w:w="833" w:type="pct"/>
            <w:shd w:val="clear" w:color="auto" w:fill="auto"/>
            <w:vAlign w:val="center"/>
          </w:tcPr>
          <w:p w14:paraId="1DE6EF8F" w14:textId="2C6399B2" w:rsidR="00907A35" w:rsidRPr="00781112" w:rsidRDefault="002B7490" w:rsidP="00E0321D">
            <w:pPr>
              <w:jc w:val="center"/>
              <w:rPr>
                <w:rFonts w:cs="Arial"/>
                <w:color w:val="000000" w:themeColor="text1"/>
                <w:szCs w:val="16"/>
              </w:rPr>
            </w:pPr>
            <w:r w:rsidRPr="00781112">
              <w:rPr>
                <w:rFonts w:cs="Arial"/>
                <w:color w:val="000000" w:themeColor="text1"/>
                <w:szCs w:val="16"/>
              </w:rPr>
              <w:t>0.73%</w:t>
            </w:r>
          </w:p>
        </w:tc>
        <w:tc>
          <w:tcPr>
            <w:tcW w:w="833" w:type="pct"/>
            <w:tcBorders>
              <w:bottom w:val="single" w:sz="4" w:space="0" w:color="auto"/>
            </w:tcBorders>
            <w:shd w:val="clear" w:color="auto" w:fill="auto"/>
            <w:vAlign w:val="center"/>
          </w:tcPr>
          <w:p w14:paraId="3F810822" w14:textId="70D15FEC" w:rsidR="00907A35" w:rsidRPr="00781112" w:rsidRDefault="002B7490" w:rsidP="00E0321D">
            <w:pPr>
              <w:jc w:val="center"/>
              <w:rPr>
                <w:rFonts w:cs="Arial"/>
                <w:color w:val="000000" w:themeColor="text1"/>
                <w:szCs w:val="16"/>
              </w:rPr>
            </w:pPr>
            <w:r w:rsidRPr="00781112">
              <w:rPr>
                <w:rFonts w:cs="Arial"/>
                <w:color w:val="000000" w:themeColor="text1"/>
                <w:szCs w:val="16"/>
              </w:rPr>
              <w:t>4.61%</w:t>
            </w:r>
          </w:p>
        </w:tc>
        <w:tc>
          <w:tcPr>
            <w:tcW w:w="833" w:type="pct"/>
            <w:tcBorders>
              <w:bottom w:val="single" w:sz="4" w:space="0" w:color="auto"/>
            </w:tcBorders>
            <w:shd w:val="clear" w:color="auto" w:fill="auto"/>
            <w:vAlign w:val="center"/>
          </w:tcPr>
          <w:p w14:paraId="5421E042" w14:textId="6AE010E9" w:rsidR="00907A35" w:rsidRPr="00781112" w:rsidRDefault="002B7490" w:rsidP="00E0321D">
            <w:pPr>
              <w:jc w:val="center"/>
              <w:rPr>
                <w:rFonts w:cs="Arial"/>
                <w:color w:val="000000" w:themeColor="text1"/>
                <w:szCs w:val="16"/>
              </w:rPr>
            </w:pPr>
            <w:r w:rsidRPr="00781112">
              <w:rPr>
                <w:rFonts w:cs="Arial"/>
                <w:color w:val="000000" w:themeColor="text1"/>
                <w:szCs w:val="16"/>
              </w:rPr>
              <w:t>6.04%</w:t>
            </w:r>
          </w:p>
        </w:tc>
        <w:tc>
          <w:tcPr>
            <w:tcW w:w="834" w:type="pct"/>
            <w:tcBorders>
              <w:bottom w:val="single" w:sz="4" w:space="0" w:color="auto"/>
            </w:tcBorders>
            <w:shd w:val="clear" w:color="auto" w:fill="auto"/>
            <w:vAlign w:val="center"/>
          </w:tcPr>
          <w:p w14:paraId="32A53100" w14:textId="125B9065" w:rsidR="00907A35" w:rsidRPr="00781112" w:rsidRDefault="002B7490" w:rsidP="00E0321D">
            <w:pPr>
              <w:jc w:val="center"/>
              <w:rPr>
                <w:rFonts w:cs="Arial"/>
                <w:color w:val="000000" w:themeColor="text1"/>
                <w:szCs w:val="16"/>
              </w:rPr>
            </w:pPr>
            <w:r w:rsidRPr="00781112">
              <w:rPr>
                <w:rFonts w:cs="Arial"/>
                <w:color w:val="000000" w:themeColor="text1"/>
                <w:szCs w:val="16"/>
              </w:rPr>
              <w:t>7.61%</w:t>
            </w:r>
          </w:p>
        </w:tc>
      </w:tr>
    </w:tbl>
    <w:p w14:paraId="2E8ED284" w14:textId="77777777" w:rsidR="00654A4B" w:rsidRPr="00781112" w:rsidRDefault="00654A4B" w:rsidP="004369B2">
      <w:pPr>
        <w:rPr>
          <w:color w:val="000000" w:themeColor="text1"/>
        </w:rPr>
      </w:pPr>
    </w:p>
    <w:p w14:paraId="1AD526FC" w14:textId="0D130AB7" w:rsidR="00907A35" w:rsidRPr="00781112" w:rsidRDefault="00907A35" w:rsidP="004369B2">
      <w:pPr>
        <w:rPr>
          <w:color w:val="000000" w:themeColor="text1"/>
        </w:rPr>
      </w:pPr>
      <w:r w:rsidRPr="00781112">
        <w:rPr>
          <w:b/>
          <w:color w:val="000000" w:themeColor="text1"/>
        </w:rPr>
        <w:t>Targets</w:t>
      </w:r>
    </w:p>
    <w:tbl>
      <w:tblPr>
        <w:tblW w:w="26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TARGETS"/>
      </w:tblPr>
      <w:tblGrid>
        <w:gridCol w:w="734"/>
        <w:gridCol w:w="1677"/>
        <w:gridCol w:w="1677"/>
        <w:gridCol w:w="1676"/>
      </w:tblGrid>
      <w:tr w:rsidR="0094481B" w:rsidRPr="00781112" w14:paraId="029A4CCE" w14:textId="7CD6FC1B" w:rsidTr="00FE4611">
        <w:trPr>
          <w:trHeight w:val="378"/>
        </w:trPr>
        <w:tc>
          <w:tcPr>
            <w:tcW w:w="636" w:type="pct"/>
            <w:tcBorders>
              <w:bottom w:val="single" w:sz="4" w:space="0" w:color="auto"/>
            </w:tcBorders>
            <w:shd w:val="clear" w:color="auto" w:fill="auto"/>
          </w:tcPr>
          <w:p w14:paraId="7E454C96" w14:textId="77777777" w:rsidR="0094481B" w:rsidRPr="00781112" w:rsidRDefault="0094481B" w:rsidP="00373F78">
            <w:pPr>
              <w:jc w:val="center"/>
              <w:rPr>
                <w:b/>
                <w:color w:val="000000" w:themeColor="text1"/>
              </w:rPr>
            </w:pPr>
            <w:r w:rsidRPr="00781112">
              <w:rPr>
                <w:b/>
                <w:color w:val="000000" w:themeColor="text1"/>
              </w:rPr>
              <w:t>FFY</w:t>
            </w:r>
          </w:p>
        </w:tc>
        <w:tc>
          <w:tcPr>
            <w:tcW w:w="1455" w:type="pct"/>
            <w:shd w:val="clear" w:color="auto" w:fill="auto"/>
            <w:vAlign w:val="center"/>
          </w:tcPr>
          <w:p w14:paraId="43981BCA" w14:textId="46BADE94" w:rsidR="0094481B" w:rsidRPr="00781112" w:rsidRDefault="0094481B" w:rsidP="00373F78">
            <w:pPr>
              <w:jc w:val="center"/>
              <w:rPr>
                <w:b/>
                <w:color w:val="000000" w:themeColor="text1"/>
              </w:rPr>
            </w:pPr>
            <w:r w:rsidRPr="00781112">
              <w:rPr>
                <w:b/>
                <w:color w:val="000000" w:themeColor="text1"/>
              </w:rPr>
              <w:t>2023</w:t>
            </w:r>
          </w:p>
        </w:tc>
        <w:tc>
          <w:tcPr>
            <w:tcW w:w="1455" w:type="pct"/>
          </w:tcPr>
          <w:p w14:paraId="5E92A3B3" w14:textId="014BC7EC" w:rsidR="0094481B" w:rsidRPr="00781112" w:rsidRDefault="0094481B" w:rsidP="00373F78">
            <w:pPr>
              <w:jc w:val="center"/>
              <w:rPr>
                <w:b/>
                <w:color w:val="000000" w:themeColor="text1"/>
              </w:rPr>
            </w:pPr>
            <w:r w:rsidRPr="00781112">
              <w:rPr>
                <w:rFonts w:cs="Arial"/>
                <w:b/>
                <w:color w:val="000000" w:themeColor="text1"/>
                <w:szCs w:val="16"/>
              </w:rPr>
              <w:t>2024</w:t>
            </w:r>
          </w:p>
        </w:tc>
        <w:tc>
          <w:tcPr>
            <w:tcW w:w="1455" w:type="pct"/>
          </w:tcPr>
          <w:p w14:paraId="3A9EE8AA" w14:textId="53416CB2" w:rsidR="0094481B" w:rsidRPr="00781112" w:rsidRDefault="0094481B" w:rsidP="00373F78">
            <w:pPr>
              <w:jc w:val="center"/>
              <w:rPr>
                <w:b/>
                <w:color w:val="000000" w:themeColor="text1"/>
              </w:rPr>
            </w:pPr>
            <w:r w:rsidRPr="00781112">
              <w:rPr>
                <w:rFonts w:cs="Arial"/>
                <w:b/>
                <w:color w:val="000000" w:themeColor="text1"/>
                <w:szCs w:val="16"/>
              </w:rPr>
              <w:t>2025</w:t>
            </w:r>
          </w:p>
        </w:tc>
      </w:tr>
      <w:tr w:rsidR="0094481B" w:rsidRPr="00781112" w14:paraId="74AFE5A4" w14:textId="4CB3606D" w:rsidTr="00FE4611">
        <w:trPr>
          <w:trHeight w:val="386"/>
        </w:trPr>
        <w:tc>
          <w:tcPr>
            <w:tcW w:w="636" w:type="pct"/>
            <w:shd w:val="clear" w:color="auto" w:fill="auto"/>
            <w:vAlign w:val="center"/>
          </w:tcPr>
          <w:p w14:paraId="74812D09" w14:textId="3A67082C" w:rsidR="0094481B" w:rsidRPr="00781112" w:rsidRDefault="0094481B" w:rsidP="00BA3DBE">
            <w:pPr>
              <w:jc w:val="center"/>
              <w:rPr>
                <w:rFonts w:cs="Arial"/>
                <w:color w:val="000000" w:themeColor="text1"/>
                <w:szCs w:val="16"/>
              </w:rPr>
            </w:pPr>
            <w:r w:rsidRPr="00781112">
              <w:rPr>
                <w:rFonts w:cs="Arial"/>
                <w:color w:val="000000" w:themeColor="text1"/>
                <w:szCs w:val="16"/>
              </w:rPr>
              <w:t>Target &lt;=</w:t>
            </w:r>
          </w:p>
        </w:tc>
        <w:tc>
          <w:tcPr>
            <w:tcW w:w="1455" w:type="pct"/>
            <w:shd w:val="clear" w:color="auto" w:fill="auto"/>
            <w:vAlign w:val="center"/>
          </w:tcPr>
          <w:p w14:paraId="1AA9A6F0" w14:textId="23F8F955" w:rsidR="0094481B" w:rsidRPr="00781112" w:rsidRDefault="0094481B" w:rsidP="00373F78">
            <w:pPr>
              <w:jc w:val="center"/>
              <w:rPr>
                <w:rFonts w:cs="Arial"/>
                <w:color w:val="000000" w:themeColor="text1"/>
                <w:szCs w:val="16"/>
              </w:rPr>
            </w:pPr>
            <w:r w:rsidRPr="00781112">
              <w:rPr>
                <w:rFonts w:cs="Arial"/>
                <w:color w:val="000000" w:themeColor="text1"/>
                <w:szCs w:val="16"/>
              </w:rPr>
              <w:t>4.17%</w:t>
            </w:r>
          </w:p>
        </w:tc>
        <w:tc>
          <w:tcPr>
            <w:tcW w:w="1455" w:type="pct"/>
          </w:tcPr>
          <w:p w14:paraId="1887156F" w14:textId="2A53DFD8" w:rsidR="0094481B" w:rsidRPr="00781112" w:rsidRDefault="0094481B" w:rsidP="00373F78">
            <w:pPr>
              <w:jc w:val="center"/>
              <w:rPr>
                <w:rFonts w:cs="Arial"/>
                <w:color w:val="000000" w:themeColor="text1"/>
                <w:szCs w:val="16"/>
              </w:rPr>
            </w:pPr>
            <w:r w:rsidRPr="00781112">
              <w:rPr>
                <w:color w:val="000000" w:themeColor="text1"/>
                <w:szCs w:val="16"/>
              </w:rPr>
              <w:t>3.67%</w:t>
            </w:r>
          </w:p>
        </w:tc>
        <w:tc>
          <w:tcPr>
            <w:tcW w:w="1455" w:type="pct"/>
          </w:tcPr>
          <w:p w14:paraId="114E0304" w14:textId="3D4B66CA" w:rsidR="0094481B" w:rsidRPr="00781112" w:rsidRDefault="0094481B" w:rsidP="00373F78">
            <w:pPr>
              <w:jc w:val="center"/>
              <w:rPr>
                <w:rFonts w:cs="Arial"/>
                <w:color w:val="000000" w:themeColor="text1"/>
                <w:szCs w:val="16"/>
              </w:rPr>
            </w:pPr>
            <w:r w:rsidRPr="00781112">
              <w:rPr>
                <w:color w:val="000000" w:themeColor="text1"/>
                <w:szCs w:val="16"/>
              </w:rPr>
              <w:t>3.17%</w:t>
            </w:r>
          </w:p>
        </w:tc>
      </w:tr>
    </w:tbl>
    <w:p w14:paraId="23C212C7" w14:textId="54B31D84" w:rsidR="002D145D" w:rsidRPr="00781112" w:rsidRDefault="002D145D">
      <w:pPr>
        <w:rPr>
          <w:b/>
          <w:color w:val="000000" w:themeColor="text1"/>
        </w:rPr>
      </w:pPr>
      <w:r w:rsidRPr="00781112">
        <w:rPr>
          <w:b/>
          <w:color w:val="000000" w:themeColor="text1"/>
        </w:rPr>
        <w:t>Targets: Description of Stakeholder Input</w:t>
      </w:r>
    </w:p>
    <w:p w14:paraId="1646393A" w14:textId="2F9E8E4A" w:rsidR="002D145D" w:rsidRPr="00781112" w:rsidRDefault="002B7490" w:rsidP="002D145D">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FFY 2023</w:t>
      </w:r>
      <w:r w:rsidRPr="00781112">
        <w:rPr>
          <w:rFonts w:cs="Arial"/>
          <w:color w:val="000000" w:themeColor="text1"/>
          <w:szCs w:val="16"/>
        </w:rPr>
        <w:br/>
        <w:t>Stakeholders did not express interest in revising the Dropout targets during any meetings throughout the reporting period; however, WVDE/OSE is receptive to any potential concerns or recommendations that stakeholders may have regarding these targets.</w:t>
      </w:r>
    </w:p>
    <w:p w14:paraId="554CBC97" w14:textId="77777777" w:rsidR="00650510" w:rsidRDefault="00650510" w:rsidP="004369B2">
      <w:pPr>
        <w:rPr>
          <w:b/>
          <w:color w:val="000000" w:themeColor="text1"/>
        </w:rPr>
      </w:pPr>
    </w:p>
    <w:p w14:paraId="68E34693" w14:textId="408BFBEE" w:rsidR="00002962" w:rsidRPr="00781112" w:rsidRDefault="00002962"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PREPOPDATA"/>
      </w:tblPr>
      <w:tblGrid>
        <w:gridCol w:w="2164"/>
        <w:gridCol w:w="2130"/>
        <w:gridCol w:w="4929"/>
        <w:gridCol w:w="1567"/>
      </w:tblGrid>
      <w:tr w:rsidR="005C29F8" w:rsidRPr="00781112" w14:paraId="60D7260E" w14:textId="77777777" w:rsidTr="0011161A">
        <w:trPr>
          <w:trHeight w:val="372"/>
          <w:tblHeader/>
        </w:trPr>
        <w:tc>
          <w:tcPr>
            <w:tcW w:w="1003" w:type="pct"/>
            <w:shd w:val="clear" w:color="auto" w:fill="auto"/>
          </w:tcPr>
          <w:p w14:paraId="7217614C"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5FC9008"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Date</w:t>
            </w:r>
          </w:p>
        </w:tc>
        <w:tc>
          <w:tcPr>
            <w:tcW w:w="2284" w:type="pct"/>
            <w:shd w:val="clear" w:color="auto" w:fill="auto"/>
          </w:tcPr>
          <w:p w14:paraId="452E3A47"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Description</w:t>
            </w:r>
          </w:p>
        </w:tc>
        <w:tc>
          <w:tcPr>
            <w:tcW w:w="726" w:type="pct"/>
            <w:shd w:val="clear" w:color="auto" w:fill="auto"/>
          </w:tcPr>
          <w:p w14:paraId="197E988D"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20549B53" w14:textId="77777777" w:rsidTr="0011161A">
        <w:trPr>
          <w:trHeight w:val="380"/>
        </w:trPr>
        <w:tc>
          <w:tcPr>
            <w:tcW w:w="1003" w:type="pct"/>
            <w:shd w:val="clear" w:color="auto" w:fill="auto"/>
          </w:tcPr>
          <w:p w14:paraId="38DBE1E5" w14:textId="4B654FBA" w:rsidR="001D55EC" w:rsidRPr="00781112" w:rsidRDefault="008A2533" w:rsidP="00A018D4">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6675DCDD" w14:textId="08B07A76" w:rsidR="001D55EC" w:rsidRPr="00781112" w:rsidRDefault="008A2533" w:rsidP="00A018D4">
            <w:pPr>
              <w:jc w:val="center"/>
              <w:rPr>
                <w:rFonts w:cs="Arial"/>
                <w:color w:val="000000" w:themeColor="text1"/>
                <w:szCs w:val="16"/>
              </w:rPr>
            </w:pPr>
            <w:r w:rsidRPr="00781112">
              <w:rPr>
                <w:rFonts w:cs="Arial"/>
                <w:color w:val="000000" w:themeColor="text1"/>
                <w:szCs w:val="16"/>
              </w:rPr>
              <w:t>02/21/2024</w:t>
            </w:r>
          </w:p>
        </w:tc>
        <w:tc>
          <w:tcPr>
            <w:tcW w:w="2284" w:type="pct"/>
            <w:shd w:val="clear" w:color="auto" w:fill="auto"/>
          </w:tcPr>
          <w:p w14:paraId="52A6FFD9" w14:textId="722CDF17" w:rsidR="001D55EC" w:rsidRPr="00781112" w:rsidRDefault="00E619AC" w:rsidP="001D55EC">
            <w:pPr>
              <w:rPr>
                <w:rFonts w:cs="Arial"/>
                <w:color w:val="000000" w:themeColor="text1"/>
                <w:szCs w:val="16"/>
              </w:rPr>
            </w:pPr>
            <w:r w:rsidRPr="00781112">
              <w:rPr>
                <w:rFonts w:cs="Arial"/>
                <w:color w:val="000000" w:themeColor="text1"/>
                <w:szCs w:val="16"/>
              </w:rPr>
              <w:t>Number of youth with IEPs (ages 14-21) who exited special education by graduating with a regular high school diploma (a)</w:t>
            </w:r>
          </w:p>
        </w:tc>
        <w:tc>
          <w:tcPr>
            <w:tcW w:w="726" w:type="pct"/>
            <w:shd w:val="clear" w:color="auto" w:fill="auto"/>
          </w:tcPr>
          <w:p w14:paraId="6BB20172" w14:textId="20DA3C25" w:rsidR="001D55EC" w:rsidRPr="00781112" w:rsidRDefault="002B7490" w:rsidP="00A018D4">
            <w:pPr>
              <w:jc w:val="center"/>
              <w:rPr>
                <w:rFonts w:cs="Arial"/>
                <w:color w:val="000000" w:themeColor="text1"/>
                <w:szCs w:val="16"/>
              </w:rPr>
            </w:pPr>
            <w:r w:rsidRPr="00781112">
              <w:rPr>
                <w:rFonts w:cs="Arial"/>
                <w:color w:val="000000" w:themeColor="text1"/>
                <w:szCs w:val="16"/>
              </w:rPr>
              <w:t>2,189</w:t>
            </w:r>
          </w:p>
        </w:tc>
      </w:tr>
      <w:tr w:rsidR="00FE0F05" w:rsidRPr="00781112" w14:paraId="442FFC23" w14:textId="77777777" w:rsidTr="0011161A">
        <w:trPr>
          <w:trHeight w:val="380"/>
        </w:trPr>
        <w:tc>
          <w:tcPr>
            <w:tcW w:w="1003" w:type="pct"/>
            <w:shd w:val="clear" w:color="auto" w:fill="auto"/>
          </w:tcPr>
          <w:p w14:paraId="6CF34AAB" w14:textId="0F679619" w:rsidR="00FE0F05" w:rsidRPr="00781112" w:rsidRDefault="00FE0F05" w:rsidP="00FE0F05">
            <w:pPr>
              <w:jc w:val="center"/>
              <w:rPr>
                <w:rFonts w:cs="Arial"/>
                <w:color w:val="000000" w:themeColor="text1"/>
                <w:szCs w:val="16"/>
              </w:rPr>
            </w:pPr>
            <w:r w:rsidRPr="00781112">
              <w:rPr>
                <w:rFonts w:cs="Arial"/>
                <w:color w:val="000000" w:themeColor="text1"/>
                <w:szCs w:val="16"/>
              </w:rPr>
              <w:lastRenderedPageBreak/>
              <w:t>SY 2022-23 Exiting Data Groups (EDFacts file spec FS009; Data Group 85)</w:t>
            </w:r>
          </w:p>
        </w:tc>
        <w:tc>
          <w:tcPr>
            <w:tcW w:w="987" w:type="pct"/>
            <w:shd w:val="clear" w:color="auto" w:fill="auto"/>
          </w:tcPr>
          <w:p w14:paraId="4C847D87" w14:textId="13F5F6DB" w:rsidR="00FE0F05" w:rsidRPr="00781112" w:rsidRDefault="00FE0F05" w:rsidP="00FE0F05">
            <w:pPr>
              <w:jc w:val="center"/>
              <w:rPr>
                <w:rFonts w:cs="Arial"/>
                <w:color w:val="000000" w:themeColor="text1"/>
                <w:szCs w:val="16"/>
              </w:rPr>
            </w:pPr>
            <w:r w:rsidRPr="00781112">
              <w:rPr>
                <w:rFonts w:cs="Arial"/>
                <w:color w:val="000000" w:themeColor="text1"/>
                <w:szCs w:val="16"/>
              </w:rPr>
              <w:t>02/21/2024</w:t>
            </w:r>
          </w:p>
        </w:tc>
        <w:tc>
          <w:tcPr>
            <w:tcW w:w="2284" w:type="pct"/>
            <w:shd w:val="clear" w:color="auto" w:fill="auto"/>
          </w:tcPr>
          <w:p w14:paraId="11D0842E" w14:textId="2246C25A" w:rsidR="00FE0F05" w:rsidRPr="00781112" w:rsidRDefault="00FE0F05" w:rsidP="00FE0F05">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726" w:type="pct"/>
            <w:shd w:val="clear" w:color="auto" w:fill="auto"/>
          </w:tcPr>
          <w:p w14:paraId="076B8DEA" w14:textId="2D1A3AE9" w:rsidR="00FE0F05" w:rsidRPr="00781112" w:rsidRDefault="00FE0F05" w:rsidP="00FE0F05">
            <w:pPr>
              <w:jc w:val="center"/>
              <w:rPr>
                <w:rFonts w:cs="Arial"/>
                <w:color w:val="000000" w:themeColor="text1"/>
                <w:szCs w:val="16"/>
              </w:rPr>
            </w:pPr>
            <w:r w:rsidRPr="00781112">
              <w:rPr>
                <w:rFonts w:cs="Arial"/>
                <w:color w:val="000000" w:themeColor="text1"/>
                <w:szCs w:val="16"/>
              </w:rPr>
              <w:t>228</w:t>
            </w:r>
          </w:p>
        </w:tc>
      </w:tr>
      <w:tr w:rsidR="0011161A" w:rsidRPr="00781112" w14:paraId="7531005B" w14:textId="77777777" w:rsidTr="0011161A">
        <w:trPr>
          <w:trHeight w:val="380"/>
        </w:trPr>
        <w:tc>
          <w:tcPr>
            <w:tcW w:w="1003" w:type="pct"/>
            <w:shd w:val="clear" w:color="auto" w:fill="auto"/>
          </w:tcPr>
          <w:p w14:paraId="68D79338" w14:textId="7556C19A" w:rsidR="0011161A" w:rsidRPr="00781112" w:rsidRDefault="0011161A" w:rsidP="0011161A">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3137C3E8" w14:textId="1C4E2EC1" w:rsidR="0011161A" w:rsidRPr="00781112" w:rsidRDefault="0011161A" w:rsidP="0011161A">
            <w:pPr>
              <w:jc w:val="center"/>
              <w:rPr>
                <w:rFonts w:cs="Arial"/>
                <w:color w:val="000000" w:themeColor="text1"/>
                <w:szCs w:val="16"/>
              </w:rPr>
            </w:pPr>
            <w:r w:rsidRPr="00781112">
              <w:rPr>
                <w:rFonts w:cs="Arial"/>
                <w:color w:val="000000" w:themeColor="text1"/>
                <w:szCs w:val="16"/>
              </w:rPr>
              <w:t>02/21/2024</w:t>
            </w:r>
          </w:p>
        </w:tc>
        <w:tc>
          <w:tcPr>
            <w:tcW w:w="2284" w:type="pct"/>
            <w:shd w:val="clear" w:color="auto" w:fill="auto"/>
          </w:tcPr>
          <w:p w14:paraId="436358B9" w14:textId="1F75CF67" w:rsidR="0011161A" w:rsidRPr="00781112" w:rsidRDefault="0011161A" w:rsidP="0011161A">
            <w:pPr>
              <w:rPr>
                <w:rFonts w:cs="Arial"/>
                <w:color w:val="000000" w:themeColor="text1"/>
                <w:szCs w:val="16"/>
              </w:rPr>
            </w:pPr>
            <w:r w:rsidRPr="00781112">
              <w:rPr>
                <w:rFonts w:cs="Arial"/>
                <w:color w:val="000000" w:themeColor="text1"/>
                <w:szCs w:val="16"/>
              </w:rPr>
              <w:t>Number of youth with IEPs (ages 14-21) who exited special education by receiving a certificate (c)</w:t>
            </w:r>
          </w:p>
        </w:tc>
        <w:tc>
          <w:tcPr>
            <w:tcW w:w="726" w:type="pct"/>
            <w:shd w:val="clear" w:color="auto" w:fill="auto"/>
          </w:tcPr>
          <w:p w14:paraId="554F88F2" w14:textId="623A3342" w:rsidR="0011161A" w:rsidRPr="00781112" w:rsidRDefault="0011161A" w:rsidP="0011161A">
            <w:pPr>
              <w:jc w:val="center"/>
              <w:rPr>
                <w:rFonts w:cs="Arial"/>
                <w:color w:val="000000" w:themeColor="text1"/>
                <w:szCs w:val="16"/>
              </w:rPr>
            </w:pPr>
          </w:p>
        </w:tc>
      </w:tr>
      <w:tr w:rsidR="0011161A" w:rsidRPr="00781112" w14:paraId="56B284E9" w14:textId="77777777" w:rsidTr="0011161A">
        <w:trPr>
          <w:trHeight w:val="380"/>
        </w:trPr>
        <w:tc>
          <w:tcPr>
            <w:tcW w:w="1003" w:type="pct"/>
            <w:shd w:val="clear" w:color="auto" w:fill="auto"/>
          </w:tcPr>
          <w:p w14:paraId="73E78D27" w14:textId="6A11D514" w:rsidR="0011161A" w:rsidRPr="00781112" w:rsidRDefault="0011161A" w:rsidP="0011161A">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151F192A" w14:textId="492844E5" w:rsidR="0011161A" w:rsidRPr="00781112" w:rsidRDefault="0011161A" w:rsidP="0011161A">
            <w:pPr>
              <w:jc w:val="center"/>
              <w:rPr>
                <w:rFonts w:cs="Arial"/>
                <w:color w:val="000000" w:themeColor="text1"/>
                <w:szCs w:val="16"/>
              </w:rPr>
            </w:pPr>
            <w:r w:rsidRPr="00781112">
              <w:rPr>
                <w:rFonts w:cs="Arial"/>
                <w:color w:val="000000" w:themeColor="text1"/>
                <w:szCs w:val="16"/>
              </w:rPr>
              <w:t>02/21/2024</w:t>
            </w:r>
          </w:p>
        </w:tc>
        <w:tc>
          <w:tcPr>
            <w:tcW w:w="2284" w:type="pct"/>
            <w:shd w:val="clear" w:color="auto" w:fill="auto"/>
          </w:tcPr>
          <w:p w14:paraId="65152DCF" w14:textId="4124B416" w:rsidR="0011161A" w:rsidRPr="00781112" w:rsidRDefault="0011161A" w:rsidP="0011161A">
            <w:pPr>
              <w:rPr>
                <w:rFonts w:cs="Arial"/>
                <w:color w:val="000000" w:themeColor="text1"/>
                <w:szCs w:val="16"/>
              </w:rPr>
            </w:pPr>
            <w:r w:rsidRPr="00781112">
              <w:rPr>
                <w:rFonts w:cs="Arial"/>
                <w:color w:val="000000" w:themeColor="text1"/>
                <w:szCs w:val="16"/>
              </w:rPr>
              <w:t>Number of youth with IEPs (ages 14-21) who exited special education by reaching maximum age (d)</w:t>
            </w:r>
          </w:p>
        </w:tc>
        <w:tc>
          <w:tcPr>
            <w:tcW w:w="726" w:type="pct"/>
            <w:shd w:val="clear" w:color="auto" w:fill="auto"/>
          </w:tcPr>
          <w:p w14:paraId="788B37F6" w14:textId="1E312572" w:rsidR="0011161A" w:rsidRPr="00781112" w:rsidRDefault="0011161A" w:rsidP="0011161A">
            <w:pPr>
              <w:jc w:val="center"/>
              <w:rPr>
                <w:rFonts w:cs="Arial"/>
                <w:color w:val="000000" w:themeColor="text1"/>
                <w:szCs w:val="16"/>
              </w:rPr>
            </w:pPr>
            <w:r w:rsidRPr="00781112">
              <w:rPr>
                <w:rFonts w:cs="Arial"/>
                <w:color w:val="000000" w:themeColor="text1"/>
                <w:szCs w:val="16"/>
              </w:rPr>
              <w:t>11</w:t>
            </w:r>
          </w:p>
        </w:tc>
      </w:tr>
      <w:tr w:rsidR="005C29F8" w:rsidRPr="00781112" w14:paraId="245FE023" w14:textId="77777777" w:rsidTr="0011161A">
        <w:trPr>
          <w:trHeight w:val="380"/>
        </w:trPr>
        <w:tc>
          <w:tcPr>
            <w:tcW w:w="1003" w:type="pct"/>
            <w:shd w:val="clear" w:color="auto" w:fill="auto"/>
          </w:tcPr>
          <w:p w14:paraId="67B529F8" w14:textId="28E7DCDC" w:rsidR="00C470E8" w:rsidRPr="00781112" w:rsidRDefault="008A2533" w:rsidP="00A018D4">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2C17EFE7" w14:textId="6210AB54" w:rsidR="00C470E8" w:rsidRPr="00781112" w:rsidRDefault="008A2533" w:rsidP="00A018D4">
            <w:pPr>
              <w:jc w:val="center"/>
              <w:rPr>
                <w:rFonts w:cs="Arial"/>
                <w:color w:val="000000" w:themeColor="text1"/>
                <w:szCs w:val="16"/>
              </w:rPr>
            </w:pPr>
            <w:r w:rsidRPr="00781112">
              <w:rPr>
                <w:rFonts w:cs="Arial"/>
                <w:color w:val="000000" w:themeColor="text1"/>
                <w:szCs w:val="16"/>
              </w:rPr>
              <w:t>02/21/2024</w:t>
            </w:r>
          </w:p>
        </w:tc>
        <w:tc>
          <w:tcPr>
            <w:tcW w:w="2284" w:type="pct"/>
            <w:shd w:val="clear" w:color="auto" w:fill="auto"/>
          </w:tcPr>
          <w:p w14:paraId="2D5B3E78" w14:textId="5F9109CF" w:rsidR="00C470E8" w:rsidRPr="00781112" w:rsidRDefault="00C470E8" w:rsidP="00C470E8">
            <w:pPr>
              <w:rPr>
                <w:rFonts w:cs="Arial"/>
                <w:color w:val="000000" w:themeColor="text1"/>
                <w:szCs w:val="16"/>
              </w:rPr>
            </w:pPr>
            <w:r w:rsidRPr="00781112">
              <w:rPr>
                <w:rFonts w:cs="Arial"/>
                <w:color w:val="000000" w:themeColor="text1"/>
                <w:szCs w:val="16"/>
              </w:rPr>
              <w:t>Number of youth with IEPs (ages 14-21) who exited special education due to dropping out (e)</w:t>
            </w:r>
          </w:p>
        </w:tc>
        <w:tc>
          <w:tcPr>
            <w:tcW w:w="726" w:type="pct"/>
            <w:shd w:val="clear" w:color="auto" w:fill="auto"/>
          </w:tcPr>
          <w:p w14:paraId="20785B5C" w14:textId="176AF317" w:rsidR="00C470E8" w:rsidRPr="00781112" w:rsidRDefault="00FE0F05" w:rsidP="00A018D4">
            <w:pPr>
              <w:jc w:val="center"/>
              <w:rPr>
                <w:rFonts w:cs="Arial"/>
                <w:color w:val="000000" w:themeColor="text1"/>
                <w:szCs w:val="16"/>
              </w:rPr>
            </w:pPr>
            <w:r w:rsidRPr="00781112">
              <w:rPr>
                <w:rFonts w:cs="Arial"/>
                <w:color w:val="000000" w:themeColor="text1"/>
                <w:szCs w:val="16"/>
              </w:rPr>
              <w:t>171</w:t>
            </w:r>
          </w:p>
        </w:tc>
      </w:tr>
    </w:tbl>
    <w:p w14:paraId="7CE42756" w14:textId="445D9372" w:rsidR="00654A4B" w:rsidRPr="00781112" w:rsidRDefault="00654A4B" w:rsidP="004369B2">
      <w:pPr>
        <w:rPr>
          <w:color w:val="000000" w:themeColor="text1"/>
        </w:rPr>
      </w:pPr>
    </w:p>
    <w:p w14:paraId="4463AFB2" w14:textId="646E1E7D" w:rsidR="00C96339" w:rsidRPr="00781112" w:rsidRDefault="0047313F" w:rsidP="004369B2">
      <w:pPr>
        <w:rPr>
          <w:color w:val="000000" w:themeColor="text1"/>
        </w:rPr>
      </w:pPr>
      <w:r>
        <w:rPr>
          <w:b/>
          <w:color w:val="000000" w:themeColor="text1"/>
        </w:rPr>
        <w:t xml:space="preserve">FFY 2023 SPP/APR Data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2CFFYAPRDATAOPT1"/>
      </w:tblPr>
      <w:tblGrid>
        <w:gridCol w:w="1528"/>
        <w:gridCol w:w="1507"/>
        <w:gridCol w:w="1367"/>
        <w:gridCol w:w="2088"/>
        <w:gridCol w:w="1228"/>
        <w:gridCol w:w="1563"/>
        <w:gridCol w:w="1513"/>
      </w:tblGrid>
      <w:tr w:rsidR="0047313F" w:rsidRPr="00781112" w14:paraId="5C4D1C2F" w14:textId="77777777" w:rsidTr="004D0044">
        <w:trPr>
          <w:trHeight w:val="359"/>
          <w:tblHeader/>
        </w:trPr>
        <w:tc>
          <w:tcPr>
            <w:tcW w:w="708" w:type="pct"/>
            <w:shd w:val="clear" w:color="auto" w:fill="auto"/>
            <w:vAlign w:val="bottom"/>
          </w:tcPr>
          <w:p w14:paraId="3F5808F2" w14:textId="257E84C8" w:rsidR="0047313F" w:rsidRPr="00781112" w:rsidRDefault="0047313F" w:rsidP="0047313F">
            <w:pPr>
              <w:jc w:val="center"/>
              <w:rPr>
                <w:rFonts w:cs="Arial"/>
                <w:b/>
                <w:color w:val="000000" w:themeColor="text1"/>
                <w:szCs w:val="16"/>
              </w:rPr>
            </w:pPr>
            <w:r w:rsidRPr="00781112">
              <w:rPr>
                <w:rFonts w:cs="Arial"/>
                <w:b/>
                <w:color w:val="000000" w:themeColor="text1"/>
                <w:szCs w:val="16"/>
              </w:rPr>
              <w:t>Number of youth with IEPs (ages 14-21) who exited special education due to dropping out</w:t>
            </w:r>
          </w:p>
        </w:tc>
        <w:tc>
          <w:tcPr>
            <w:tcW w:w="698" w:type="pct"/>
            <w:shd w:val="clear" w:color="auto" w:fill="auto"/>
            <w:vAlign w:val="bottom"/>
          </w:tcPr>
          <w:p w14:paraId="2F5BF81E" w14:textId="25314F83" w:rsidR="0047313F" w:rsidRPr="00781112" w:rsidRDefault="0047313F" w:rsidP="0047313F">
            <w:pPr>
              <w:jc w:val="center"/>
              <w:rPr>
                <w:rFonts w:cs="Arial"/>
                <w:color w:val="000000" w:themeColor="text1"/>
                <w:szCs w:val="16"/>
              </w:rPr>
            </w:pPr>
            <w:r w:rsidRPr="008137CC">
              <w:rPr>
                <w:rFonts w:cs="Arial"/>
                <w:b/>
                <w:color w:val="000000" w:themeColor="text1"/>
                <w:szCs w:val="16"/>
              </w:rPr>
              <w:t xml:space="preserve">Number of all youth with IEPs who exited special education (ages 14-21)  </w:t>
            </w:r>
          </w:p>
        </w:tc>
        <w:tc>
          <w:tcPr>
            <w:tcW w:w="633" w:type="pct"/>
            <w:shd w:val="clear" w:color="auto" w:fill="auto"/>
            <w:vAlign w:val="bottom"/>
          </w:tcPr>
          <w:p w14:paraId="764A6652" w14:textId="6F948523" w:rsidR="0047313F" w:rsidRPr="00073BD7" w:rsidRDefault="0047313F" w:rsidP="0047313F">
            <w:pPr>
              <w:jc w:val="center"/>
              <w:rPr>
                <w:rFonts w:cs="Arial"/>
                <w:b/>
                <w:bCs/>
                <w:color w:val="000000" w:themeColor="text1"/>
                <w:szCs w:val="16"/>
              </w:rPr>
            </w:pPr>
            <w:r w:rsidRPr="00073BD7">
              <w:rPr>
                <w:b/>
                <w:bCs/>
              </w:rPr>
              <w:t>FFY 2022 Data</w:t>
            </w:r>
          </w:p>
        </w:tc>
        <w:tc>
          <w:tcPr>
            <w:tcW w:w="967" w:type="pct"/>
            <w:shd w:val="clear" w:color="auto" w:fill="auto"/>
            <w:vAlign w:val="bottom"/>
          </w:tcPr>
          <w:p w14:paraId="1F444650" w14:textId="2FC486DA" w:rsidR="0047313F" w:rsidRPr="00073BD7" w:rsidRDefault="0047313F" w:rsidP="0047313F">
            <w:pPr>
              <w:jc w:val="center"/>
              <w:rPr>
                <w:rFonts w:cs="Arial"/>
                <w:b/>
                <w:bCs/>
                <w:color w:val="000000" w:themeColor="text1"/>
                <w:szCs w:val="16"/>
              </w:rPr>
            </w:pPr>
            <w:r w:rsidRPr="00073BD7">
              <w:rPr>
                <w:b/>
                <w:bCs/>
              </w:rPr>
              <w:t>FFY 2023 Target</w:t>
            </w:r>
          </w:p>
        </w:tc>
        <w:tc>
          <w:tcPr>
            <w:tcW w:w="569" w:type="pct"/>
            <w:shd w:val="clear" w:color="auto" w:fill="auto"/>
            <w:vAlign w:val="bottom"/>
          </w:tcPr>
          <w:p w14:paraId="194A1B8B" w14:textId="21762BD8" w:rsidR="0047313F" w:rsidRPr="00073BD7" w:rsidRDefault="0047313F" w:rsidP="0047313F">
            <w:pPr>
              <w:jc w:val="center"/>
              <w:rPr>
                <w:rFonts w:cs="Arial"/>
                <w:b/>
                <w:bCs/>
                <w:color w:val="000000" w:themeColor="text1"/>
                <w:szCs w:val="16"/>
              </w:rPr>
            </w:pPr>
            <w:r w:rsidRPr="00073BD7">
              <w:rPr>
                <w:b/>
                <w:bCs/>
              </w:rPr>
              <w:t>FFY 2023 Data</w:t>
            </w:r>
          </w:p>
        </w:tc>
        <w:tc>
          <w:tcPr>
            <w:tcW w:w="724" w:type="pct"/>
            <w:shd w:val="clear" w:color="auto" w:fill="auto"/>
            <w:vAlign w:val="bottom"/>
          </w:tcPr>
          <w:p w14:paraId="4B0F6AF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Status</w:t>
            </w:r>
          </w:p>
        </w:tc>
        <w:tc>
          <w:tcPr>
            <w:tcW w:w="701" w:type="pct"/>
            <w:shd w:val="clear" w:color="auto" w:fill="auto"/>
            <w:vAlign w:val="bottom"/>
          </w:tcPr>
          <w:p w14:paraId="2987DD9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Slippage</w:t>
            </w:r>
          </w:p>
        </w:tc>
      </w:tr>
      <w:tr w:rsidR="005C29F8" w:rsidRPr="00781112" w14:paraId="2928907F" w14:textId="77777777" w:rsidTr="004D0044">
        <w:trPr>
          <w:trHeight w:val="366"/>
        </w:trPr>
        <w:tc>
          <w:tcPr>
            <w:tcW w:w="708" w:type="pct"/>
            <w:shd w:val="clear" w:color="auto" w:fill="auto"/>
            <w:vAlign w:val="center"/>
          </w:tcPr>
          <w:p w14:paraId="153F1C9B" w14:textId="5227014D" w:rsidR="00C96339" w:rsidRPr="00781112" w:rsidRDefault="002B7490" w:rsidP="00A018D4">
            <w:pPr>
              <w:jc w:val="center"/>
              <w:rPr>
                <w:rFonts w:cs="Arial"/>
                <w:color w:val="000000" w:themeColor="text1"/>
                <w:szCs w:val="16"/>
              </w:rPr>
            </w:pPr>
            <w:r w:rsidRPr="00781112">
              <w:rPr>
                <w:rFonts w:cs="Arial"/>
                <w:color w:val="000000" w:themeColor="text1"/>
                <w:szCs w:val="16"/>
              </w:rPr>
              <w:t>171</w:t>
            </w:r>
          </w:p>
        </w:tc>
        <w:tc>
          <w:tcPr>
            <w:tcW w:w="698" w:type="pct"/>
            <w:shd w:val="clear" w:color="auto" w:fill="auto"/>
            <w:vAlign w:val="center"/>
          </w:tcPr>
          <w:p w14:paraId="31391E82" w14:textId="0E0F2A0A" w:rsidR="00C96339" w:rsidRPr="00781112" w:rsidRDefault="002B7490" w:rsidP="00A018D4">
            <w:pPr>
              <w:jc w:val="center"/>
              <w:rPr>
                <w:rFonts w:cs="Arial"/>
                <w:color w:val="000000" w:themeColor="text1"/>
                <w:szCs w:val="16"/>
              </w:rPr>
            </w:pPr>
            <w:r w:rsidRPr="00781112">
              <w:rPr>
                <w:rFonts w:cs="Arial"/>
                <w:color w:val="000000" w:themeColor="text1"/>
                <w:szCs w:val="16"/>
              </w:rPr>
              <w:t>2,599</w:t>
            </w:r>
          </w:p>
        </w:tc>
        <w:tc>
          <w:tcPr>
            <w:tcW w:w="633" w:type="pct"/>
            <w:shd w:val="clear" w:color="auto" w:fill="auto"/>
          </w:tcPr>
          <w:p w14:paraId="77541D8A" w14:textId="254EC6F2" w:rsidR="00C96339" w:rsidRPr="00781112" w:rsidRDefault="002B7490" w:rsidP="00A018D4">
            <w:pPr>
              <w:jc w:val="center"/>
              <w:rPr>
                <w:rFonts w:cs="Arial"/>
                <w:color w:val="000000" w:themeColor="text1"/>
                <w:szCs w:val="16"/>
              </w:rPr>
            </w:pPr>
            <w:r w:rsidRPr="00781112">
              <w:rPr>
                <w:rFonts w:cs="Arial"/>
                <w:color w:val="000000" w:themeColor="text1"/>
                <w:szCs w:val="16"/>
              </w:rPr>
              <w:t>7.61%</w:t>
            </w:r>
          </w:p>
        </w:tc>
        <w:tc>
          <w:tcPr>
            <w:tcW w:w="967" w:type="pct"/>
            <w:shd w:val="clear" w:color="auto" w:fill="auto"/>
          </w:tcPr>
          <w:p w14:paraId="70FE3FCD" w14:textId="1A7F9FE0" w:rsidR="00C96339" w:rsidRPr="00781112" w:rsidRDefault="002B7490" w:rsidP="00A018D4">
            <w:pPr>
              <w:jc w:val="center"/>
              <w:rPr>
                <w:rFonts w:cs="Arial"/>
                <w:color w:val="000000" w:themeColor="text1"/>
                <w:szCs w:val="16"/>
              </w:rPr>
            </w:pPr>
            <w:r w:rsidRPr="00781112">
              <w:rPr>
                <w:rFonts w:cs="Arial"/>
                <w:color w:val="000000" w:themeColor="text1"/>
                <w:szCs w:val="16"/>
              </w:rPr>
              <w:t>4.17%</w:t>
            </w:r>
          </w:p>
        </w:tc>
        <w:tc>
          <w:tcPr>
            <w:tcW w:w="569" w:type="pct"/>
            <w:shd w:val="clear" w:color="auto" w:fill="auto"/>
          </w:tcPr>
          <w:p w14:paraId="64E2814C" w14:textId="135DB5EE" w:rsidR="00C96339" w:rsidRPr="00781112" w:rsidRDefault="002B7490" w:rsidP="00A018D4">
            <w:pPr>
              <w:jc w:val="center"/>
              <w:rPr>
                <w:rFonts w:cs="Arial"/>
                <w:color w:val="000000" w:themeColor="text1"/>
                <w:szCs w:val="16"/>
              </w:rPr>
            </w:pPr>
            <w:r w:rsidRPr="00781112">
              <w:rPr>
                <w:rFonts w:cs="Arial"/>
                <w:color w:val="000000" w:themeColor="text1"/>
                <w:szCs w:val="16"/>
              </w:rPr>
              <w:t>6.58%</w:t>
            </w:r>
          </w:p>
        </w:tc>
        <w:tc>
          <w:tcPr>
            <w:tcW w:w="724" w:type="pct"/>
            <w:shd w:val="clear" w:color="auto" w:fill="auto"/>
          </w:tcPr>
          <w:p w14:paraId="60873B1E" w14:textId="3A0A0AC5" w:rsidR="00C96339"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1" w:type="pct"/>
            <w:shd w:val="clear" w:color="auto" w:fill="auto"/>
          </w:tcPr>
          <w:p w14:paraId="3EF3C710" w14:textId="04969BC1" w:rsidR="00C96339"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7A2EAFB" w14:textId="5DAAB5B0" w:rsidR="00A87A9D" w:rsidRPr="00781112" w:rsidRDefault="0083500D" w:rsidP="00552927">
      <w:pPr>
        <w:rPr>
          <w:rFonts w:cs="Arial"/>
          <w:b/>
          <w:color w:val="000000" w:themeColor="text1"/>
          <w:szCs w:val="16"/>
        </w:rPr>
      </w:pPr>
      <w:r w:rsidRPr="00781112">
        <w:rPr>
          <w:rFonts w:cs="Arial"/>
          <w:b/>
          <w:color w:val="000000" w:themeColor="text1"/>
          <w:szCs w:val="16"/>
        </w:rPr>
        <w:t>Provide a narrative that describes what counts as dropping out for all youth</w:t>
      </w:r>
    </w:p>
    <w:p w14:paraId="32A15CDA" w14:textId="3CA05678"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West Virginia Board of Education (WVBE) Policy 4110: “Attendance” (effective January 15, 2021) contains the definition of a dropout. The definition of a dropout for FFY 2023 was as follows:</w:t>
      </w:r>
      <w:r w:rsidRPr="00781112">
        <w:rPr>
          <w:rFonts w:cs="Arial"/>
          <w:color w:val="000000" w:themeColor="text1"/>
          <w:szCs w:val="16"/>
          <w:shd w:val="clear" w:color="auto" w:fill="FFFFFF"/>
        </w:rPr>
        <w:br/>
        <w:t>A dropout is an individual who was enrolled in school at some time during the previous school year and was not enrolled on October 1 of the current school year; or was not enrolled on October 1 of the previous school year although expected to be in membership (i.e., was not reported as a drop out the year before); and has not graduated from high school, obtained a High School Equivalency Diploma (referred to as TASC [Test Assessing Secondary Completion], and/or HSEA High School Equivalency Assessment), or completed a state or LEA-approved education program; and does not meet any of the following exclusionary conditions: (a) transfer to another public school district, private school, registered home school or state or LEA-approved education program; (b) temporary school-recognized absence due to suspension or illness; or (c) death.</w:t>
      </w:r>
    </w:p>
    <w:p w14:paraId="6E220BF0" w14:textId="157218DF" w:rsidR="00DD051F" w:rsidRPr="00781112" w:rsidRDefault="00DD051F" w:rsidP="000E33D0">
      <w:pPr>
        <w:rPr>
          <w:rFonts w:cs="Arial"/>
          <w:b/>
          <w:color w:val="000000" w:themeColor="text1"/>
          <w:szCs w:val="16"/>
        </w:rPr>
      </w:pPr>
      <w:r w:rsidRPr="00781112">
        <w:rPr>
          <w:rFonts w:cs="Arial"/>
          <w:b/>
          <w:color w:val="000000" w:themeColor="text1"/>
          <w:szCs w:val="16"/>
        </w:rPr>
        <w:t>Is there a difference in what counts as dropping out for youth with IEPs? (yes/no)</w:t>
      </w:r>
    </w:p>
    <w:p w14:paraId="5530CE18" w14:textId="2E8B8BC5" w:rsidR="00DD051F" w:rsidRPr="00781112" w:rsidRDefault="00DD051F" w:rsidP="000E33D0">
      <w:pPr>
        <w:rPr>
          <w:rFonts w:cs="Arial"/>
          <w:color w:val="000000" w:themeColor="text1"/>
          <w:szCs w:val="16"/>
        </w:rPr>
      </w:pPr>
      <w:r w:rsidRPr="00781112">
        <w:rPr>
          <w:rFonts w:cs="Arial"/>
          <w:color w:val="000000" w:themeColor="text1"/>
          <w:szCs w:val="16"/>
        </w:rPr>
        <w:t>NO</w:t>
      </w:r>
    </w:p>
    <w:p w14:paraId="4903B3F9" w14:textId="50D12777" w:rsidR="00E418E6" w:rsidRPr="00781112" w:rsidRDefault="00B7068F" w:rsidP="004369B2">
      <w:pPr>
        <w:rPr>
          <w:b/>
          <w:color w:val="000000" w:themeColor="text1"/>
        </w:rPr>
      </w:pPr>
      <w:r w:rsidRPr="00781112">
        <w:rPr>
          <w:b/>
          <w:color w:val="000000" w:themeColor="text1"/>
        </w:rPr>
        <w:t>If yes, explain the difference in what counts as dropping out for youth with IEPs.</w:t>
      </w:r>
    </w:p>
    <w:p w14:paraId="79A7C25A" w14:textId="1EDF1407" w:rsidR="00A869E9" w:rsidRPr="00781112" w:rsidRDefault="00A869E9" w:rsidP="000E33D0">
      <w:pPr>
        <w:rPr>
          <w:rFonts w:cs="Arial"/>
          <w:color w:val="000000" w:themeColor="text1"/>
          <w:szCs w:val="16"/>
          <w:shd w:val="clear" w:color="auto" w:fill="FFFFFF"/>
        </w:rPr>
      </w:pPr>
    </w:p>
    <w:p w14:paraId="44F7B282" w14:textId="77777777" w:rsidR="00F56834" w:rsidRPr="00781112" w:rsidRDefault="00F56834" w:rsidP="004369B2">
      <w:pPr>
        <w:rPr>
          <w:b/>
          <w:color w:val="000000" w:themeColor="text1"/>
        </w:rPr>
      </w:pPr>
      <w:bookmarkStart w:id="10" w:name="_Toc382082362"/>
      <w:bookmarkStart w:id="11" w:name="_Toc392159270"/>
      <w:bookmarkStart w:id="12" w:name="_Toc365403651"/>
      <w:r w:rsidRPr="00781112">
        <w:rPr>
          <w:b/>
          <w:color w:val="000000" w:themeColor="text1"/>
        </w:rPr>
        <w:t>Provide additional information about this indicator (optional)</w:t>
      </w:r>
    </w:p>
    <w:p w14:paraId="4492AB5A" w14:textId="63C5DA7E" w:rsidR="00A869E9" w:rsidRPr="00781112" w:rsidRDefault="002B7490" w:rsidP="000E33D0">
      <w:pPr>
        <w:rPr>
          <w:rFonts w:cs="Arial"/>
          <w:color w:val="000000" w:themeColor="text1"/>
          <w:szCs w:val="16"/>
        </w:rPr>
      </w:pPr>
      <w:r w:rsidRPr="00781112">
        <w:rPr>
          <w:rFonts w:cs="Arial"/>
          <w:color w:val="000000" w:themeColor="text1"/>
          <w:szCs w:val="16"/>
          <w:shd w:val="clear" w:color="auto" w:fill="FFFFFF"/>
        </w:rPr>
        <w:t xml:space="preserve">A revision of Policy 4110 was filed in August 2024 and made effective September 16, 2024. Any revisions to the definition of a dropout will be reflected in the appropriate SPP/APR submission. </w:t>
      </w:r>
      <w:r w:rsidRPr="00781112">
        <w:rPr>
          <w:rFonts w:cs="Arial"/>
          <w:color w:val="000000" w:themeColor="text1"/>
          <w:szCs w:val="16"/>
          <w:shd w:val="clear" w:color="auto" w:fill="FFFFFF"/>
        </w:rPr>
        <w:br/>
        <w:t>Link to WV Board of Education Policies: [https://wvde.state.wv.us/policies/]</w:t>
      </w:r>
    </w:p>
    <w:p w14:paraId="6E187388" w14:textId="724EF642" w:rsidR="000A2C83" w:rsidRPr="00781112" w:rsidRDefault="00F914B4" w:rsidP="008645AD">
      <w:pPr>
        <w:pStyle w:val="Heading2"/>
      </w:pPr>
      <w:r w:rsidRPr="00781112">
        <w:t>2</w:t>
      </w:r>
      <w:r w:rsidR="00684B51" w:rsidRPr="00781112">
        <w:t xml:space="preserve"> </w:t>
      </w:r>
      <w:r w:rsidRPr="00781112">
        <w:t xml:space="preserve">- </w:t>
      </w:r>
      <w:r w:rsidR="000A2C83" w:rsidRPr="00781112">
        <w:t>Prior FFY Required Actions</w:t>
      </w:r>
    </w:p>
    <w:p w14:paraId="3B152B02" w14:textId="0A6719CC" w:rsidR="000A2C83" w:rsidRPr="00781112" w:rsidRDefault="002B7490" w:rsidP="000A2C83">
      <w:pPr>
        <w:rPr>
          <w:rFonts w:cs="Arial"/>
          <w:color w:val="000000" w:themeColor="text1"/>
          <w:szCs w:val="16"/>
        </w:rPr>
      </w:pPr>
      <w:r w:rsidRPr="00781112">
        <w:rPr>
          <w:rFonts w:cs="Arial"/>
          <w:color w:val="000000" w:themeColor="text1"/>
          <w:szCs w:val="16"/>
        </w:rPr>
        <w:t>None</w:t>
      </w:r>
    </w:p>
    <w:p w14:paraId="7896DD52" w14:textId="585814D8" w:rsidR="00DD051F" w:rsidRPr="00781112" w:rsidRDefault="00DD051F" w:rsidP="000A2C83">
      <w:pPr>
        <w:rPr>
          <w:rFonts w:cs="Arial"/>
          <w:color w:val="000000" w:themeColor="text1"/>
          <w:szCs w:val="16"/>
        </w:rPr>
      </w:pPr>
    </w:p>
    <w:p w14:paraId="306FF021" w14:textId="5A4A312B" w:rsidR="00F56834" w:rsidRPr="00781112" w:rsidRDefault="000D2287" w:rsidP="008645AD">
      <w:pPr>
        <w:pStyle w:val="Heading2"/>
      </w:pPr>
      <w:r w:rsidRPr="00781112">
        <w:t>2</w:t>
      </w:r>
      <w:r w:rsidR="00684B51" w:rsidRPr="00781112">
        <w:t xml:space="preserve"> </w:t>
      </w:r>
      <w:r w:rsidRPr="00781112">
        <w:t xml:space="preserve">- </w:t>
      </w:r>
      <w:r w:rsidR="00F56834" w:rsidRPr="00781112">
        <w:t>OSEP Response</w:t>
      </w:r>
    </w:p>
    <w:p w14:paraId="079F48D0" w14:textId="5CDDFF24" w:rsidR="00A869E9" w:rsidRPr="00781112" w:rsidRDefault="00A869E9" w:rsidP="001F692C">
      <w:pPr>
        <w:rPr>
          <w:rFonts w:cs="Arial"/>
          <w:color w:val="000000" w:themeColor="text1"/>
          <w:szCs w:val="16"/>
        </w:rPr>
      </w:pPr>
    </w:p>
    <w:p w14:paraId="6A1E3D87" w14:textId="6B4D2DBD" w:rsidR="00F56834" w:rsidRPr="00781112" w:rsidRDefault="000105C5" w:rsidP="008645AD">
      <w:pPr>
        <w:pStyle w:val="Heading2"/>
      </w:pPr>
      <w:r w:rsidRPr="00781112">
        <w:t>2 - Required Actions</w:t>
      </w:r>
    </w:p>
    <w:p w14:paraId="6C7960E7" w14:textId="06463459" w:rsidR="00A869E9" w:rsidRPr="00781112" w:rsidRDefault="00A869E9" w:rsidP="001F692C">
      <w:pPr>
        <w:rPr>
          <w:rFonts w:cs="Arial"/>
          <w:color w:val="000000" w:themeColor="text1"/>
          <w:szCs w:val="16"/>
        </w:rPr>
      </w:pPr>
    </w:p>
    <w:p w14:paraId="735D3BB6" w14:textId="20B8192A" w:rsidR="00553A47" w:rsidRPr="00781112" w:rsidRDefault="00D37BF0" w:rsidP="00553A47">
      <w:pPr>
        <w:pStyle w:val="Heading1"/>
        <w:rPr>
          <w:color w:val="000000" w:themeColor="text1"/>
          <w:sz w:val="22"/>
        </w:rPr>
      </w:pPr>
      <w:r w:rsidRPr="00781112">
        <w:rPr>
          <w:color w:val="000000" w:themeColor="text1"/>
          <w:szCs w:val="16"/>
        </w:rPr>
        <w:br w:type="page"/>
      </w:r>
      <w:r w:rsidR="00553A47" w:rsidRPr="00781112">
        <w:rPr>
          <w:color w:val="000000" w:themeColor="text1"/>
          <w:sz w:val="22"/>
        </w:rPr>
        <w:lastRenderedPageBreak/>
        <w:t>Indicator 3A: Participation for Children with IEPs</w:t>
      </w:r>
    </w:p>
    <w:p w14:paraId="5AC89D57" w14:textId="7E142BFD" w:rsidR="00553A47" w:rsidRPr="002C274F" w:rsidRDefault="00553A47" w:rsidP="002C274F">
      <w:pPr>
        <w:rPr>
          <w:b/>
          <w:bCs/>
          <w:sz w:val="20"/>
          <w:szCs w:val="20"/>
        </w:rPr>
      </w:pPr>
      <w:r w:rsidRPr="002C274F">
        <w:rPr>
          <w:b/>
          <w:bCs/>
          <w:sz w:val="20"/>
          <w:szCs w:val="20"/>
        </w:rPr>
        <w:t>Instructions and Measurement</w:t>
      </w:r>
    </w:p>
    <w:p w14:paraId="5D4905EB" w14:textId="77777777" w:rsidR="00553A47" w:rsidRPr="00781112" w:rsidRDefault="00553A47" w:rsidP="00553A47">
      <w:pPr>
        <w:rPr>
          <w:color w:val="000000" w:themeColor="text1"/>
        </w:rPr>
      </w:pPr>
      <w:r w:rsidRPr="00781112">
        <w:rPr>
          <w:b/>
          <w:color w:val="000000" w:themeColor="text1"/>
        </w:rPr>
        <w:t>Monitoring Priority:</w:t>
      </w:r>
      <w:r w:rsidRPr="00781112">
        <w:rPr>
          <w:color w:val="000000" w:themeColor="text1"/>
        </w:rPr>
        <w:t xml:space="preserve"> FAPE in the LRE</w:t>
      </w:r>
    </w:p>
    <w:p w14:paraId="5574F71D" w14:textId="77777777" w:rsidR="00553A47" w:rsidRPr="00781112" w:rsidRDefault="00553A47" w:rsidP="00553A4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0338FF36" w14:textId="39B31752" w:rsidR="00553A47" w:rsidRPr="00781112" w:rsidRDefault="00553A47" w:rsidP="00553A47">
      <w:pPr>
        <w:ind w:firstLine="720"/>
        <w:rPr>
          <w:rFonts w:cs="Arial"/>
          <w:color w:val="000000" w:themeColor="text1"/>
          <w:szCs w:val="16"/>
        </w:rPr>
      </w:pPr>
      <w:r w:rsidRPr="00781112">
        <w:rPr>
          <w:rFonts w:cs="Arial"/>
          <w:color w:val="000000" w:themeColor="text1"/>
          <w:szCs w:val="16"/>
        </w:rPr>
        <w:t>A. Participation rate for children with IEPs.</w:t>
      </w:r>
    </w:p>
    <w:p w14:paraId="3CA36EC5" w14:textId="078762D9" w:rsidR="00553A47" w:rsidRPr="00781112" w:rsidRDefault="00553A47" w:rsidP="00553A47">
      <w:pPr>
        <w:ind w:firstLine="720"/>
        <w:rPr>
          <w:rFonts w:cs="Arial"/>
          <w:color w:val="000000" w:themeColor="text1"/>
          <w:szCs w:val="16"/>
        </w:rPr>
      </w:pPr>
      <w:r w:rsidRPr="00781112">
        <w:rPr>
          <w:rFonts w:cs="Arial"/>
          <w:color w:val="000000" w:themeColor="text1"/>
          <w:szCs w:val="16"/>
        </w:rPr>
        <w:t xml:space="preserve">B. </w:t>
      </w:r>
      <w:r w:rsidR="001A2D6A" w:rsidRPr="00781112">
        <w:rPr>
          <w:rFonts w:cs="Arial"/>
          <w:szCs w:val="16"/>
        </w:rPr>
        <w:t>Proficiency rate for children with IEPs against grade level academic achievement standards.</w:t>
      </w:r>
    </w:p>
    <w:p w14:paraId="64DD3F3A" w14:textId="04853D07" w:rsidR="00553A47" w:rsidRPr="00781112" w:rsidRDefault="00553A47" w:rsidP="00553A4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0682F204" w14:textId="1717FB60" w:rsidR="00EB7555" w:rsidRPr="00781112" w:rsidRDefault="00EB7555" w:rsidP="00553A47">
      <w:pPr>
        <w:ind w:firstLine="720"/>
        <w:rPr>
          <w:rFonts w:cs="Arial"/>
          <w:color w:val="000000" w:themeColor="text1"/>
          <w:szCs w:val="16"/>
        </w:rPr>
      </w:pPr>
      <w:r w:rsidRPr="00781112">
        <w:rPr>
          <w:rFonts w:cs="Arial"/>
          <w:color w:val="000000" w:themeColor="text1"/>
          <w:szCs w:val="16"/>
        </w:rPr>
        <w:t>D.</w:t>
      </w:r>
      <w:r w:rsidR="00943CE1" w:rsidRPr="00781112">
        <w:rPr>
          <w:rFonts w:cs="Arial"/>
          <w:szCs w:val="16"/>
        </w:rPr>
        <w:t xml:space="preserve"> Gap in proficiency rates for children with IEPs and all students against grade level academic achievement standards.</w:t>
      </w:r>
    </w:p>
    <w:p w14:paraId="16CF85BD" w14:textId="77777777" w:rsidR="00553A47" w:rsidRPr="00781112" w:rsidRDefault="00553A47" w:rsidP="00553A47">
      <w:pPr>
        <w:rPr>
          <w:rFonts w:cs="Arial"/>
          <w:color w:val="000000" w:themeColor="text1"/>
          <w:szCs w:val="16"/>
        </w:rPr>
      </w:pPr>
      <w:r w:rsidRPr="00781112">
        <w:rPr>
          <w:rFonts w:cs="Arial"/>
          <w:color w:val="000000" w:themeColor="text1"/>
          <w:szCs w:val="16"/>
        </w:rPr>
        <w:t>(20 U.S.C. 1416 (a)(3)(A))</w:t>
      </w:r>
    </w:p>
    <w:p w14:paraId="324A6C31" w14:textId="77777777" w:rsidR="00553A47" w:rsidRPr="00781112" w:rsidRDefault="00553A47" w:rsidP="00553A47">
      <w:pPr>
        <w:rPr>
          <w:color w:val="000000" w:themeColor="text1"/>
        </w:rPr>
      </w:pPr>
      <w:r w:rsidRPr="00781112">
        <w:rPr>
          <w:b/>
          <w:color w:val="000000" w:themeColor="text1"/>
        </w:rPr>
        <w:t>Data Source</w:t>
      </w:r>
    </w:p>
    <w:p w14:paraId="6C25670B" w14:textId="158BF188" w:rsidR="00553A47" w:rsidRPr="00781112" w:rsidRDefault="00553A47" w:rsidP="00553A47">
      <w:pPr>
        <w:rPr>
          <w:rFonts w:cs="Arial"/>
          <w:color w:val="000000" w:themeColor="text1"/>
          <w:szCs w:val="16"/>
        </w:rPr>
      </w:pPr>
      <w:r w:rsidRPr="00781112">
        <w:rPr>
          <w:rFonts w:cs="Arial"/>
          <w:color w:val="000000" w:themeColor="text1"/>
          <w:szCs w:val="16"/>
        </w:rPr>
        <w:t>3A.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FS185 and 188.</w:t>
      </w:r>
    </w:p>
    <w:p w14:paraId="71EF09A1" w14:textId="77777777" w:rsidR="00553A47" w:rsidRPr="00781112" w:rsidRDefault="00553A47" w:rsidP="00553A47">
      <w:pPr>
        <w:rPr>
          <w:color w:val="000000" w:themeColor="text1"/>
        </w:rPr>
      </w:pPr>
      <w:r w:rsidRPr="00781112">
        <w:rPr>
          <w:b/>
          <w:color w:val="000000" w:themeColor="text1"/>
        </w:rPr>
        <w:t>Measurement</w:t>
      </w:r>
    </w:p>
    <w:p w14:paraId="7A515068" w14:textId="2DA214AF" w:rsidR="00553A47" w:rsidRPr="00781112" w:rsidRDefault="00943CE1" w:rsidP="00553A47">
      <w:pPr>
        <w:rPr>
          <w:rFonts w:cs="Arial"/>
          <w:color w:val="000000" w:themeColor="text1"/>
          <w:szCs w:val="16"/>
        </w:rPr>
      </w:pPr>
      <w:r w:rsidRPr="00781112">
        <w:rPr>
          <w:rFonts w:cs="Arial"/>
          <w:color w:val="000000" w:themeColor="text1"/>
          <w:szCs w:val="16"/>
        </w:rPr>
        <w:t>A. Participation rate percent = [(# of children with IEPs participating in an assessment) divided by the (total # of children with IEPs enrolled during the testing window)]. Calculate separately for reading and math. Calculate separately for grades 4, 8, and high school. The participation rate is based on all children with IEPs, including both children with IEPs enrolled for a full academic year and those not enrolled for a full academic year.</w:t>
      </w:r>
    </w:p>
    <w:p w14:paraId="1C86ADC7" w14:textId="77777777" w:rsidR="00553A47" w:rsidRPr="00781112" w:rsidRDefault="00553A47" w:rsidP="00553A47">
      <w:pPr>
        <w:rPr>
          <w:color w:val="000000" w:themeColor="text1"/>
        </w:rPr>
      </w:pPr>
      <w:r w:rsidRPr="00781112">
        <w:rPr>
          <w:b/>
          <w:color w:val="000000" w:themeColor="text1"/>
        </w:rPr>
        <w:t>Instructions</w:t>
      </w:r>
    </w:p>
    <w:p w14:paraId="2E7C9B5C" w14:textId="459F8E70" w:rsidR="001B75FD" w:rsidRPr="00781112" w:rsidRDefault="001B75FD" w:rsidP="001B75FD">
      <w:pPr>
        <w:pStyle w:val="Subhed"/>
        <w:rPr>
          <w:b w:val="0"/>
          <w:bCs/>
        </w:rPr>
      </w:pPr>
      <w:r w:rsidRPr="00781112">
        <w:rPr>
          <w:b w:val="0"/>
          <w:bCs/>
        </w:rPr>
        <w:t>Describe the results of the calculations and compare the results to the targets. Provide the actual numbers used in the calculation.</w:t>
      </w:r>
    </w:p>
    <w:p w14:paraId="7D60E85E" w14:textId="77777777" w:rsidR="001B75FD" w:rsidRPr="00781112" w:rsidRDefault="001B75FD" w:rsidP="001B75FD">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7A7658A6" w14:textId="15282F50" w:rsidR="00553A47" w:rsidRPr="00781112" w:rsidRDefault="001B75FD" w:rsidP="001B75FD">
      <w:pPr>
        <w:rPr>
          <w:rFonts w:cs="Arial"/>
          <w:color w:val="000000" w:themeColor="text1"/>
          <w:szCs w:val="16"/>
        </w:rPr>
      </w:pPr>
      <w:r w:rsidRPr="00781112">
        <w:rPr>
          <w:bCs/>
        </w:rPr>
        <w:t>Indicator 3A: Provide separate reading/language arts and mathematics participation rates for children with IEPs for each of the following grades: 4, 8, &amp; high school. Account for ALL children with IEPs, in grades 4, 8, and high school, including children not participating in assessments and those not enrolled for a full academic year. Only include children with disabilities who had an IEP at the time of testing</w:t>
      </w:r>
      <w:r w:rsidR="00553A47" w:rsidRPr="00781112">
        <w:rPr>
          <w:rFonts w:cs="Arial"/>
          <w:color w:val="000000" w:themeColor="text1"/>
          <w:szCs w:val="16"/>
        </w:rPr>
        <w:t>.</w:t>
      </w:r>
    </w:p>
    <w:p w14:paraId="2933C3C1" w14:textId="76D8DB4D" w:rsidR="00553A47" w:rsidRPr="00781112" w:rsidRDefault="00553A47" w:rsidP="00553A47">
      <w:pPr>
        <w:pStyle w:val="Heading2"/>
      </w:pPr>
      <w:r w:rsidRPr="00781112">
        <w:t>3A - Indicator Data</w:t>
      </w:r>
    </w:p>
    <w:p w14:paraId="1E2CE8D4" w14:textId="48F23E39" w:rsidR="00361CFA" w:rsidRPr="00781112" w:rsidRDefault="00CB348D" w:rsidP="00360DD6">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HISTDATA"/>
      </w:tblPr>
      <w:tblGrid>
        <w:gridCol w:w="1588"/>
        <w:gridCol w:w="1588"/>
        <w:gridCol w:w="2538"/>
        <w:gridCol w:w="2538"/>
        <w:gridCol w:w="2538"/>
      </w:tblGrid>
      <w:tr w:rsidR="0050331E" w:rsidRPr="00781112" w14:paraId="640BEE62" w14:textId="0ABABB4E" w:rsidTr="009725F4">
        <w:trPr>
          <w:trHeight w:val="368"/>
          <w:tblHeader/>
        </w:trPr>
        <w:tc>
          <w:tcPr>
            <w:tcW w:w="736" w:type="pct"/>
            <w:tcBorders>
              <w:top w:val="single" w:sz="4" w:space="0" w:color="auto"/>
            </w:tcBorders>
            <w:vAlign w:val="center"/>
          </w:tcPr>
          <w:p w14:paraId="41D9612B" w14:textId="31CE748B" w:rsidR="00E5212B" w:rsidRPr="00781112" w:rsidRDefault="00E5212B"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7F27E97C" w14:textId="557342E0"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39353288"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48E0683E" w14:textId="7AFDFE4C"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8B04ED7" w14:textId="46EC1601" w:rsidR="00E5212B" w:rsidRPr="00781112" w:rsidRDefault="00E5212B" w:rsidP="00827FF4">
            <w:pPr>
              <w:jc w:val="center"/>
              <w:rPr>
                <w:rFonts w:cs="Arial"/>
                <w:b/>
                <w:color w:val="000000" w:themeColor="text1"/>
                <w:szCs w:val="16"/>
              </w:rPr>
            </w:pPr>
            <w:r w:rsidRPr="00781112">
              <w:rPr>
                <w:rFonts w:cs="Arial"/>
                <w:b/>
                <w:color w:val="000000" w:themeColor="text1"/>
                <w:szCs w:val="16"/>
              </w:rPr>
              <w:t>Baseline Data</w:t>
            </w:r>
          </w:p>
        </w:tc>
      </w:tr>
      <w:tr w:rsidR="0050331E" w:rsidRPr="00781112" w14:paraId="24FC0173" w14:textId="04F4BEEC" w:rsidTr="00360DD6">
        <w:trPr>
          <w:trHeight w:val="368"/>
        </w:trPr>
        <w:tc>
          <w:tcPr>
            <w:tcW w:w="736" w:type="pct"/>
            <w:vAlign w:val="center"/>
          </w:tcPr>
          <w:p w14:paraId="5EFBA3AC" w14:textId="71314A80" w:rsidR="0044716A" w:rsidRPr="00781112" w:rsidRDefault="0044716A" w:rsidP="0044716A">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38C519F7" w14:textId="44BB42BA" w:rsidR="0044716A" w:rsidRPr="00781112" w:rsidRDefault="0044716A" w:rsidP="0044716A">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C81F5F0" w14:textId="67FBA765" w:rsidR="0044716A" w:rsidRPr="00781112" w:rsidRDefault="0044716A" w:rsidP="0044716A">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3F4068A9" w14:textId="08EF8DB7" w:rsidR="0044716A" w:rsidRPr="00781112" w:rsidRDefault="0044716A"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C4D03F4" w14:textId="691C6AA3" w:rsidR="0044716A" w:rsidRPr="00781112" w:rsidRDefault="0044716A" w:rsidP="0044716A">
            <w:pPr>
              <w:spacing w:before="0" w:after="0"/>
              <w:jc w:val="center"/>
              <w:rPr>
                <w:color w:val="000000" w:themeColor="text1"/>
              </w:rPr>
            </w:pPr>
            <w:r w:rsidRPr="00781112">
              <w:rPr>
                <w:rFonts w:cs="Arial"/>
                <w:color w:val="000000" w:themeColor="text1"/>
                <w:szCs w:val="16"/>
              </w:rPr>
              <w:t>99.84%</w:t>
            </w:r>
          </w:p>
        </w:tc>
      </w:tr>
      <w:tr w:rsidR="0050331E" w:rsidRPr="00781112" w14:paraId="4F9BC9D4" w14:textId="17B65B8C" w:rsidTr="00360DD6">
        <w:trPr>
          <w:trHeight w:val="368"/>
        </w:trPr>
        <w:tc>
          <w:tcPr>
            <w:tcW w:w="736" w:type="pct"/>
            <w:vAlign w:val="center"/>
          </w:tcPr>
          <w:p w14:paraId="7AB33ACC" w14:textId="0B04094A"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72D05B63" w14:textId="45D6CED5"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E4ED129" w14:textId="1B77E470"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0BAF6D2" w14:textId="6183503D"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9E2C5F4" w14:textId="05AA23CF"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98.73%</w:t>
            </w:r>
          </w:p>
        </w:tc>
      </w:tr>
      <w:tr w:rsidR="0050331E" w:rsidRPr="00781112" w14:paraId="0B899335" w14:textId="7CB02598" w:rsidTr="00360DD6">
        <w:trPr>
          <w:trHeight w:val="368"/>
        </w:trPr>
        <w:tc>
          <w:tcPr>
            <w:tcW w:w="736" w:type="pct"/>
            <w:vAlign w:val="center"/>
          </w:tcPr>
          <w:p w14:paraId="6148FD1E" w14:textId="34E507DE"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69AA774" w14:textId="3B2C9DD9"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616D407" w14:textId="20B9E90F" w:rsidR="005246CC" w:rsidRPr="00781112" w:rsidRDefault="005246CC" w:rsidP="005246CC">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705909C" w14:textId="172EAC9C"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C9F3B59" w14:textId="74A08D13"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100.00%</w:t>
            </w:r>
          </w:p>
        </w:tc>
      </w:tr>
      <w:tr w:rsidR="00312480" w:rsidRPr="00781112" w14:paraId="3D1AAF73" w14:textId="678EC166" w:rsidTr="00360DD6">
        <w:trPr>
          <w:trHeight w:val="368"/>
        </w:trPr>
        <w:tc>
          <w:tcPr>
            <w:tcW w:w="736" w:type="pct"/>
            <w:vAlign w:val="center"/>
          </w:tcPr>
          <w:p w14:paraId="49AF9334" w14:textId="516B9B07"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7E10643" w14:textId="3D4CDCC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EBA000C" w14:textId="1E09C3E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0A09FAE" w14:textId="4A9CE939"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A9E42AA" w14:textId="63810B5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99.70%</w:t>
            </w:r>
          </w:p>
        </w:tc>
      </w:tr>
      <w:tr w:rsidR="00312480" w:rsidRPr="00781112" w14:paraId="4B0C895C" w14:textId="6CF5FA93" w:rsidTr="00360DD6">
        <w:trPr>
          <w:trHeight w:val="368"/>
        </w:trPr>
        <w:tc>
          <w:tcPr>
            <w:tcW w:w="736" w:type="pct"/>
            <w:vAlign w:val="center"/>
          </w:tcPr>
          <w:p w14:paraId="6ED5896C" w14:textId="28272B0B"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43C9B56E" w14:textId="3D5B99D0"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C4210F5" w14:textId="3BFF9BEC" w:rsidR="00312480" w:rsidRPr="00781112" w:rsidRDefault="00312480" w:rsidP="00312480">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D91523A" w14:textId="169DAD5C"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39ABC62" w14:textId="1E7FF874"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98.97%</w:t>
            </w:r>
          </w:p>
        </w:tc>
      </w:tr>
      <w:tr w:rsidR="00312480" w:rsidRPr="00781112" w14:paraId="43BF7697" w14:textId="58F9CE70" w:rsidTr="00360DD6">
        <w:trPr>
          <w:trHeight w:val="368"/>
        </w:trPr>
        <w:tc>
          <w:tcPr>
            <w:tcW w:w="736" w:type="pct"/>
            <w:vAlign w:val="center"/>
          </w:tcPr>
          <w:p w14:paraId="10E5C656" w14:textId="01AB1420"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AFE65DD" w14:textId="5679921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C96A826" w14:textId="656222C9"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6848966B" w14:textId="49F3A33A"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271898A" w14:textId="300CF13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100.00%</w:t>
            </w:r>
          </w:p>
        </w:tc>
      </w:tr>
    </w:tbl>
    <w:p w14:paraId="1049ED79" w14:textId="19F4A63B" w:rsidR="00E023E6" w:rsidRPr="00781112" w:rsidRDefault="00E023E6" w:rsidP="00FE4611">
      <w:pPr>
        <w:spacing w:before="0" w:after="0" w:line="276" w:lineRule="auto"/>
        <w:rPr>
          <w:b/>
          <w:color w:val="000000" w:themeColor="text1"/>
        </w:rPr>
      </w:pPr>
    </w:p>
    <w:p w14:paraId="7F4B46FE" w14:textId="3489D438" w:rsidR="0034094E" w:rsidRPr="00781112" w:rsidRDefault="0034094E" w:rsidP="0034094E">
      <w:pPr>
        <w:rPr>
          <w:b/>
          <w:color w:val="000000" w:themeColor="text1"/>
        </w:rPr>
      </w:pPr>
      <w:r w:rsidRPr="00781112">
        <w:rPr>
          <w:b/>
          <w:color w:val="000000" w:themeColor="text1"/>
        </w:rPr>
        <w:t>Targets</w:t>
      </w:r>
    </w:p>
    <w:tbl>
      <w:tblPr>
        <w:tblW w:w="3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TARGETS"/>
      </w:tblPr>
      <w:tblGrid>
        <w:gridCol w:w="897"/>
        <w:gridCol w:w="721"/>
        <w:gridCol w:w="1171"/>
        <w:gridCol w:w="1334"/>
        <w:gridCol w:w="1334"/>
        <w:gridCol w:w="1334"/>
      </w:tblGrid>
      <w:tr w:rsidR="0094481B" w:rsidRPr="00781112" w14:paraId="61B13027" w14:textId="7E8C0770" w:rsidTr="00FE4611">
        <w:tc>
          <w:tcPr>
            <w:tcW w:w="660" w:type="pct"/>
            <w:tcBorders>
              <w:bottom w:val="single" w:sz="4" w:space="0" w:color="auto"/>
            </w:tcBorders>
            <w:shd w:val="clear" w:color="auto" w:fill="auto"/>
            <w:vAlign w:val="center"/>
          </w:tcPr>
          <w:p w14:paraId="41C1EDA8" w14:textId="77777777" w:rsidR="0094481B" w:rsidRPr="00781112" w:rsidRDefault="0094481B" w:rsidP="00FD5357">
            <w:pPr>
              <w:jc w:val="center"/>
              <w:rPr>
                <w:b/>
                <w:color w:val="000000" w:themeColor="text1"/>
              </w:rPr>
            </w:pPr>
            <w:r w:rsidRPr="00781112">
              <w:rPr>
                <w:b/>
                <w:color w:val="000000" w:themeColor="text1"/>
              </w:rPr>
              <w:t>Subject</w:t>
            </w:r>
          </w:p>
        </w:tc>
        <w:tc>
          <w:tcPr>
            <w:tcW w:w="531" w:type="pct"/>
            <w:tcBorders>
              <w:bottom w:val="single" w:sz="4" w:space="0" w:color="auto"/>
            </w:tcBorders>
            <w:shd w:val="clear" w:color="auto" w:fill="auto"/>
            <w:vAlign w:val="center"/>
          </w:tcPr>
          <w:p w14:paraId="47C72AA9" w14:textId="77777777" w:rsidR="0094481B" w:rsidRPr="00781112" w:rsidRDefault="0094481B" w:rsidP="00FD5357">
            <w:pPr>
              <w:jc w:val="center"/>
              <w:rPr>
                <w:b/>
                <w:color w:val="000000" w:themeColor="text1"/>
              </w:rPr>
            </w:pPr>
            <w:r w:rsidRPr="00781112">
              <w:rPr>
                <w:b/>
                <w:color w:val="000000" w:themeColor="text1"/>
              </w:rPr>
              <w:t>Group</w:t>
            </w:r>
          </w:p>
        </w:tc>
        <w:tc>
          <w:tcPr>
            <w:tcW w:w="862" w:type="pct"/>
            <w:shd w:val="clear" w:color="auto" w:fill="auto"/>
            <w:vAlign w:val="center"/>
          </w:tcPr>
          <w:p w14:paraId="3EBC6D10" w14:textId="77777777" w:rsidR="0094481B" w:rsidRPr="00781112" w:rsidDel="008E7B87" w:rsidRDefault="0094481B" w:rsidP="00FD5357">
            <w:pPr>
              <w:jc w:val="center"/>
              <w:rPr>
                <w:b/>
                <w:color w:val="000000" w:themeColor="text1"/>
              </w:rPr>
            </w:pPr>
            <w:r w:rsidRPr="00781112">
              <w:rPr>
                <w:b/>
                <w:color w:val="000000" w:themeColor="text1"/>
              </w:rPr>
              <w:t>Group Name</w:t>
            </w:r>
          </w:p>
        </w:tc>
        <w:tc>
          <w:tcPr>
            <w:tcW w:w="982" w:type="pct"/>
            <w:shd w:val="clear" w:color="auto" w:fill="auto"/>
            <w:vAlign w:val="center"/>
          </w:tcPr>
          <w:p w14:paraId="5DB0C638" w14:textId="77777777" w:rsidR="0094481B" w:rsidRPr="00781112" w:rsidRDefault="0094481B" w:rsidP="00FD5357">
            <w:pPr>
              <w:jc w:val="center"/>
              <w:rPr>
                <w:b/>
                <w:color w:val="000000" w:themeColor="text1"/>
              </w:rPr>
            </w:pPr>
            <w:r w:rsidRPr="00781112">
              <w:rPr>
                <w:b/>
                <w:color w:val="000000" w:themeColor="text1"/>
              </w:rPr>
              <w:t>2023</w:t>
            </w:r>
          </w:p>
        </w:tc>
        <w:tc>
          <w:tcPr>
            <w:tcW w:w="982" w:type="pct"/>
            <w:vAlign w:val="center"/>
          </w:tcPr>
          <w:p w14:paraId="2BCE0486" w14:textId="3C221AF8" w:rsidR="0094481B" w:rsidRPr="00781112" w:rsidRDefault="0094481B" w:rsidP="00FD5357">
            <w:pPr>
              <w:jc w:val="center"/>
              <w:rPr>
                <w:b/>
                <w:color w:val="000000" w:themeColor="text1"/>
              </w:rPr>
            </w:pPr>
            <w:r w:rsidRPr="00781112">
              <w:rPr>
                <w:rFonts w:cs="Arial"/>
                <w:b/>
                <w:color w:val="000000" w:themeColor="text1"/>
                <w:szCs w:val="16"/>
              </w:rPr>
              <w:t>2024</w:t>
            </w:r>
          </w:p>
        </w:tc>
        <w:tc>
          <w:tcPr>
            <w:tcW w:w="982" w:type="pct"/>
            <w:vAlign w:val="center"/>
          </w:tcPr>
          <w:p w14:paraId="1990502A" w14:textId="03716A79" w:rsidR="0094481B" w:rsidRPr="00781112" w:rsidRDefault="0094481B" w:rsidP="00FD5357">
            <w:pPr>
              <w:jc w:val="center"/>
              <w:rPr>
                <w:b/>
                <w:color w:val="000000" w:themeColor="text1"/>
              </w:rPr>
            </w:pPr>
            <w:r w:rsidRPr="00781112">
              <w:rPr>
                <w:rFonts w:cs="Arial"/>
                <w:b/>
                <w:color w:val="000000" w:themeColor="text1"/>
                <w:szCs w:val="16"/>
              </w:rPr>
              <w:t>2025</w:t>
            </w:r>
          </w:p>
        </w:tc>
      </w:tr>
      <w:tr w:rsidR="0094481B" w:rsidRPr="00781112" w14:paraId="5EF23A8E" w14:textId="333536B2" w:rsidTr="00FE4611">
        <w:tc>
          <w:tcPr>
            <w:tcW w:w="660" w:type="pct"/>
            <w:shd w:val="clear" w:color="auto" w:fill="auto"/>
            <w:vAlign w:val="center"/>
          </w:tcPr>
          <w:p w14:paraId="659131E4"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0E33DCFC"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A &gt;=</w:t>
            </w:r>
          </w:p>
        </w:tc>
        <w:tc>
          <w:tcPr>
            <w:tcW w:w="862" w:type="pct"/>
            <w:shd w:val="clear" w:color="auto" w:fill="auto"/>
            <w:vAlign w:val="center"/>
          </w:tcPr>
          <w:p w14:paraId="76B16B43" w14:textId="39FB8899"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4</w:t>
            </w:r>
          </w:p>
        </w:tc>
        <w:tc>
          <w:tcPr>
            <w:tcW w:w="982" w:type="pct"/>
            <w:shd w:val="clear" w:color="auto" w:fill="auto"/>
            <w:vAlign w:val="center"/>
          </w:tcPr>
          <w:p w14:paraId="0F6CE0A1" w14:textId="29A64BBD"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4A0A22E0" w14:textId="5285E879" w:rsidR="0094481B" w:rsidRPr="00FE4611" w:rsidRDefault="0094481B" w:rsidP="006369C2">
            <w:pPr>
              <w:jc w:val="center"/>
            </w:pPr>
            <w:r w:rsidRPr="00781112">
              <w:rPr>
                <w:rFonts w:cs="Arial"/>
                <w:color w:val="000000" w:themeColor="text1"/>
                <w:szCs w:val="16"/>
              </w:rPr>
              <w:t>95.00%</w:t>
            </w:r>
          </w:p>
        </w:tc>
        <w:tc>
          <w:tcPr>
            <w:tcW w:w="982" w:type="pct"/>
            <w:vAlign w:val="center"/>
          </w:tcPr>
          <w:p w14:paraId="01E8CE0F" w14:textId="037B9FF4"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r w:rsidR="0094481B" w:rsidRPr="00781112" w14:paraId="0DC87485" w14:textId="7CEA602E" w:rsidTr="00FE4611">
        <w:tc>
          <w:tcPr>
            <w:tcW w:w="660" w:type="pct"/>
            <w:shd w:val="clear" w:color="auto" w:fill="auto"/>
            <w:vAlign w:val="center"/>
          </w:tcPr>
          <w:p w14:paraId="0DBD5106"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32DA1B30"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B &gt;=</w:t>
            </w:r>
          </w:p>
        </w:tc>
        <w:tc>
          <w:tcPr>
            <w:tcW w:w="862" w:type="pct"/>
            <w:shd w:val="clear" w:color="auto" w:fill="auto"/>
            <w:vAlign w:val="center"/>
          </w:tcPr>
          <w:p w14:paraId="7451C944" w14:textId="48D1DB42"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8</w:t>
            </w:r>
          </w:p>
        </w:tc>
        <w:tc>
          <w:tcPr>
            <w:tcW w:w="982" w:type="pct"/>
            <w:shd w:val="clear" w:color="auto" w:fill="auto"/>
            <w:vAlign w:val="center"/>
          </w:tcPr>
          <w:p w14:paraId="00A324D3" w14:textId="7CE00F34"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52AC2F70" w14:textId="3AB4351A"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32A4C051" w14:textId="2E65FFFC"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r w:rsidR="0094481B" w:rsidRPr="00781112" w14:paraId="546837A9" w14:textId="0EC3B58A" w:rsidTr="00FE4611">
        <w:tc>
          <w:tcPr>
            <w:tcW w:w="660" w:type="pct"/>
            <w:shd w:val="clear" w:color="auto" w:fill="auto"/>
            <w:vAlign w:val="center"/>
          </w:tcPr>
          <w:p w14:paraId="5E2AB8D4"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2801904B"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C &gt;=</w:t>
            </w:r>
          </w:p>
        </w:tc>
        <w:tc>
          <w:tcPr>
            <w:tcW w:w="862" w:type="pct"/>
            <w:shd w:val="clear" w:color="auto" w:fill="auto"/>
            <w:vAlign w:val="center"/>
          </w:tcPr>
          <w:p w14:paraId="5F09655C" w14:textId="799E5EE7"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HS</w:t>
            </w:r>
          </w:p>
        </w:tc>
        <w:tc>
          <w:tcPr>
            <w:tcW w:w="982" w:type="pct"/>
            <w:shd w:val="clear" w:color="auto" w:fill="auto"/>
            <w:vAlign w:val="center"/>
          </w:tcPr>
          <w:p w14:paraId="06826BA4" w14:textId="5829FE90"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14B1D7EC" w14:textId="5E17D245"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05B53368" w14:textId="52EA99DA"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r w:rsidR="0094481B" w:rsidRPr="00781112" w14:paraId="42FB4D55" w14:textId="70E04CC1" w:rsidTr="00FE4611">
        <w:tc>
          <w:tcPr>
            <w:tcW w:w="660" w:type="pct"/>
            <w:shd w:val="clear" w:color="auto" w:fill="auto"/>
            <w:vAlign w:val="center"/>
          </w:tcPr>
          <w:p w14:paraId="5003C653"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3BDC476D"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A &gt;=</w:t>
            </w:r>
          </w:p>
        </w:tc>
        <w:tc>
          <w:tcPr>
            <w:tcW w:w="862" w:type="pct"/>
            <w:shd w:val="clear" w:color="auto" w:fill="auto"/>
            <w:vAlign w:val="center"/>
          </w:tcPr>
          <w:p w14:paraId="0CAD024F" w14:textId="139788C5"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4</w:t>
            </w:r>
          </w:p>
        </w:tc>
        <w:tc>
          <w:tcPr>
            <w:tcW w:w="982" w:type="pct"/>
            <w:shd w:val="clear" w:color="auto" w:fill="auto"/>
            <w:vAlign w:val="center"/>
          </w:tcPr>
          <w:p w14:paraId="643E3EC7" w14:textId="5E734881"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5C17E435" w14:textId="07B15AE7"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1B9AA205" w14:textId="39F901D2"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r w:rsidR="0094481B" w:rsidRPr="00781112" w14:paraId="36D735AC" w14:textId="5C55C170" w:rsidTr="00FE4611">
        <w:tc>
          <w:tcPr>
            <w:tcW w:w="660" w:type="pct"/>
            <w:shd w:val="clear" w:color="auto" w:fill="auto"/>
            <w:vAlign w:val="center"/>
          </w:tcPr>
          <w:p w14:paraId="3DD28514"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504829E1"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B &gt;=</w:t>
            </w:r>
          </w:p>
        </w:tc>
        <w:tc>
          <w:tcPr>
            <w:tcW w:w="862" w:type="pct"/>
            <w:shd w:val="clear" w:color="auto" w:fill="auto"/>
            <w:vAlign w:val="center"/>
          </w:tcPr>
          <w:p w14:paraId="7B7B7FDD" w14:textId="4EABA9DD"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8</w:t>
            </w:r>
          </w:p>
        </w:tc>
        <w:tc>
          <w:tcPr>
            <w:tcW w:w="982" w:type="pct"/>
            <w:shd w:val="clear" w:color="auto" w:fill="auto"/>
            <w:vAlign w:val="center"/>
          </w:tcPr>
          <w:p w14:paraId="4BE54D67" w14:textId="13C82F03"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1113A8B0" w14:textId="01C04123"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3A3B0FBA" w14:textId="478F9449"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r w:rsidR="0094481B" w:rsidRPr="00781112" w14:paraId="6D5345B6" w14:textId="77468A6F" w:rsidTr="00FE4611">
        <w:tc>
          <w:tcPr>
            <w:tcW w:w="660" w:type="pct"/>
            <w:shd w:val="clear" w:color="auto" w:fill="auto"/>
            <w:vAlign w:val="center"/>
          </w:tcPr>
          <w:p w14:paraId="7932C55F"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2BCACF10"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C &gt;=</w:t>
            </w:r>
          </w:p>
        </w:tc>
        <w:tc>
          <w:tcPr>
            <w:tcW w:w="862" w:type="pct"/>
            <w:shd w:val="clear" w:color="auto" w:fill="auto"/>
            <w:vAlign w:val="center"/>
          </w:tcPr>
          <w:p w14:paraId="1E7674E7" w14:textId="620A24D0"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HS</w:t>
            </w:r>
          </w:p>
        </w:tc>
        <w:tc>
          <w:tcPr>
            <w:tcW w:w="982" w:type="pct"/>
            <w:shd w:val="clear" w:color="auto" w:fill="auto"/>
            <w:vAlign w:val="center"/>
          </w:tcPr>
          <w:p w14:paraId="416F7E76" w14:textId="5B460752"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7ADA18AC" w14:textId="2893C149"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1BF168BC" w14:textId="476AE7F5"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bl>
    <w:p w14:paraId="504D6A43" w14:textId="77777777" w:rsidR="00480083" w:rsidRPr="00781112" w:rsidRDefault="00480083" w:rsidP="00480083">
      <w:pPr>
        <w:rPr>
          <w:b/>
          <w:color w:val="000000" w:themeColor="text1"/>
        </w:rPr>
      </w:pPr>
    </w:p>
    <w:p w14:paraId="3F503660" w14:textId="72C6CE84" w:rsidR="00480083" w:rsidRPr="00781112" w:rsidRDefault="00480083" w:rsidP="00480083">
      <w:pPr>
        <w:rPr>
          <w:b/>
          <w:color w:val="000000" w:themeColor="text1"/>
        </w:rPr>
      </w:pPr>
      <w:r w:rsidRPr="00781112">
        <w:rPr>
          <w:b/>
          <w:color w:val="000000" w:themeColor="text1"/>
        </w:rPr>
        <w:t xml:space="preserve">Targets: Description of Stakeholder Input </w:t>
      </w:r>
    </w:p>
    <w:p w14:paraId="2DB4239B" w14:textId="2F83DC57" w:rsidR="00480083" w:rsidRPr="00781112" w:rsidRDefault="00480083" w:rsidP="00480083">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The baseline was originally set for FFY 2018 but the need for grade-level participation disaggregation moved the baseline to 2020. The stakeholders were presented with the participation expectations for both SPP/APR reporting and ESEA reporting and the rationale for the state to maintain a steady target of 95% participation. Stakeholders were informed of the state participation that has traditionally met or exceeded the participation rate of 95%, but no grade-level breakdowns were presented. Stakeholders broadly accepted the proposed target per grade level staying at 95%.</w:t>
      </w:r>
      <w:r w:rsidRPr="00781112">
        <w:rPr>
          <w:rFonts w:cs="Arial"/>
          <w:color w:val="000000" w:themeColor="text1"/>
          <w:szCs w:val="16"/>
        </w:rPr>
        <w:br/>
      </w:r>
      <w:r w:rsidRPr="00781112">
        <w:rPr>
          <w:rFonts w:cs="Arial"/>
          <w:color w:val="000000" w:themeColor="text1"/>
          <w:szCs w:val="16"/>
        </w:rPr>
        <w:br/>
        <w:t>FFY 2023</w:t>
      </w:r>
      <w:r w:rsidRPr="00781112">
        <w:rPr>
          <w:rFonts w:cs="Arial"/>
          <w:color w:val="000000" w:themeColor="text1"/>
          <w:szCs w:val="16"/>
        </w:rPr>
        <w:br/>
        <w:t>Stakeholders did not express interest in revising the Assessment Participation targets during any meetings throughout the reporting period; however, WVDE/OSE is receptive to any potential concerns or recommendations that stakeholders may have regarding these targets.</w:t>
      </w:r>
    </w:p>
    <w:p w14:paraId="51F0752D" w14:textId="77777777" w:rsidR="00650510" w:rsidRDefault="00650510" w:rsidP="004F4016">
      <w:pPr>
        <w:rPr>
          <w:b/>
          <w:color w:val="000000" w:themeColor="text1"/>
        </w:rPr>
      </w:pPr>
    </w:p>
    <w:p w14:paraId="185A3541" w14:textId="41ABD49F" w:rsidR="004F4016" w:rsidRPr="00781112" w:rsidRDefault="00FA33C9" w:rsidP="004F4016">
      <w:pPr>
        <w:rPr>
          <w:b/>
          <w:color w:val="000000" w:themeColor="text1"/>
        </w:rPr>
      </w:pPr>
      <w:r>
        <w:rPr>
          <w:b/>
          <w:color w:val="000000" w:themeColor="text1"/>
        </w:rPr>
        <w:t>FFY 2023 Data Disaggregation from ED</w:t>
      </w:r>
      <w:r w:rsidRPr="00BA3DBE">
        <w:rPr>
          <w:b/>
          <w:i/>
          <w:iCs/>
          <w:color w:val="000000" w:themeColor="text1"/>
        </w:rPr>
        <w:t>Facts</w:t>
      </w:r>
    </w:p>
    <w:p w14:paraId="0D0950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395788DA" w14:textId="4855F4A0" w:rsidR="004F4016" w:rsidRPr="00781112" w:rsidRDefault="004F4016" w:rsidP="004F4016">
      <w:pPr>
        <w:rPr>
          <w:rFonts w:cs="Arial"/>
          <w:color w:val="000000" w:themeColor="text1"/>
          <w:szCs w:val="16"/>
        </w:rPr>
      </w:pPr>
      <w:r w:rsidRPr="00781112">
        <w:rPr>
          <w:rFonts w:cs="Arial"/>
          <w:color w:val="000000" w:themeColor="text1"/>
          <w:szCs w:val="16"/>
        </w:rPr>
        <w:t>SY 2023-24 Assessment Data Groups - Reading  (EDFacts file spec FS188; Data Group: 589)</w:t>
      </w:r>
    </w:p>
    <w:p w14:paraId="6E29ED7B"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5988832A" w14:textId="77777777" w:rsidR="004F4016" w:rsidRPr="00781112" w:rsidRDefault="004F4016" w:rsidP="004F4016">
      <w:pPr>
        <w:rPr>
          <w:rFonts w:cs="Arial"/>
          <w:color w:val="000000" w:themeColor="text1"/>
          <w:szCs w:val="16"/>
        </w:rPr>
      </w:pPr>
      <w:r w:rsidRPr="00781112">
        <w:rPr>
          <w:rFonts w:cs="Arial"/>
          <w:color w:val="000000" w:themeColor="text1"/>
          <w:szCs w:val="16"/>
        </w:rPr>
        <w:t>01/08/2025</w:t>
      </w:r>
    </w:p>
    <w:p w14:paraId="651CC948" w14:textId="7845CFDF" w:rsidR="004F4016" w:rsidRPr="00781112" w:rsidRDefault="004F4016" w:rsidP="004F4016">
      <w:pPr>
        <w:rPr>
          <w:b/>
          <w:color w:val="000000" w:themeColor="text1"/>
        </w:rPr>
      </w:pPr>
      <w:r w:rsidRPr="00781112">
        <w:rPr>
          <w:b/>
          <w:color w:val="000000" w:themeColor="text1"/>
        </w:rPr>
        <w:t>Reading Assessment Participation Data by Grade (1)</w:t>
      </w:r>
    </w:p>
    <w:tbl>
      <w:tblPr>
        <w:tblStyle w:val="TableGrid"/>
        <w:tblW w:w="5000" w:type="pct"/>
        <w:tblLayout w:type="fixed"/>
        <w:tblLook w:val="04A0" w:firstRow="1" w:lastRow="0" w:firstColumn="1" w:lastColumn="0" w:noHBand="0" w:noVBand="1"/>
        <w:tblCaption w:val="B03ASSPARTDATABYGRDRLA"/>
      </w:tblPr>
      <w:tblGrid>
        <w:gridCol w:w="3326"/>
        <w:gridCol w:w="2488"/>
        <w:gridCol w:w="2488"/>
        <w:gridCol w:w="2488"/>
      </w:tblGrid>
      <w:tr w:rsidR="00DD7CEF" w:rsidRPr="00781112" w14:paraId="403AD72A" w14:textId="77777777" w:rsidTr="009E026B">
        <w:tc>
          <w:tcPr>
            <w:tcW w:w="1541" w:type="pct"/>
            <w:shd w:val="clear" w:color="auto" w:fill="auto"/>
            <w:vAlign w:val="center"/>
          </w:tcPr>
          <w:p w14:paraId="1C62C5FF" w14:textId="603ACFA1" w:rsidR="00DD7CEF" w:rsidRPr="00781112" w:rsidRDefault="00DD7CEF" w:rsidP="00827FF4">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3BC293C7" w14:textId="23FBE050" w:rsidR="00DD7CEF" w:rsidRPr="00781112" w:rsidRDefault="0014778D">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2B9E34ED" w14:textId="748CD695" w:rsidR="00DD7CEF" w:rsidRPr="00781112" w:rsidRDefault="009A58F2">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1C889EA5" w14:textId="5C3575D5" w:rsidR="00DD7CEF" w:rsidRPr="00781112" w:rsidRDefault="00641893">
            <w:pPr>
              <w:jc w:val="center"/>
              <w:rPr>
                <w:rFonts w:cs="Arial"/>
                <w:b/>
                <w:bCs/>
                <w:color w:val="000000" w:themeColor="text1"/>
                <w:szCs w:val="16"/>
              </w:rPr>
            </w:pPr>
            <w:r w:rsidRPr="00781112">
              <w:rPr>
                <w:rFonts w:cs="Arial"/>
                <w:b/>
                <w:bCs/>
                <w:color w:val="000000" w:themeColor="text1"/>
                <w:szCs w:val="16"/>
              </w:rPr>
              <w:t>Grade HS</w:t>
            </w:r>
          </w:p>
        </w:tc>
      </w:tr>
      <w:tr w:rsidR="00DD7CEF" w:rsidRPr="00781112" w14:paraId="384D4241" w14:textId="77777777" w:rsidTr="009E026B">
        <w:tc>
          <w:tcPr>
            <w:tcW w:w="1541" w:type="pct"/>
            <w:shd w:val="clear" w:color="auto" w:fill="auto"/>
            <w:vAlign w:val="center"/>
          </w:tcPr>
          <w:p w14:paraId="2C5D3B14" w14:textId="4D5910D7" w:rsidR="00DD7CEF" w:rsidRPr="00781112" w:rsidRDefault="00DD7CEF" w:rsidP="00827FF4">
            <w:pPr>
              <w:rPr>
                <w:rFonts w:cs="Arial"/>
                <w:color w:val="000000" w:themeColor="text1"/>
                <w:szCs w:val="16"/>
              </w:rPr>
            </w:pPr>
            <w:r w:rsidRPr="00781112">
              <w:rPr>
                <w:rFonts w:cs="Arial"/>
                <w:color w:val="000000" w:themeColor="text1"/>
                <w:szCs w:val="16"/>
              </w:rPr>
              <w:t>a. Children with IEPs (2)</w:t>
            </w:r>
          </w:p>
        </w:tc>
        <w:tc>
          <w:tcPr>
            <w:tcW w:w="1153" w:type="pct"/>
            <w:shd w:val="clear" w:color="auto" w:fill="auto"/>
            <w:vAlign w:val="center"/>
          </w:tcPr>
          <w:p w14:paraId="76979ED3" w14:textId="29C55693" w:rsidR="00DD7CEF" w:rsidRPr="00781112" w:rsidRDefault="00DD7CEF" w:rsidP="00360DD6">
            <w:pPr>
              <w:jc w:val="center"/>
              <w:rPr>
                <w:rFonts w:cs="Arial"/>
                <w:color w:val="000000" w:themeColor="text1"/>
                <w:szCs w:val="16"/>
              </w:rPr>
            </w:pPr>
            <w:r w:rsidRPr="00781112">
              <w:rPr>
                <w:rFonts w:cs="Arial"/>
                <w:color w:val="000000" w:themeColor="text1"/>
                <w:szCs w:val="16"/>
              </w:rPr>
              <w:t>4,224</w:t>
            </w:r>
          </w:p>
        </w:tc>
        <w:tc>
          <w:tcPr>
            <w:tcW w:w="1153" w:type="pct"/>
            <w:shd w:val="clear" w:color="auto" w:fill="auto"/>
            <w:vAlign w:val="center"/>
          </w:tcPr>
          <w:p w14:paraId="35D7BA3B" w14:textId="1A0E2FBE" w:rsidR="00DD7CEF" w:rsidRPr="00781112" w:rsidRDefault="00DD7CEF" w:rsidP="00360DD6">
            <w:pPr>
              <w:jc w:val="center"/>
              <w:rPr>
                <w:rFonts w:cs="Arial"/>
                <w:color w:val="000000" w:themeColor="text1"/>
                <w:szCs w:val="16"/>
              </w:rPr>
            </w:pPr>
            <w:r w:rsidRPr="00781112">
              <w:rPr>
                <w:rFonts w:cs="Arial"/>
                <w:color w:val="000000" w:themeColor="text1"/>
                <w:szCs w:val="16"/>
              </w:rPr>
              <w:t>3,439</w:t>
            </w:r>
          </w:p>
        </w:tc>
        <w:tc>
          <w:tcPr>
            <w:tcW w:w="1153" w:type="pct"/>
            <w:shd w:val="clear" w:color="auto" w:fill="auto"/>
            <w:vAlign w:val="center"/>
          </w:tcPr>
          <w:p w14:paraId="052A06A3" w14:textId="4AC6D010" w:rsidR="00DD7CEF" w:rsidRPr="00781112" w:rsidRDefault="00DD7CEF" w:rsidP="00360DD6">
            <w:pPr>
              <w:jc w:val="center"/>
              <w:rPr>
                <w:rFonts w:cs="Arial"/>
                <w:color w:val="000000" w:themeColor="text1"/>
                <w:szCs w:val="16"/>
              </w:rPr>
            </w:pPr>
            <w:r w:rsidRPr="00781112">
              <w:rPr>
                <w:rFonts w:cs="Arial"/>
                <w:color w:val="000000" w:themeColor="text1"/>
                <w:szCs w:val="16"/>
              </w:rPr>
              <w:t>2,631</w:t>
            </w:r>
          </w:p>
        </w:tc>
      </w:tr>
      <w:tr w:rsidR="00DD7CEF" w:rsidRPr="00781112" w14:paraId="7B6E221D" w14:textId="77777777" w:rsidTr="009E026B">
        <w:tc>
          <w:tcPr>
            <w:tcW w:w="1541" w:type="pct"/>
            <w:shd w:val="clear" w:color="auto" w:fill="auto"/>
            <w:vAlign w:val="center"/>
          </w:tcPr>
          <w:p w14:paraId="06F38372" w14:textId="6CFF7C17" w:rsidR="00DD7CEF" w:rsidRPr="00781112" w:rsidRDefault="00DD7CEF" w:rsidP="00827FF4">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shd w:val="clear" w:color="auto" w:fill="auto"/>
            <w:vAlign w:val="center"/>
          </w:tcPr>
          <w:p w14:paraId="59910B66" w14:textId="372C2375" w:rsidR="00DD7CEF" w:rsidRPr="00781112" w:rsidRDefault="00DD7CEF" w:rsidP="00360DD6">
            <w:pPr>
              <w:jc w:val="center"/>
              <w:rPr>
                <w:rFonts w:cs="Arial"/>
                <w:color w:val="000000" w:themeColor="text1"/>
                <w:szCs w:val="16"/>
              </w:rPr>
            </w:pPr>
            <w:r w:rsidRPr="00781112">
              <w:rPr>
                <w:rFonts w:cs="Arial"/>
                <w:color w:val="000000" w:themeColor="text1"/>
                <w:szCs w:val="16"/>
              </w:rPr>
              <w:t>1,093</w:t>
            </w:r>
          </w:p>
        </w:tc>
        <w:tc>
          <w:tcPr>
            <w:tcW w:w="1153" w:type="pct"/>
            <w:shd w:val="clear" w:color="auto" w:fill="auto"/>
            <w:vAlign w:val="center"/>
          </w:tcPr>
          <w:p w14:paraId="58E61FB0" w14:textId="02C429C4" w:rsidR="00DD7CEF" w:rsidRPr="00781112" w:rsidRDefault="00DD7CEF" w:rsidP="00360DD6">
            <w:pPr>
              <w:jc w:val="center"/>
              <w:rPr>
                <w:rFonts w:cs="Arial"/>
                <w:color w:val="000000" w:themeColor="text1"/>
                <w:szCs w:val="16"/>
              </w:rPr>
            </w:pPr>
            <w:r w:rsidRPr="00781112">
              <w:rPr>
                <w:rFonts w:cs="Arial"/>
                <w:color w:val="000000" w:themeColor="text1"/>
                <w:szCs w:val="16"/>
              </w:rPr>
              <w:t>511</w:t>
            </w:r>
          </w:p>
        </w:tc>
        <w:tc>
          <w:tcPr>
            <w:tcW w:w="1153" w:type="pct"/>
            <w:shd w:val="clear" w:color="auto" w:fill="auto"/>
            <w:vAlign w:val="center"/>
          </w:tcPr>
          <w:p w14:paraId="60320EC9" w14:textId="6D87AECE" w:rsidR="00DD7CEF" w:rsidRPr="00781112" w:rsidRDefault="00DD7CEF" w:rsidP="00360DD6">
            <w:pPr>
              <w:jc w:val="center"/>
              <w:rPr>
                <w:rFonts w:cs="Arial"/>
                <w:color w:val="000000" w:themeColor="text1"/>
                <w:szCs w:val="16"/>
              </w:rPr>
            </w:pPr>
            <w:r w:rsidRPr="00781112">
              <w:rPr>
                <w:rFonts w:cs="Arial"/>
                <w:color w:val="000000" w:themeColor="text1"/>
                <w:szCs w:val="16"/>
              </w:rPr>
              <w:t>1,035</w:t>
            </w:r>
          </w:p>
        </w:tc>
      </w:tr>
      <w:tr w:rsidR="00DD7CEF" w:rsidRPr="00781112" w14:paraId="764B5297" w14:textId="77777777" w:rsidTr="009E026B">
        <w:tc>
          <w:tcPr>
            <w:tcW w:w="1541" w:type="pct"/>
            <w:shd w:val="clear" w:color="auto" w:fill="auto"/>
            <w:vAlign w:val="center"/>
          </w:tcPr>
          <w:p w14:paraId="4B1F9E5B" w14:textId="10333647" w:rsidR="00DD7CEF" w:rsidRPr="00781112" w:rsidRDefault="00DD7CEF" w:rsidP="00827FF4">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shd w:val="clear" w:color="auto" w:fill="auto"/>
            <w:vAlign w:val="center"/>
          </w:tcPr>
          <w:p w14:paraId="19E2C9E2" w14:textId="62074AB9" w:rsidR="00DD7CEF" w:rsidRPr="00781112" w:rsidRDefault="00DD7CEF" w:rsidP="00360DD6">
            <w:pPr>
              <w:jc w:val="center"/>
              <w:rPr>
                <w:rFonts w:cs="Arial"/>
                <w:color w:val="000000" w:themeColor="text1"/>
                <w:szCs w:val="16"/>
              </w:rPr>
            </w:pPr>
            <w:r w:rsidRPr="00781112">
              <w:rPr>
                <w:rFonts w:cs="Arial"/>
                <w:color w:val="000000" w:themeColor="text1"/>
                <w:szCs w:val="16"/>
              </w:rPr>
              <w:t>2,892</w:t>
            </w:r>
          </w:p>
        </w:tc>
        <w:tc>
          <w:tcPr>
            <w:tcW w:w="1153" w:type="pct"/>
            <w:shd w:val="clear" w:color="auto" w:fill="auto"/>
            <w:vAlign w:val="center"/>
          </w:tcPr>
          <w:p w14:paraId="3DB02599" w14:textId="2A0B712D" w:rsidR="00DD7CEF" w:rsidRPr="00781112" w:rsidRDefault="00DD7CEF" w:rsidP="00360DD6">
            <w:pPr>
              <w:jc w:val="center"/>
              <w:rPr>
                <w:rFonts w:cs="Arial"/>
                <w:color w:val="000000" w:themeColor="text1"/>
                <w:szCs w:val="16"/>
              </w:rPr>
            </w:pPr>
            <w:r w:rsidRPr="00781112">
              <w:rPr>
                <w:rFonts w:cs="Arial"/>
                <w:color w:val="000000" w:themeColor="text1"/>
                <w:szCs w:val="16"/>
              </w:rPr>
              <w:t>2,694</w:t>
            </w:r>
          </w:p>
        </w:tc>
        <w:tc>
          <w:tcPr>
            <w:tcW w:w="1153" w:type="pct"/>
            <w:shd w:val="clear" w:color="auto" w:fill="auto"/>
            <w:vAlign w:val="center"/>
          </w:tcPr>
          <w:p w14:paraId="4B5AD287" w14:textId="21E448FD" w:rsidR="00DD7CEF" w:rsidRPr="00781112" w:rsidRDefault="00DD7CEF" w:rsidP="00360DD6">
            <w:pPr>
              <w:jc w:val="center"/>
              <w:rPr>
                <w:rFonts w:cs="Arial"/>
                <w:color w:val="000000" w:themeColor="text1"/>
                <w:szCs w:val="16"/>
              </w:rPr>
            </w:pPr>
            <w:r w:rsidRPr="00781112">
              <w:rPr>
                <w:rFonts w:cs="Arial"/>
                <w:color w:val="000000" w:themeColor="text1"/>
                <w:szCs w:val="16"/>
              </w:rPr>
              <w:t>1,292</w:t>
            </w:r>
          </w:p>
        </w:tc>
      </w:tr>
      <w:tr w:rsidR="00DD7CEF" w:rsidRPr="00781112" w14:paraId="2174424F" w14:textId="77777777" w:rsidTr="009E026B">
        <w:tc>
          <w:tcPr>
            <w:tcW w:w="1541" w:type="pct"/>
            <w:shd w:val="clear" w:color="auto" w:fill="auto"/>
            <w:vAlign w:val="center"/>
          </w:tcPr>
          <w:p w14:paraId="42AC6AFC" w14:textId="1F1C0A89" w:rsidR="00DD7CEF" w:rsidRPr="00781112" w:rsidRDefault="00E67387" w:rsidP="00827FF4">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shd w:val="clear" w:color="auto" w:fill="auto"/>
            <w:vAlign w:val="center"/>
          </w:tcPr>
          <w:p w14:paraId="372F0481" w14:textId="200584A1" w:rsidR="00DD7CEF" w:rsidRPr="00781112" w:rsidRDefault="00DD7CEF" w:rsidP="00360DD6">
            <w:pPr>
              <w:jc w:val="center"/>
              <w:rPr>
                <w:rFonts w:cs="Arial"/>
                <w:color w:val="000000" w:themeColor="text1"/>
                <w:szCs w:val="16"/>
              </w:rPr>
            </w:pPr>
            <w:r w:rsidRPr="00781112">
              <w:rPr>
                <w:rFonts w:cs="Arial"/>
                <w:color w:val="000000" w:themeColor="text1"/>
                <w:szCs w:val="16"/>
              </w:rPr>
              <w:t>203</w:t>
            </w:r>
          </w:p>
        </w:tc>
        <w:tc>
          <w:tcPr>
            <w:tcW w:w="1153" w:type="pct"/>
            <w:shd w:val="clear" w:color="auto" w:fill="auto"/>
            <w:vAlign w:val="center"/>
          </w:tcPr>
          <w:p w14:paraId="74C112C5" w14:textId="5B153323" w:rsidR="00DD7CEF" w:rsidRPr="00781112" w:rsidRDefault="00DD7CEF" w:rsidP="00360DD6">
            <w:pPr>
              <w:jc w:val="center"/>
              <w:rPr>
                <w:rFonts w:cs="Arial"/>
                <w:color w:val="000000" w:themeColor="text1"/>
                <w:szCs w:val="16"/>
              </w:rPr>
            </w:pPr>
            <w:r w:rsidRPr="00781112">
              <w:rPr>
                <w:rFonts w:cs="Arial"/>
                <w:color w:val="000000" w:themeColor="text1"/>
                <w:szCs w:val="16"/>
              </w:rPr>
              <w:t>194</w:t>
            </w:r>
          </w:p>
        </w:tc>
        <w:tc>
          <w:tcPr>
            <w:tcW w:w="1153" w:type="pct"/>
            <w:shd w:val="clear" w:color="auto" w:fill="auto"/>
            <w:vAlign w:val="center"/>
          </w:tcPr>
          <w:p w14:paraId="37AA75C1" w14:textId="6F75A72A" w:rsidR="00DD7CEF" w:rsidRPr="00781112" w:rsidRDefault="00DD7CEF" w:rsidP="00360DD6">
            <w:pPr>
              <w:jc w:val="center"/>
              <w:rPr>
                <w:rFonts w:cs="Arial"/>
                <w:color w:val="000000" w:themeColor="text1"/>
                <w:szCs w:val="16"/>
              </w:rPr>
            </w:pPr>
            <w:r w:rsidRPr="00781112">
              <w:rPr>
                <w:rFonts w:cs="Arial"/>
                <w:color w:val="000000" w:themeColor="text1"/>
                <w:szCs w:val="16"/>
              </w:rPr>
              <w:t>174</w:t>
            </w:r>
          </w:p>
        </w:tc>
      </w:tr>
    </w:tbl>
    <w:p w14:paraId="2BFA9082" w14:textId="77777777" w:rsidR="003C0975" w:rsidRPr="00781112" w:rsidRDefault="003C0975" w:rsidP="004F4016">
      <w:pPr>
        <w:rPr>
          <w:b/>
          <w:color w:val="000000" w:themeColor="text1"/>
        </w:rPr>
      </w:pPr>
    </w:p>
    <w:p w14:paraId="7180C1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7381D1CB" w14:textId="5EA62270" w:rsidR="004F4016" w:rsidRPr="00781112" w:rsidRDefault="004F4016" w:rsidP="004F4016">
      <w:pPr>
        <w:rPr>
          <w:rFonts w:cs="Arial"/>
          <w:color w:val="000000" w:themeColor="text1"/>
          <w:szCs w:val="16"/>
        </w:rPr>
      </w:pPr>
      <w:r w:rsidRPr="00781112">
        <w:rPr>
          <w:rFonts w:cs="Arial"/>
          <w:color w:val="000000" w:themeColor="text1"/>
          <w:szCs w:val="16"/>
        </w:rPr>
        <w:t>SY 2023-24 Assessment Data Groups - Math  (EDFacts file spec FS185; Data Group: 588)</w:t>
      </w:r>
    </w:p>
    <w:p w14:paraId="565A3F2C"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44216026" w14:textId="00B372B9" w:rsidR="004F4016" w:rsidRPr="00781112" w:rsidRDefault="004F4016" w:rsidP="004F4016">
      <w:pPr>
        <w:rPr>
          <w:rFonts w:cs="Arial"/>
          <w:color w:val="000000" w:themeColor="text1"/>
          <w:szCs w:val="16"/>
        </w:rPr>
      </w:pPr>
      <w:r w:rsidRPr="00781112">
        <w:rPr>
          <w:rFonts w:cs="Arial"/>
          <w:color w:val="000000" w:themeColor="text1"/>
          <w:szCs w:val="16"/>
        </w:rPr>
        <w:t>01/08/2025</w:t>
      </w:r>
    </w:p>
    <w:p w14:paraId="4F72747C" w14:textId="77777777" w:rsidR="004F4016" w:rsidRPr="00781112" w:rsidRDefault="004F4016" w:rsidP="004F4016">
      <w:pPr>
        <w:rPr>
          <w:b/>
          <w:color w:val="000000" w:themeColor="text1"/>
        </w:rPr>
      </w:pPr>
      <w:r w:rsidRPr="00781112">
        <w:rPr>
          <w:b/>
          <w:color w:val="000000" w:themeColor="text1"/>
        </w:rPr>
        <w:t>Math Assessment Participation Data by Grade</w:t>
      </w:r>
    </w:p>
    <w:tbl>
      <w:tblPr>
        <w:tblStyle w:val="TableGrid"/>
        <w:tblW w:w="5000" w:type="pct"/>
        <w:tblLayout w:type="fixed"/>
        <w:tblLook w:val="04A0" w:firstRow="1" w:lastRow="0" w:firstColumn="1" w:lastColumn="0" w:noHBand="0" w:noVBand="1"/>
        <w:tblCaption w:val="B03ASSPARTDATABYGRDMATH"/>
      </w:tblPr>
      <w:tblGrid>
        <w:gridCol w:w="3326"/>
        <w:gridCol w:w="2488"/>
        <w:gridCol w:w="2488"/>
        <w:gridCol w:w="2488"/>
      </w:tblGrid>
      <w:tr w:rsidR="00227E23" w:rsidRPr="00781112" w14:paraId="765286EB" w14:textId="77777777" w:rsidTr="009E026B">
        <w:tc>
          <w:tcPr>
            <w:tcW w:w="1541" w:type="pct"/>
            <w:shd w:val="clear" w:color="auto" w:fill="auto"/>
            <w:vAlign w:val="center"/>
          </w:tcPr>
          <w:p w14:paraId="74EB9B5A" w14:textId="0F9AEAED" w:rsidR="00227E23" w:rsidRPr="00781112" w:rsidRDefault="00835EAD" w:rsidP="00227E23">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0DB3B187" w14:textId="58265A3B" w:rsidR="00227E23" w:rsidRPr="00781112" w:rsidRDefault="00227E23">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41AE35D3" w14:textId="574BC069" w:rsidR="00227E23" w:rsidRPr="00781112" w:rsidRDefault="00227E23">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5353B8D1" w14:textId="6B6DA4E3" w:rsidR="00227E23" w:rsidRPr="00781112" w:rsidRDefault="00227E23">
            <w:pPr>
              <w:jc w:val="center"/>
              <w:rPr>
                <w:rFonts w:cs="Arial"/>
                <w:b/>
                <w:bCs/>
                <w:color w:val="000000" w:themeColor="text1"/>
                <w:szCs w:val="16"/>
              </w:rPr>
            </w:pPr>
            <w:r w:rsidRPr="00781112">
              <w:rPr>
                <w:rFonts w:cs="Arial"/>
                <w:b/>
                <w:bCs/>
                <w:color w:val="000000" w:themeColor="text1"/>
                <w:szCs w:val="16"/>
              </w:rPr>
              <w:t>Grade HS</w:t>
            </w:r>
          </w:p>
        </w:tc>
      </w:tr>
      <w:tr w:rsidR="00BA0CFF" w:rsidRPr="00781112" w14:paraId="3F5839E5" w14:textId="77777777" w:rsidTr="009E026B">
        <w:tc>
          <w:tcPr>
            <w:tcW w:w="1541" w:type="pct"/>
            <w:shd w:val="clear" w:color="auto" w:fill="auto"/>
            <w:vAlign w:val="center"/>
          </w:tcPr>
          <w:p w14:paraId="570ED876" w14:textId="6CE7F50C" w:rsidR="00BA0CFF" w:rsidRPr="00781112" w:rsidRDefault="00BA0CFF" w:rsidP="00BA0CFF">
            <w:pPr>
              <w:rPr>
                <w:rFonts w:cs="Arial"/>
                <w:color w:val="000000" w:themeColor="text1"/>
                <w:szCs w:val="16"/>
              </w:rPr>
            </w:pPr>
            <w:r w:rsidRPr="00781112">
              <w:rPr>
                <w:rFonts w:cs="Arial"/>
                <w:color w:val="000000" w:themeColor="text1"/>
                <w:szCs w:val="16"/>
              </w:rPr>
              <w:t>a. Children with IEPs (2)</w:t>
            </w:r>
          </w:p>
        </w:tc>
        <w:tc>
          <w:tcPr>
            <w:tcW w:w="1153" w:type="pct"/>
            <w:shd w:val="clear" w:color="auto" w:fill="auto"/>
            <w:vAlign w:val="center"/>
          </w:tcPr>
          <w:p w14:paraId="6F9300B4" w14:textId="685B8914" w:rsidR="00BA0CFF" w:rsidRPr="00781112" w:rsidRDefault="00BA0CFF" w:rsidP="00360DD6">
            <w:pPr>
              <w:jc w:val="center"/>
              <w:rPr>
                <w:rFonts w:cs="Arial"/>
                <w:color w:val="000000" w:themeColor="text1"/>
                <w:szCs w:val="16"/>
              </w:rPr>
            </w:pPr>
            <w:r w:rsidRPr="00781112">
              <w:rPr>
                <w:rFonts w:cs="Arial"/>
                <w:color w:val="000000" w:themeColor="text1"/>
                <w:szCs w:val="16"/>
              </w:rPr>
              <w:t>4,219</w:t>
            </w:r>
          </w:p>
        </w:tc>
        <w:tc>
          <w:tcPr>
            <w:tcW w:w="1153" w:type="pct"/>
            <w:shd w:val="clear" w:color="auto" w:fill="auto"/>
            <w:vAlign w:val="center"/>
          </w:tcPr>
          <w:p w14:paraId="758EF16C" w14:textId="1AA6C4C5" w:rsidR="00BA0CFF" w:rsidRPr="00781112" w:rsidRDefault="00BA0CFF" w:rsidP="00360DD6">
            <w:pPr>
              <w:jc w:val="center"/>
              <w:rPr>
                <w:rFonts w:cs="Arial"/>
                <w:color w:val="000000" w:themeColor="text1"/>
                <w:szCs w:val="16"/>
              </w:rPr>
            </w:pPr>
            <w:r w:rsidRPr="00781112">
              <w:rPr>
                <w:rFonts w:cs="Arial"/>
                <w:color w:val="000000" w:themeColor="text1"/>
                <w:szCs w:val="16"/>
              </w:rPr>
              <w:t>3,431</w:t>
            </w:r>
          </w:p>
        </w:tc>
        <w:tc>
          <w:tcPr>
            <w:tcW w:w="1153" w:type="pct"/>
            <w:shd w:val="clear" w:color="auto" w:fill="auto"/>
            <w:vAlign w:val="center"/>
          </w:tcPr>
          <w:p w14:paraId="07D0BC24" w14:textId="0AD780C0" w:rsidR="00BA0CFF" w:rsidRPr="00781112" w:rsidRDefault="00BA0CFF" w:rsidP="00360DD6">
            <w:pPr>
              <w:jc w:val="center"/>
              <w:rPr>
                <w:rFonts w:cs="Arial"/>
                <w:color w:val="000000" w:themeColor="text1"/>
                <w:szCs w:val="16"/>
              </w:rPr>
            </w:pPr>
            <w:r w:rsidRPr="00781112">
              <w:rPr>
                <w:rFonts w:cs="Arial"/>
                <w:color w:val="000000" w:themeColor="text1"/>
                <w:szCs w:val="16"/>
              </w:rPr>
              <w:t>2,631</w:t>
            </w:r>
          </w:p>
        </w:tc>
      </w:tr>
      <w:tr w:rsidR="003A67B1" w:rsidRPr="00781112" w14:paraId="1B3F669C" w14:textId="77777777" w:rsidTr="009E026B">
        <w:tc>
          <w:tcPr>
            <w:tcW w:w="1541" w:type="pct"/>
            <w:shd w:val="clear" w:color="auto" w:fill="auto"/>
            <w:vAlign w:val="center"/>
          </w:tcPr>
          <w:p w14:paraId="36B1CD39" w14:textId="0D04D4C9" w:rsidR="003A67B1" w:rsidRPr="00781112" w:rsidRDefault="003A67B1" w:rsidP="003A67B1">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shd w:val="clear" w:color="auto" w:fill="auto"/>
            <w:vAlign w:val="center"/>
          </w:tcPr>
          <w:p w14:paraId="5E1AE50A" w14:textId="410612C1" w:rsidR="003A67B1" w:rsidRPr="00781112" w:rsidRDefault="003A67B1" w:rsidP="003A67B1">
            <w:pPr>
              <w:jc w:val="center"/>
              <w:rPr>
                <w:rFonts w:cs="Arial"/>
                <w:color w:val="000000" w:themeColor="text1"/>
                <w:szCs w:val="16"/>
              </w:rPr>
            </w:pPr>
            <w:r w:rsidRPr="00781112">
              <w:rPr>
                <w:rFonts w:cs="Arial"/>
                <w:color w:val="000000" w:themeColor="text1"/>
                <w:szCs w:val="16"/>
              </w:rPr>
              <w:t>1,090</w:t>
            </w:r>
          </w:p>
        </w:tc>
        <w:tc>
          <w:tcPr>
            <w:tcW w:w="1153" w:type="pct"/>
            <w:shd w:val="clear" w:color="auto" w:fill="auto"/>
            <w:vAlign w:val="center"/>
          </w:tcPr>
          <w:p w14:paraId="48D18899" w14:textId="210A5A25" w:rsidR="003A67B1" w:rsidRPr="00781112" w:rsidRDefault="003A67B1" w:rsidP="003A67B1">
            <w:pPr>
              <w:jc w:val="center"/>
              <w:rPr>
                <w:rFonts w:cs="Arial"/>
                <w:color w:val="000000" w:themeColor="text1"/>
                <w:szCs w:val="16"/>
              </w:rPr>
            </w:pPr>
            <w:r w:rsidRPr="00781112">
              <w:rPr>
                <w:rFonts w:cs="Arial"/>
                <w:color w:val="000000" w:themeColor="text1"/>
                <w:szCs w:val="16"/>
              </w:rPr>
              <w:t>508</w:t>
            </w:r>
          </w:p>
        </w:tc>
        <w:tc>
          <w:tcPr>
            <w:tcW w:w="1153" w:type="pct"/>
            <w:shd w:val="clear" w:color="auto" w:fill="auto"/>
            <w:vAlign w:val="center"/>
          </w:tcPr>
          <w:p w14:paraId="297238DD" w14:textId="253103BA" w:rsidR="003A67B1" w:rsidRPr="00781112" w:rsidRDefault="003A67B1" w:rsidP="003A67B1">
            <w:pPr>
              <w:jc w:val="center"/>
              <w:rPr>
                <w:rFonts w:cs="Arial"/>
                <w:color w:val="000000" w:themeColor="text1"/>
                <w:szCs w:val="16"/>
              </w:rPr>
            </w:pPr>
            <w:r w:rsidRPr="00781112">
              <w:rPr>
                <w:rFonts w:cs="Arial"/>
                <w:color w:val="000000" w:themeColor="text1"/>
                <w:szCs w:val="16"/>
              </w:rPr>
              <w:t>1,035</w:t>
            </w:r>
          </w:p>
        </w:tc>
      </w:tr>
      <w:tr w:rsidR="003A67B1" w:rsidRPr="00781112" w14:paraId="206D39D6" w14:textId="77777777" w:rsidTr="009E026B">
        <w:tc>
          <w:tcPr>
            <w:tcW w:w="1541" w:type="pct"/>
            <w:shd w:val="clear" w:color="auto" w:fill="auto"/>
            <w:vAlign w:val="center"/>
          </w:tcPr>
          <w:p w14:paraId="6A501FD3" w14:textId="1E096187" w:rsidR="003A67B1" w:rsidRPr="00781112" w:rsidRDefault="003A67B1" w:rsidP="003A67B1">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shd w:val="clear" w:color="auto" w:fill="auto"/>
            <w:vAlign w:val="center"/>
          </w:tcPr>
          <w:p w14:paraId="1EE1C17D" w14:textId="207E06F2" w:rsidR="003A67B1" w:rsidRPr="00781112" w:rsidRDefault="003A67B1" w:rsidP="003A67B1">
            <w:pPr>
              <w:jc w:val="center"/>
              <w:rPr>
                <w:rFonts w:cs="Arial"/>
                <w:color w:val="000000" w:themeColor="text1"/>
                <w:szCs w:val="16"/>
              </w:rPr>
            </w:pPr>
            <w:r w:rsidRPr="00781112">
              <w:rPr>
                <w:rFonts w:cs="Arial"/>
                <w:color w:val="000000" w:themeColor="text1"/>
                <w:szCs w:val="16"/>
              </w:rPr>
              <w:t>2,890</w:t>
            </w:r>
          </w:p>
        </w:tc>
        <w:tc>
          <w:tcPr>
            <w:tcW w:w="1153" w:type="pct"/>
            <w:shd w:val="clear" w:color="auto" w:fill="auto"/>
            <w:vAlign w:val="center"/>
          </w:tcPr>
          <w:p w14:paraId="55C89819" w14:textId="1DDD2B16" w:rsidR="003A67B1" w:rsidRPr="00781112" w:rsidRDefault="003A67B1" w:rsidP="003A67B1">
            <w:pPr>
              <w:jc w:val="center"/>
              <w:rPr>
                <w:rFonts w:cs="Arial"/>
                <w:color w:val="000000" w:themeColor="text1"/>
                <w:szCs w:val="16"/>
              </w:rPr>
            </w:pPr>
            <w:r w:rsidRPr="00781112">
              <w:rPr>
                <w:rFonts w:cs="Arial"/>
                <w:color w:val="000000" w:themeColor="text1"/>
                <w:szCs w:val="16"/>
              </w:rPr>
              <w:t>2,689</w:t>
            </w:r>
          </w:p>
        </w:tc>
        <w:tc>
          <w:tcPr>
            <w:tcW w:w="1153" w:type="pct"/>
            <w:shd w:val="clear" w:color="auto" w:fill="auto"/>
            <w:vAlign w:val="center"/>
          </w:tcPr>
          <w:p w14:paraId="0B7FE00F" w14:textId="48CAB52C" w:rsidR="003A67B1" w:rsidRPr="00781112" w:rsidRDefault="003A67B1" w:rsidP="003A67B1">
            <w:pPr>
              <w:jc w:val="center"/>
              <w:rPr>
                <w:rFonts w:cs="Arial"/>
                <w:color w:val="000000" w:themeColor="text1"/>
                <w:szCs w:val="16"/>
              </w:rPr>
            </w:pPr>
            <w:r w:rsidRPr="00781112">
              <w:rPr>
                <w:rFonts w:cs="Arial"/>
                <w:color w:val="000000" w:themeColor="text1"/>
                <w:szCs w:val="16"/>
              </w:rPr>
              <w:t>1,292</w:t>
            </w:r>
          </w:p>
        </w:tc>
      </w:tr>
      <w:tr w:rsidR="003A67B1" w:rsidRPr="00781112" w14:paraId="7C657E3A" w14:textId="77777777" w:rsidTr="009E026B">
        <w:tc>
          <w:tcPr>
            <w:tcW w:w="1541" w:type="pct"/>
            <w:shd w:val="clear" w:color="auto" w:fill="auto"/>
            <w:vAlign w:val="center"/>
          </w:tcPr>
          <w:p w14:paraId="19508B28" w14:textId="5DE1D8D0" w:rsidR="003A67B1" w:rsidRPr="00781112" w:rsidRDefault="003A67B1" w:rsidP="003A67B1">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shd w:val="clear" w:color="auto" w:fill="auto"/>
            <w:vAlign w:val="center"/>
          </w:tcPr>
          <w:p w14:paraId="41F72ACA" w14:textId="2CC8E5F7" w:rsidR="003A67B1" w:rsidRPr="00781112" w:rsidRDefault="003A67B1" w:rsidP="003A67B1">
            <w:pPr>
              <w:jc w:val="center"/>
              <w:rPr>
                <w:rFonts w:cs="Arial"/>
                <w:color w:val="000000" w:themeColor="text1"/>
                <w:szCs w:val="16"/>
              </w:rPr>
            </w:pPr>
            <w:r w:rsidRPr="00781112">
              <w:rPr>
                <w:rFonts w:cs="Arial"/>
                <w:color w:val="000000" w:themeColor="text1"/>
                <w:szCs w:val="16"/>
              </w:rPr>
              <w:t>203</w:t>
            </w:r>
          </w:p>
        </w:tc>
        <w:tc>
          <w:tcPr>
            <w:tcW w:w="1153" w:type="pct"/>
            <w:shd w:val="clear" w:color="auto" w:fill="auto"/>
            <w:vAlign w:val="center"/>
          </w:tcPr>
          <w:p w14:paraId="42315622" w14:textId="322B0162" w:rsidR="003A67B1" w:rsidRPr="00781112" w:rsidRDefault="003A67B1" w:rsidP="003A67B1">
            <w:pPr>
              <w:jc w:val="center"/>
              <w:rPr>
                <w:rFonts w:cs="Arial"/>
                <w:color w:val="000000" w:themeColor="text1"/>
                <w:szCs w:val="16"/>
              </w:rPr>
            </w:pPr>
            <w:r w:rsidRPr="00781112">
              <w:rPr>
                <w:rFonts w:cs="Arial"/>
                <w:color w:val="000000" w:themeColor="text1"/>
                <w:szCs w:val="16"/>
              </w:rPr>
              <w:t>194</w:t>
            </w:r>
          </w:p>
        </w:tc>
        <w:tc>
          <w:tcPr>
            <w:tcW w:w="1153" w:type="pct"/>
            <w:shd w:val="clear" w:color="auto" w:fill="auto"/>
            <w:vAlign w:val="center"/>
          </w:tcPr>
          <w:p w14:paraId="79C22C84" w14:textId="36E0DF79" w:rsidR="003A67B1" w:rsidRPr="00781112" w:rsidRDefault="003A67B1" w:rsidP="003A67B1">
            <w:pPr>
              <w:jc w:val="center"/>
              <w:rPr>
                <w:rFonts w:cs="Arial"/>
                <w:color w:val="000000" w:themeColor="text1"/>
                <w:szCs w:val="16"/>
              </w:rPr>
            </w:pPr>
            <w:r w:rsidRPr="00781112">
              <w:rPr>
                <w:rFonts w:cs="Arial"/>
                <w:color w:val="000000" w:themeColor="text1"/>
                <w:szCs w:val="16"/>
              </w:rPr>
              <w:t>174</w:t>
            </w:r>
          </w:p>
        </w:tc>
      </w:tr>
    </w:tbl>
    <w:p w14:paraId="28134ACD" w14:textId="77777777" w:rsidR="004F2A22" w:rsidRDefault="004F2A22" w:rsidP="003E3AED"/>
    <w:p w14:paraId="042AB40E" w14:textId="7D37232C" w:rsidR="00AF1BC7" w:rsidRDefault="00AF1BC7" w:rsidP="006D1560">
      <w:r>
        <w:t>(1) The children with IEPs who are English learners and took the ELP in lieu of the regular reading/language arts assessment are not included in the prefilled data in this indicator.</w:t>
      </w:r>
    </w:p>
    <w:p w14:paraId="1074FBF7" w14:textId="7808B951" w:rsidR="003E3AED" w:rsidRDefault="006D1560" w:rsidP="006D1560">
      <w:r>
        <w:t>(</w:t>
      </w:r>
      <w:r w:rsidR="00AF1BC7">
        <w:t>2</w:t>
      </w:r>
      <w:r>
        <w:t xml:space="preserve">) </w:t>
      </w:r>
      <w:r w:rsidR="003C0975">
        <w:t xml:space="preserve">The children with IEPs count </w:t>
      </w:r>
      <w:r w:rsidR="003C0975" w:rsidRPr="007905E7">
        <w:t xml:space="preserve">excludes </w:t>
      </w:r>
      <w:r w:rsidR="003C0975">
        <w:t xml:space="preserve">children with disabilities </w:t>
      </w:r>
      <w:r w:rsidR="003C0975" w:rsidRPr="007905E7">
        <w:t>who were reported as exempt due to significant medical emergency</w:t>
      </w:r>
      <w:r w:rsidR="003E3AED">
        <w:t xml:space="preserve"> in row </w:t>
      </w:r>
      <w:r w:rsidR="007A3E26">
        <w:t>A</w:t>
      </w:r>
      <w:r w:rsidR="003E3AED">
        <w:t xml:space="preserve"> for all the prefilled data in this indicator.</w:t>
      </w:r>
    </w:p>
    <w:p w14:paraId="06016F5B" w14:textId="5AE2AD96" w:rsidR="006D1560" w:rsidRPr="006D1560" w:rsidRDefault="006D1560" w:rsidP="006D1560">
      <w:r>
        <w:t>(</w:t>
      </w:r>
      <w:r w:rsidR="00AF1BC7">
        <w:t>3</w:t>
      </w:r>
      <w:r>
        <w:t xml:space="preserve">) </w:t>
      </w:r>
      <w:r w:rsidR="00502870" w:rsidRPr="00416CC6">
        <w:t>The term</w:t>
      </w:r>
      <w:r w:rsidR="00502870" w:rsidRPr="00580D24">
        <w:rPr>
          <w:bCs/>
        </w:rPr>
        <w:t xml:space="preserve"> “regular assessment” is an aggregation of the following types of assessments</w:t>
      </w:r>
      <w:r w:rsidR="00502870">
        <w:rPr>
          <w:bCs/>
        </w:rPr>
        <w:t>, as applicable for each grade/ grade group</w:t>
      </w:r>
      <w:r w:rsidR="00502870" w:rsidRPr="00580D24">
        <w:rPr>
          <w:bCs/>
        </w:rPr>
        <w:t>: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p>
    <w:p w14:paraId="3B88B048" w14:textId="77777777" w:rsidR="006D1560" w:rsidRPr="00781112" w:rsidRDefault="006D1560" w:rsidP="004F4016">
      <w:pPr>
        <w:rPr>
          <w:color w:val="000000" w:themeColor="text1"/>
        </w:rPr>
      </w:pPr>
    </w:p>
    <w:p w14:paraId="44A15970" w14:textId="01BA454D" w:rsidR="004F4016" w:rsidRPr="00781112" w:rsidRDefault="0047313F" w:rsidP="004F4016">
      <w:pPr>
        <w:rPr>
          <w:b/>
          <w:color w:val="000000" w:themeColor="text1"/>
        </w:rPr>
      </w:pPr>
      <w:r>
        <w:rPr>
          <w:b/>
          <w:color w:val="000000" w:themeColor="text1"/>
        </w:rPr>
        <w:t>FFY 2023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RDATARLA"/>
      </w:tblPr>
      <w:tblGrid>
        <w:gridCol w:w="767"/>
        <w:gridCol w:w="1025"/>
        <w:gridCol w:w="1981"/>
        <w:gridCol w:w="1981"/>
        <w:gridCol w:w="1006"/>
        <w:gridCol w:w="1008"/>
        <w:gridCol w:w="1008"/>
        <w:gridCol w:w="1008"/>
        <w:gridCol w:w="1006"/>
      </w:tblGrid>
      <w:tr w:rsidR="00073BD7" w:rsidRPr="00781112" w14:paraId="3BAF6B00" w14:textId="77777777" w:rsidTr="0047313F">
        <w:trPr>
          <w:tblHeader/>
        </w:trPr>
        <w:tc>
          <w:tcPr>
            <w:tcW w:w="355" w:type="pct"/>
            <w:shd w:val="clear" w:color="auto" w:fill="auto"/>
            <w:vAlign w:val="bottom"/>
          </w:tcPr>
          <w:p w14:paraId="3F94C694" w14:textId="77777777" w:rsidR="00073BD7" w:rsidRPr="00781112" w:rsidRDefault="00073BD7" w:rsidP="00073BD7">
            <w:pPr>
              <w:jc w:val="center"/>
              <w:rPr>
                <w:b/>
                <w:color w:val="000000" w:themeColor="text1"/>
              </w:rPr>
            </w:pPr>
            <w:r w:rsidRPr="00781112">
              <w:rPr>
                <w:b/>
                <w:color w:val="000000" w:themeColor="text1"/>
              </w:rPr>
              <w:t>Group</w:t>
            </w:r>
          </w:p>
        </w:tc>
        <w:tc>
          <w:tcPr>
            <w:tcW w:w="475" w:type="pct"/>
            <w:shd w:val="clear" w:color="auto" w:fill="auto"/>
            <w:vAlign w:val="bottom"/>
          </w:tcPr>
          <w:p w14:paraId="4992F96D" w14:textId="77777777" w:rsidR="00073BD7" w:rsidRPr="00781112" w:rsidRDefault="00073BD7" w:rsidP="00073BD7">
            <w:pPr>
              <w:jc w:val="center"/>
              <w:rPr>
                <w:b/>
                <w:color w:val="000000" w:themeColor="text1"/>
              </w:rPr>
            </w:pPr>
            <w:r w:rsidRPr="00781112">
              <w:rPr>
                <w:b/>
                <w:color w:val="000000" w:themeColor="text1"/>
              </w:rPr>
              <w:t>Group Name</w:t>
            </w:r>
          </w:p>
        </w:tc>
        <w:tc>
          <w:tcPr>
            <w:tcW w:w="918" w:type="pct"/>
            <w:shd w:val="clear" w:color="auto" w:fill="auto"/>
            <w:vAlign w:val="bottom"/>
          </w:tcPr>
          <w:p w14:paraId="2677A663" w14:textId="57D25781" w:rsidR="00073BD7" w:rsidRPr="00781112" w:rsidRDefault="00073BD7" w:rsidP="00073BD7">
            <w:pPr>
              <w:jc w:val="center"/>
              <w:rPr>
                <w:b/>
                <w:color w:val="000000" w:themeColor="text1"/>
              </w:rPr>
            </w:pPr>
            <w:r w:rsidRPr="00781112">
              <w:rPr>
                <w:b/>
                <w:color w:val="000000" w:themeColor="text1"/>
              </w:rPr>
              <w:t>Number of Children with IEPs Participating</w:t>
            </w:r>
          </w:p>
        </w:tc>
        <w:tc>
          <w:tcPr>
            <w:tcW w:w="918" w:type="pct"/>
            <w:shd w:val="clear" w:color="auto" w:fill="auto"/>
            <w:vAlign w:val="bottom"/>
          </w:tcPr>
          <w:p w14:paraId="5736EAFF" w14:textId="26F0F47E" w:rsidR="00073BD7" w:rsidRPr="00781112" w:rsidRDefault="00073BD7" w:rsidP="00073BD7">
            <w:pPr>
              <w:jc w:val="center"/>
              <w:rPr>
                <w:b/>
                <w:color w:val="000000" w:themeColor="text1"/>
              </w:rPr>
            </w:pPr>
            <w:r w:rsidRPr="00781112">
              <w:rPr>
                <w:b/>
                <w:color w:val="000000" w:themeColor="text1"/>
              </w:rPr>
              <w:t>Number of Children with IEPs</w:t>
            </w:r>
          </w:p>
        </w:tc>
        <w:tc>
          <w:tcPr>
            <w:tcW w:w="466" w:type="pct"/>
            <w:shd w:val="clear" w:color="auto" w:fill="auto"/>
            <w:vAlign w:val="bottom"/>
          </w:tcPr>
          <w:p w14:paraId="70E219F7" w14:textId="62014B99" w:rsidR="00073BD7" w:rsidRPr="00781112" w:rsidRDefault="00073BD7" w:rsidP="00073BD7">
            <w:pPr>
              <w:jc w:val="center"/>
              <w:rPr>
                <w:b/>
                <w:color w:val="000000" w:themeColor="text1"/>
              </w:rPr>
            </w:pPr>
            <w:r w:rsidRPr="00073BD7">
              <w:rPr>
                <w:b/>
                <w:bCs/>
              </w:rPr>
              <w:t>FFY 2022 Data</w:t>
            </w:r>
          </w:p>
        </w:tc>
        <w:tc>
          <w:tcPr>
            <w:tcW w:w="467" w:type="pct"/>
            <w:shd w:val="clear" w:color="auto" w:fill="auto"/>
            <w:vAlign w:val="bottom"/>
          </w:tcPr>
          <w:p w14:paraId="2D0B1710" w14:textId="66BE285D" w:rsidR="00073BD7" w:rsidRPr="00781112" w:rsidRDefault="00073BD7" w:rsidP="00073BD7">
            <w:pPr>
              <w:jc w:val="center"/>
              <w:rPr>
                <w:b/>
                <w:color w:val="000000" w:themeColor="text1"/>
              </w:rPr>
            </w:pPr>
            <w:r w:rsidRPr="00073BD7">
              <w:rPr>
                <w:b/>
                <w:bCs/>
              </w:rPr>
              <w:t>FFY 2023 Target</w:t>
            </w:r>
          </w:p>
        </w:tc>
        <w:tc>
          <w:tcPr>
            <w:tcW w:w="467" w:type="pct"/>
            <w:shd w:val="clear" w:color="auto" w:fill="auto"/>
            <w:vAlign w:val="bottom"/>
          </w:tcPr>
          <w:p w14:paraId="1D807DE2" w14:textId="281F6B54" w:rsidR="00073BD7" w:rsidRPr="00781112" w:rsidRDefault="00073BD7" w:rsidP="00073BD7">
            <w:pPr>
              <w:jc w:val="center"/>
              <w:rPr>
                <w:b/>
                <w:color w:val="000000" w:themeColor="text1"/>
              </w:rPr>
            </w:pPr>
            <w:r w:rsidRPr="00073BD7">
              <w:rPr>
                <w:b/>
                <w:bCs/>
              </w:rPr>
              <w:t>FFY 2023 Data</w:t>
            </w:r>
          </w:p>
        </w:tc>
        <w:tc>
          <w:tcPr>
            <w:tcW w:w="467" w:type="pct"/>
            <w:shd w:val="clear" w:color="auto" w:fill="auto"/>
            <w:vAlign w:val="bottom"/>
          </w:tcPr>
          <w:p w14:paraId="6569FC00" w14:textId="77777777" w:rsidR="00073BD7" w:rsidRPr="00781112" w:rsidRDefault="00073BD7" w:rsidP="00073BD7">
            <w:pPr>
              <w:jc w:val="center"/>
              <w:rPr>
                <w:b/>
                <w:color w:val="000000" w:themeColor="text1"/>
              </w:rPr>
            </w:pPr>
            <w:r w:rsidRPr="00781112">
              <w:rPr>
                <w:b/>
                <w:color w:val="000000" w:themeColor="text1"/>
              </w:rPr>
              <w:t>Status</w:t>
            </w:r>
          </w:p>
        </w:tc>
        <w:tc>
          <w:tcPr>
            <w:tcW w:w="466" w:type="pct"/>
            <w:shd w:val="clear" w:color="auto" w:fill="auto"/>
            <w:vAlign w:val="bottom"/>
          </w:tcPr>
          <w:p w14:paraId="2DF56EFB" w14:textId="77777777" w:rsidR="00073BD7" w:rsidRPr="00781112" w:rsidRDefault="00073BD7" w:rsidP="00073BD7">
            <w:pPr>
              <w:jc w:val="center"/>
              <w:rPr>
                <w:b/>
                <w:color w:val="000000" w:themeColor="text1"/>
              </w:rPr>
            </w:pPr>
            <w:r w:rsidRPr="00781112">
              <w:rPr>
                <w:b/>
                <w:color w:val="000000" w:themeColor="text1"/>
              </w:rPr>
              <w:t>Slippage</w:t>
            </w:r>
          </w:p>
        </w:tc>
      </w:tr>
      <w:tr w:rsidR="00396BA3" w:rsidRPr="00781112" w14:paraId="376FC28A" w14:textId="77777777" w:rsidTr="0047313F">
        <w:tc>
          <w:tcPr>
            <w:tcW w:w="355" w:type="pct"/>
            <w:shd w:val="clear" w:color="auto" w:fill="auto"/>
            <w:vAlign w:val="center"/>
          </w:tcPr>
          <w:p w14:paraId="53A8B458"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A</w:t>
            </w:r>
          </w:p>
        </w:tc>
        <w:tc>
          <w:tcPr>
            <w:tcW w:w="475" w:type="pct"/>
            <w:shd w:val="clear" w:color="auto" w:fill="auto"/>
            <w:vAlign w:val="center"/>
          </w:tcPr>
          <w:p w14:paraId="0A1B698A" w14:textId="5AC06767"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8AC973E" w14:textId="3ED347A2" w:rsidR="00892DD7" w:rsidRPr="00781112" w:rsidRDefault="00892DD7" w:rsidP="00892DD7">
            <w:pPr>
              <w:jc w:val="center"/>
              <w:rPr>
                <w:rFonts w:cs="Arial"/>
                <w:color w:val="000000" w:themeColor="text1"/>
                <w:szCs w:val="16"/>
              </w:rPr>
            </w:pPr>
            <w:r w:rsidRPr="00781112">
              <w:rPr>
                <w:rFonts w:cs="Arial"/>
                <w:color w:val="000000"/>
                <w:szCs w:val="16"/>
              </w:rPr>
              <w:t>4,188</w:t>
            </w:r>
          </w:p>
        </w:tc>
        <w:tc>
          <w:tcPr>
            <w:tcW w:w="918" w:type="pct"/>
            <w:shd w:val="clear" w:color="auto" w:fill="auto"/>
            <w:vAlign w:val="center"/>
          </w:tcPr>
          <w:p w14:paraId="703303A1" w14:textId="4183E48D" w:rsidR="00892DD7" w:rsidRPr="00781112" w:rsidRDefault="00892DD7" w:rsidP="00892DD7">
            <w:pPr>
              <w:jc w:val="center"/>
              <w:rPr>
                <w:rFonts w:cs="Arial"/>
                <w:color w:val="000000" w:themeColor="text1"/>
                <w:szCs w:val="16"/>
              </w:rPr>
            </w:pPr>
            <w:r w:rsidRPr="00781112">
              <w:rPr>
                <w:rFonts w:cs="Arial"/>
                <w:color w:val="000000" w:themeColor="text1"/>
                <w:szCs w:val="16"/>
              </w:rPr>
              <w:t>4,224</w:t>
            </w:r>
          </w:p>
        </w:tc>
        <w:tc>
          <w:tcPr>
            <w:tcW w:w="466" w:type="pct"/>
            <w:shd w:val="clear" w:color="auto" w:fill="auto"/>
            <w:vAlign w:val="center"/>
          </w:tcPr>
          <w:p w14:paraId="701F3D15" w14:textId="6F1538C4" w:rsidR="00892DD7" w:rsidRPr="00781112" w:rsidRDefault="00892DD7" w:rsidP="00892DD7">
            <w:pPr>
              <w:jc w:val="center"/>
              <w:rPr>
                <w:rFonts w:cs="Arial"/>
                <w:color w:val="000000" w:themeColor="text1"/>
                <w:szCs w:val="16"/>
              </w:rPr>
            </w:pPr>
            <w:r w:rsidRPr="00781112">
              <w:rPr>
                <w:rFonts w:cs="Arial"/>
                <w:color w:val="000000" w:themeColor="text1"/>
                <w:szCs w:val="16"/>
              </w:rPr>
              <w:t>99.91%</w:t>
            </w:r>
          </w:p>
        </w:tc>
        <w:tc>
          <w:tcPr>
            <w:tcW w:w="467" w:type="pct"/>
            <w:shd w:val="clear" w:color="auto" w:fill="auto"/>
            <w:vAlign w:val="center"/>
          </w:tcPr>
          <w:p w14:paraId="797749BC" w14:textId="696E92A3"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70549BEB" w14:textId="587EEF17" w:rsidR="00892DD7" w:rsidRPr="00781112" w:rsidRDefault="00892DD7" w:rsidP="00892DD7">
            <w:pPr>
              <w:jc w:val="center"/>
              <w:rPr>
                <w:rFonts w:cs="Arial"/>
                <w:color w:val="000000" w:themeColor="text1"/>
                <w:szCs w:val="16"/>
              </w:rPr>
            </w:pPr>
            <w:r w:rsidRPr="00781112">
              <w:rPr>
                <w:rFonts w:cs="Arial"/>
                <w:color w:val="000000" w:themeColor="text1"/>
                <w:szCs w:val="16"/>
              </w:rPr>
              <w:t>99.15%</w:t>
            </w:r>
          </w:p>
        </w:tc>
        <w:tc>
          <w:tcPr>
            <w:tcW w:w="467" w:type="pct"/>
            <w:shd w:val="clear" w:color="auto" w:fill="auto"/>
            <w:vAlign w:val="center"/>
          </w:tcPr>
          <w:p w14:paraId="78EE727D" w14:textId="62F0BE75" w:rsidR="00892DD7" w:rsidRPr="00781112" w:rsidRDefault="00892DD7" w:rsidP="00892DD7">
            <w:pPr>
              <w:jc w:val="center"/>
              <w:rPr>
                <w:rFonts w:cs="Arial"/>
                <w:color w:val="000000" w:themeColor="text1"/>
                <w:szCs w:val="16"/>
              </w:rPr>
            </w:pPr>
            <w:r w:rsidRPr="00781112">
              <w:rPr>
                <w:rFonts w:cs="Arial"/>
                <w:color w:val="000000" w:themeColor="text1"/>
                <w:szCs w:val="16"/>
              </w:rPr>
              <w:t>Met target</w:t>
            </w:r>
          </w:p>
        </w:tc>
        <w:tc>
          <w:tcPr>
            <w:tcW w:w="466" w:type="pct"/>
            <w:shd w:val="clear" w:color="auto" w:fill="auto"/>
            <w:vAlign w:val="center"/>
          </w:tcPr>
          <w:p w14:paraId="6EAB29CE" w14:textId="27C0C9B3"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56F1A9B2" w14:textId="77777777" w:rsidTr="0047313F">
        <w:tc>
          <w:tcPr>
            <w:tcW w:w="355" w:type="pct"/>
            <w:shd w:val="clear" w:color="auto" w:fill="auto"/>
            <w:vAlign w:val="center"/>
          </w:tcPr>
          <w:p w14:paraId="558707F7"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B</w:t>
            </w:r>
          </w:p>
        </w:tc>
        <w:tc>
          <w:tcPr>
            <w:tcW w:w="475" w:type="pct"/>
            <w:shd w:val="clear" w:color="auto" w:fill="auto"/>
            <w:vAlign w:val="center"/>
          </w:tcPr>
          <w:p w14:paraId="384974C9" w14:textId="0A4570C5"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751205A1" w14:textId="2503E0F4" w:rsidR="00892DD7" w:rsidRPr="00781112" w:rsidRDefault="00892DD7" w:rsidP="00892DD7">
            <w:pPr>
              <w:jc w:val="center"/>
              <w:rPr>
                <w:rFonts w:cs="Arial"/>
                <w:color w:val="000000" w:themeColor="text1"/>
                <w:szCs w:val="16"/>
              </w:rPr>
            </w:pPr>
            <w:r w:rsidRPr="00781112">
              <w:rPr>
                <w:rFonts w:cs="Arial"/>
                <w:color w:val="000000"/>
                <w:szCs w:val="16"/>
              </w:rPr>
              <w:t>3,399</w:t>
            </w:r>
          </w:p>
        </w:tc>
        <w:tc>
          <w:tcPr>
            <w:tcW w:w="918" w:type="pct"/>
            <w:shd w:val="clear" w:color="auto" w:fill="auto"/>
            <w:vAlign w:val="center"/>
          </w:tcPr>
          <w:p w14:paraId="4F6EDDAF" w14:textId="20D9AAA3" w:rsidR="00892DD7" w:rsidRPr="00781112" w:rsidRDefault="00892DD7" w:rsidP="00892DD7">
            <w:pPr>
              <w:jc w:val="center"/>
              <w:rPr>
                <w:rFonts w:cs="Arial"/>
                <w:color w:val="000000" w:themeColor="text1"/>
                <w:szCs w:val="16"/>
              </w:rPr>
            </w:pPr>
            <w:r w:rsidRPr="00781112">
              <w:rPr>
                <w:rFonts w:cs="Arial"/>
                <w:color w:val="000000" w:themeColor="text1"/>
                <w:szCs w:val="16"/>
              </w:rPr>
              <w:t>3,439</w:t>
            </w:r>
          </w:p>
        </w:tc>
        <w:tc>
          <w:tcPr>
            <w:tcW w:w="466" w:type="pct"/>
            <w:shd w:val="clear" w:color="auto" w:fill="auto"/>
            <w:vAlign w:val="center"/>
          </w:tcPr>
          <w:p w14:paraId="6B3B6780" w14:textId="51308AEA" w:rsidR="00892DD7" w:rsidRPr="00781112" w:rsidRDefault="00892DD7" w:rsidP="00892DD7">
            <w:pPr>
              <w:jc w:val="center"/>
              <w:rPr>
                <w:rFonts w:cs="Arial"/>
                <w:color w:val="000000" w:themeColor="text1"/>
                <w:szCs w:val="16"/>
              </w:rPr>
            </w:pPr>
            <w:r w:rsidRPr="00781112">
              <w:rPr>
                <w:rFonts w:cs="Arial"/>
                <w:color w:val="000000" w:themeColor="text1"/>
                <w:szCs w:val="16"/>
              </w:rPr>
              <w:t>99.60%</w:t>
            </w:r>
          </w:p>
        </w:tc>
        <w:tc>
          <w:tcPr>
            <w:tcW w:w="467" w:type="pct"/>
            <w:shd w:val="clear" w:color="auto" w:fill="auto"/>
            <w:vAlign w:val="center"/>
          </w:tcPr>
          <w:p w14:paraId="60FE8D0A" w14:textId="26748E4B"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20759612" w14:textId="360FBC9D" w:rsidR="00892DD7" w:rsidRPr="00781112" w:rsidRDefault="00892DD7" w:rsidP="00892DD7">
            <w:pPr>
              <w:jc w:val="center"/>
              <w:rPr>
                <w:rFonts w:cs="Arial"/>
                <w:color w:val="000000" w:themeColor="text1"/>
                <w:szCs w:val="16"/>
              </w:rPr>
            </w:pPr>
            <w:r w:rsidRPr="00781112">
              <w:rPr>
                <w:rFonts w:cs="Arial"/>
                <w:color w:val="000000" w:themeColor="text1"/>
                <w:szCs w:val="16"/>
              </w:rPr>
              <w:t>98.84%</w:t>
            </w:r>
          </w:p>
        </w:tc>
        <w:tc>
          <w:tcPr>
            <w:tcW w:w="467" w:type="pct"/>
            <w:shd w:val="clear" w:color="auto" w:fill="auto"/>
            <w:vAlign w:val="center"/>
          </w:tcPr>
          <w:p w14:paraId="5A0AF76C" w14:textId="316463B4" w:rsidR="00892DD7" w:rsidRPr="00781112" w:rsidRDefault="00892DD7" w:rsidP="00892DD7">
            <w:pPr>
              <w:jc w:val="center"/>
              <w:rPr>
                <w:rFonts w:cs="Arial"/>
                <w:color w:val="000000" w:themeColor="text1"/>
                <w:szCs w:val="16"/>
              </w:rPr>
            </w:pPr>
            <w:r w:rsidRPr="00781112">
              <w:rPr>
                <w:rFonts w:cs="Arial"/>
                <w:color w:val="000000" w:themeColor="text1"/>
                <w:szCs w:val="16"/>
              </w:rPr>
              <w:t>Met target</w:t>
            </w:r>
          </w:p>
        </w:tc>
        <w:tc>
          <w:tcPr>
            <w:tcW w:w="466" w:type="pct"/>
            <w:shd w:val="clear" w:color="auto" w:fill="auto"/>
            <w:vAlign w:val="center"/>
          </w:tcPr>
          <w:p w14:paraId="71C2BDA0" w14:textId="22F354AD"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7455692E" w14:textId="77777777" w:rsidTr="0047313F">
        <w:tc>
          <w:tcPr>
            <w:tcW w:w="355" w:type="pct"/>
            <w:shd w:val="clear" w:color="auto" w:fill="auto"/>
            <w:vAlign w:val="center"/>
          </w:tcPr>
          <w:p w14:paraId="1007F433"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C</w:t>
            </w:r>
          </w:p>
        </w:tc>
        <w:tc>
          <w:tcPr>
            <w:tcW w:w="475" w:type="pct"/>
            <w:shd w:val="clear" w:color="auto" w:fill="auto"/>
            <w:vAlign w:val="center"/>
          </w:tcPr>
          <w:p w14:paraId="1C2FF689" w14:textId="7B5617BF"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7711AD79" w14:textId="30D9E4B6" w:rsidR="00892DD7" w:rsidRPr="00781112" w:rsidRDefault="00892DD7" w:rsidP="00892DD7">
            <w:pPr>
              <w:jc w:val="center"/>
              <w:rPr>
                <w:rFonts w:cs="Arial"/>
                <w:color w:val="000000" w:themeColor="text1"/>
                <w:szCs w:val="16"/>
              </w:rPr>
            </w:pPr>
            <w:r w:rsidRPr="00781112">
              <w:rPr>
                <w:rFonts w:cs="Arial"/>
                <w:color w:val="000000"/>
                <w:szCs w:val="16"/>
              </w:rPr>
              <w:t>2,501</w:t>
            </w:r>
          </w:p>
        </w:tc>
        <w:tc>
          <w:tcPr>
            <w:tcW w:w="918" w:type="pct"/>
            <w:shd w:val="clear" w:color="auto" w:fill="auto"/>
            <w:vAlign w:val="center"/>
          </w:tcPr>
          <w:p w14:paraId="7C38F4A3" w14:textId="3227EA5E" w:rsidR="00892DD7" w:rsidRPr="00781112" w:rsidRDefault="00892DD7" w:rsidP="00892DD7">
            <w:pPr>
              <w:jc w:val="center"/>
              <w:rPr>
                <w:rFonts w:cs="Arial"/>
                <w:color w:val="000000" w:themeColor="text1"/>
                <w:szCs w:val="16"/>
              </w:rPr>
            </w:pPr>
            <w:r w:rsidRPr="00781112">
              <w:rPr>
                <w:rFonts w:cs="Arial"/>
                <w:color w:val="000000" w:themeColor="text1"/>
                <w:szCs w:val="16"/>
              </w:rPr>
              <w:t>2,631</w:t>
            </w:r>
          </w:p>
        </w:tc>
        <w:tc>
          <w:tcPr>
            <w:tcW w:w="466" w:type="pct"/>
            <w:shd w:val="clear" w:color="auto" w:fill="auto"/>
            <w:vAlign w:val="center"/>
          </w:tcPr>
          <w:p w14:paraId="300E10D2" w14:textId="5FE5073B" w:rsidR="00892DD7" w:rsidRPr="00781112" w:rsidRDefault="00892DD7" w:rsidP="00892DD7">
            <w:pPr>
              <w:jc w:val="center"/>
              <w:rPr>
                <w:rFonts w:cs="Arial"/>
                <w:color w:val="000000" w:themeColor="text1"/>
                <w:szCs w:val="16"/>
              </w:rPr>
            </w:pPr>
            <w:r w:rsidRPr="00781112">
              <w:rPr>
                <w:rFonts w:cs="Arial"/>
                <w:color w:val="000000" w:themeColor="text1"/>
                <w:szCs w:val="16"/>
              </w:rPr>
              <w:t>88.80%</w:t>
            </w:r>
          </w:p>
        </w:tc>
        <w:tc>
          <w:tcPr>
            <w:tcW w:w="467" w:type="pct"/>
            <w:shd w:val="clear" w:color="auto" w:fill="auto"/>
            <w:vAlign w:val="center"/>
          </w:tcPr>
          <w:p w14:paraId="26A808A8" w14:textId="46CE5D7C"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1760C9A2" w14:textId="77DCB745" w:rsidR="00892DD7" w:rsidRPr="00781112" w:rsidRDefault="00892DD7" w:rsidP="00892DD7">
            <w:pPr>
              <w:jc w:val="center"/>
              <w:rPr>
                <w:rFonts w:cs="Arial"/>
                <w:color w:val="000000" w:themeColor="text1"/>
                <w:szCs w:val="16"/>
              </w:rPr>
            </w:pPr>
            <w:r w:rsidRPr="00781112">
              <w:rPr>
                <w:rFonts w:cs="Arial"/>
                <w:color w:val="000000" w:themeColor="text1"/>
                <w:szCs w:val="16"/>
              </w:rPr>
              <w:t>95.06%</w:t>
            </w:r>
          </w:p>
        </w:tc>
        <w:tc>
          <w:tcPr>
            <w:tcW w:w="467" w:type="pct"/>
            <w:shd w:val="clear" w:color="auto" w:fill="auto"/>
            <w:vAlign w:val="center"/>
          </w:tcPr>
          <w:p w14:paraId="772412F5" w14:textId="7F0E1366" w:rsidR="00892DD7" w:rsidRPr="00781112" w:rsidRDefault="00892DD7" w:rsidP="00892DD7">
            <w:pPr>
              <w:jc w:val="center"/>
              <w:rPr>
                <w:rFonts w:cs="Arial"/>
                <w:color w:val="000000" w:themeColor="text1"/>
                <w:szCs w:val="16"/>
              </w:rPr>
            </w:pPr>
            <w:r w:rsidRPr="00781112">
              <w:rPr>
                <w:rFonts w:cs="Arial"/>
                <w:color w:val="000000" w:themeColor="text1"/>
                <w:szCs w:val="16"/>
              </w:rPr>
              <w:t>Met target</w:t>
            </w:r>
          </w:p>
        </w:tc>
        <w:tc>
          <w:tcPr>
            <w:tcW w:w="466" w:type="pct"/>
            <w:shd w:val="clear" w:color="auto" w:fill="auto"/>
            <w:vAlign w:val="center"/>
          </w:tcPr>
          <w:p w14:paraId="3DF8294E" w14:textId="7BA8B5E3"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bl>
    <w:p w14:paraId="1C3A5E7E" w14:textId="77777777" w:rsidR="007765EF" w:rsidRDefault="007765EF" w:rsidP="00802A46">
      <w:pPr>
        <w:rPr>
          <w:b/>
          <w:color w:val="000000" w:themeColor="text1"/>
        </w:rPr>
      </w:pPr>
    </w:p>
    <w:p w14:paraId="4D76CCAA" w14:textId="77777777" w:rsidR="007A7E93" w:rsidRPr="00781112" w:rsidRDefault="007A7E93" w:rsidP="00FE4611">
      <w:pPr>
        <w:spacing w:before="0" w:after="0" w:line="276" w:lineRule="auto"/>
        <w:rPr>
          <w:b/>
          <w:color w:val="000000" w:themeColor="text1"/>
        </w:rPr>
      </w:pPr>
    </w:p>
    <w:p w14:paraId="68F24FCA" w14:textId="58652C70" w:rsidR="00F17D5E" w:rsidRPr="00781112" w:rsidRDefault="0047313F" w:rsidP="00F17D5E">
      <w:pPr>
        <w:rPr>
          <w:b/>
          <w:color w:val="000000" w:themeColor="text1"/>
        </w:rPr>
      </w:pPr>
      <w:r>
        <w:rPr>
          <w:b/>
          <w:color w:val="000000" w:themeColor="text1"/>
        </w:rPr>
        <w:t>FFY 2023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DATAMTH"/>
      </w:tblPr>
      <w:tblGrid>
        <w:gridCol w:w="715"/>
        <w:gridCol w:w="1080"/>
        <w:gridCol w:w="1982"/>
        <w:gridCol w:w="1960"/>
        <w:gridCol w:w="1011"/>
        <w:gridCol w:w="1010"/>
        <w:gridCol w:w="1010"/>
        <w:gridCol w:w="1010"/>
        <w:gridCol w:w="1012"/>
      </w:tblGrid>
      <w:tr w:rsidR="0047313F" w:rsidRPr="00781112" w14:paraId="681A67CD" w14:textId="77777777" w:rsidTr="00360DD6">
        <w:trPr>
          <w:tblHeader/>
        </w:trPr>
        <w:tc>
          <w:tcPr>
            <w:tcW w:w="331" w:type="pct"/>
            <w:shd w:val="clear" w:color="auto" w:fill="auto"/>
            <w:vAlign w:val="bottom"/>
          </w:tcPr>
          <w:p w14:paraId="32EBDF09" w14:textId="77777777" w:rsidR="0047313F" w:rsidRPr="00781112" w:rsidRDefault="0047313F" w:rsidP="0047313F">
            <w:pPr>
              <w:jc w:val="center"/>
              <w:rPr>
                <w:b/>
                <w:color w:val="000000" w:themeColor="text1"/>
              </w:rPr>
            </w:pPr>
            <w:r w:rsidRPr="00781112">
              <w:rPr>
                <w:b/>
                <w:color w:val="000000" w:themeColor="text1"/>
              </w:rPr>
              <w:t>Group</w:t>
            </w:r>
          </w:p>
        </w:tc>
        <w:tc>
          <w:tcPr>
            <w:tcW w:w="500" w:type="pct"/>
            <w:shd w:val="clear" w:color="auto" w:fill="auto"/>
            <w:vAlign w:val="bottom"/>
          </w:tcPr>
          <w:p w14:paraId="1DD83044" w14:textId="77777777" w:rsidR="0047313F" w:rsidRPr="00781112" w:rsidRDefault="0047313F" w:rsidP="0047313F">
            <w:pPr>
              <w:jc w:val="center"/>
              <w:rPr>
                <w:b/>
                <w:color w:val="000000" w:themeColor="text1"/>
              </w:rPr>
            </w:pPr>
            <w:r w:rsidRPr="00781112">
              <w:rPr>
                <w:b/>
                <w:color w:val="000000" w:themeColor="text1"/>
              </w:rPr>
              <w:t>Group Name</w:t>
            </w:r>
          </w:p>
        </w:tc>
        <w:tc>
          <w:tcPr>
            <w:tcW w:w="918" w:type="pct"/>
            <w:shd w:val="clear" w:color="auto" w:fill="auto"/>
            <w:vAlign w:val="bottom"/>
          </w:tcPr>
          <w:p w14:paraId="09C06BEF" w14:textId="77777777" w:rsidR="0047313F" w:rsidRPr="00781112" w:rsidRDefault="0047313F" w:rsidP="0047313F">
            <w:pPr>
              <w:jc w:val="center"/>
              <w:rPr>
                <w:b/>
                <w:color w:val="000000" w:themeColor="text1"/>
              </w:rPr>
            </w:pPr>
            <w:r w:rsidRPr="00781112">
              <w:rPr>
                <w:b/>
                <w:color w:val="000000" w:themeColor="text1"/>
              </w:rPr>
              <w:t>Number of Children with IEPs Participating</w:t>
            </w:r>
          </w:p>
        </w:tc>
        <w:tc>
          <w:tcPr>
            <w:tcW w:w="908" w:type="pct"/>
            <w:shd w:val="clear" w:color="auto" w:fill="auto"/>
            <w:vAlign w:val="bottom"/>
          </w:tcPr>
          <w:p w14:paraId="35F97163" w14:textId="77777777" w:rsidR="0047313F" w:rsidRPr="00781112" w:rsidRDefault="0047313F" w:rsidP="0047313F">
            <w:pPr>
              <w:jc w:val="center"/>
              <w:rPr>
                <w:b/>
                <w:color w:val="000000" w:themeColor="text1"/>
              </w:rPr>
            </w:pPr>
            <w:r w:rsidRPr="00781112">
              <w:rPr>
                <w:b/>
                <w:color w:val="000000" w:themeColor="text1"/>
              </w:rPr>
              <w:t>Number of Children with IEPs</w:t>
            </w:r>
          </w:p>
        </w:tc>
        <w:tc>
          <w:tcPr>
            <w:tcW w:w="468" w:type="pct"/>
            <w:shd w:val="clear" w:color="auto" w:fill="auto"/>
            <w:vAlign w:val="bottom"/>
          </w:tcPr>
          <w:p w14:paraId="3D7FBA55" w14:textId="3C66A3FF" w:rsidR="0047313F" w:rsidRPr="00073BD7" w:rsidRDefault="0047313F" w:rsidP="0047313F">
            <w:pPr>
              <w:jc w:val="center"/>
              <w:rPr>
                <w:b/>
                <w:bCs/>
                <w:color w:val="000000" w:themeColor="text1"/>
              </w:rPr>
            </w:pPr>
            <w:r w:rsidRPr="00073BD7">
              <w:rPr>
                <w:b/>
                <w:bCs/>
              </w:rPr>
              <w:t>FFY 2022 Data</w:t>
            </w:r>
          </w:p>
        </w:tc>
        <w:tc>
          <w:tcPr>
            <w:tcW w:w="468" w:type="pct"/>
            <w:shd w:val="clear" w:color="auto" w:fill="auto"/>
            <w:vAlign w:val="bottom"/>
          </w:tcPr>
          <w:p w14:paraId="681C20C6" w14:textId="48AE4946" w:rsidR="0047313F" w:rsidRPr="00073BD7" w:rsidRDefault="0047313F" w:rsidP="0047313F">
            <w:pPr>
              <w:jc w:val="center"/>
              <w:rPr>
                <w:b/>
                <w:bCs/>
                <w:color w:val="000000" w:themeColor="text1"/>
              </w:rPr>
            </w:pPr>
            <w:r w:rsidRPr="00073BD7">
              <w:rPr>
                <w:b/>
                <w:bCs/>
              </w:rPr>
              <w:t>FFY 2023 Target</w:t>
            </w:r>
          </w:p>
        </w:tc>
        <w:tc>
          <w:tcPr>
            <w:tcW w:w="468" w:type="pct"/>
            <w:shd w:val="clear" w:color="auto" w:fill="auto"/>
            <w:vAlign w:val="bottom"/>
          </w:tcPr>
          <w:p w14:paraId="1A223A3A" w14:textId="613DE1E3" w:rsidR="0047313F" w:rsidRPr="00073BD7" w:rsidRDefault="0047313F" w:rsidP="0047313F">
            <w:pPr>
              <w:jc w:val="center"/>
              <w:rPr>
                <w:b/>
                <w:bCs/>
                <w:color w:val="000000" w:themeColor="text1"/>
              </w:rPr>
            </w:pPr>
            <w:r w:rsidRPr="00073BD7">
              <w:rPr>
                <w:b/>
                <w:bCs/>
              </w:rPr>
              <w:t>FFY 2023 Data</w:t>
            </w:r>
          </w:p>
        </w:tc>
        <w:tc>
          <w:tcPr>
            <w:tcW w:w="468" w:type="pct"/>
            <w:shd w:val="clear" w:color="auto" w:fill="auto"/>
            <w:vAlign w:val="bottom"/>
          </w:tcPr>
          <w:p w14:paraId="2E2084EF" w14:textId="77777777" w:rsidR="0047313F" w:rsidRPr="00781112" w:rsidRDefault="0047313F" w:rsidP="0047313F">
            <w:pPr>
              <w:jc w:val="center"/>
              <w:rPr>
                <w:b/>
                <w:color w:val="000000" w:themeColor="text1"/>
              </w:rPr>
            </w:pPr>
            <w:r w:rsidRPr="00781112">
              <w:rPr>
                <w:b/>
                <w:color w:val="000000" w:themeColor="text1"/>
              </w:rPr>
              <w:t>Status</w:t>
            </w:r>
          </w:p>
        </w:tc>
        <w:tc>
          <w:tcPr>
            <w:tcW w:w="469" w:type="pct"/>
            <w:shd w:val="clear" w:color="auto" w:fill="auto"/>
            <w:vAlign w:val="bottom"/>
          </w:tcPr>
          <w:p w14:paraId="309891B4" w14:textId="77777777" w:rsidR="0047313F" w:rsidRPr="00781112" w:rsidRDefault="0047313F" w:rsidP="0047313F">
            <w:pPr>
              <w:jc w:val="center"/>
              <w:rPr>
                <w:b/>
                <w:color w:val="000000" w:themeColor="text1"/>
              </w:rPr>
            </w:pPr>
            <w:r w:rsidRPr="00781112">
              <w:rPr>
                <w:b/>
                <w:color w:val="000000" w:themeColor="text1"/>
              </w:rPr>
              <w:t>Slippage</w:t>
            </w:r>
          </w:p>
        </w:tc>
      </w:tr>
      <w:tr w:rsidR="00396BA3" w:rsidRPr="00781112" w14:paraId="1BDE8C09" w14:textId="77777777" w:rsidTr="00396BA3">
        <w:tc>
          <w:tcPr>
            <w:tcW w:w="331" w:type="pct"/>
            <w:shd w:val="clear" w:color="auto" w:fill="auto"/>
            <w:vAlign w:val="center"/>
          </w:tcPr>
          <w:p w14:paraId="580D1344"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A</w:t>
            </w:r>
          </w:p>
        </w:tc>
        <w:tc>
          <w:tcPr>
            <w:tcW w:w="500" w:type="pct"/>
            <w:shd w:val="clear" w:color="auto" w:fill="auto"/>
            <w:vAlign w:val="center"/>
          </w:tcPr>
          <w:p w14:paraId="08A8F1D8" w14:textId="4D1DB180"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452B2A6" w14:textId="0D3478E5" w:rsidR="002C43CF" w:rsidRPr="00781112" w:rsidRDefault="002C43CF" w:rsidP="002C43CF">
            <w:pPr>
              <w:jc w:val="center"/>
              <w:rPr>
                <w:rFonts w:cs="Arial"/>
                <w:color w:val="000000" w:themeColor="text1"/>
                <w:szCs w:val="16"/>
              </w:rPr>
            </w:pPr>
            <w:r w:rsidRPr="00781112">
              <w:rPr>
                <w:rFonts w:cs="Arial"/>
                <w:color w:val="000000"/>
                <w:szCs w:val="16"/>
              </w:rPr>
              <w:t>4,183</w:t>
            </w:r>
          </w:p>
        </w:tc>
        <w:tc>
          <w:tcPr>
            <w:tcW w:w="908" w:type="pct"/>
            <w:shd w:val="clear" w:color="auto" w:fill="auto"/>
            <w:vAlign w:val="center"/>
          </w:tcPr>
          <w:p w14:paraId="039C7994" w14:textId="2644FC1F" w:rsidR="002C43CF" w:rsidRPr="00781112" w:rsidRDefault="002C43CF" w:rsidP="002C43CF">
            <w:pPr>
              <w:jc w:val="center"/>
              <w:rPr>
                <w:rFonts w:cs="Arial"/>
                <w:color w:val="000000" w:themeColor="text1"/>
                <w:szCs w:val="16"/>
              </w:rPr>
            </w:pPr>
            <w:r w:rsidRPr="00781112">
              <w:rPr>
                <w:rFonts w:cs="Arial"/>
                <w:color w:val="000000" w:themeColor="text1"/>
                <w:szCs w:val="16"/>
              </w:rPr>
              <w:t>4,219</w:t>
            </w:r>
          </w:p>
        </w:tc>
        <w:tc>
          <w:tcPr>
            <w:tcW w:w="468" w:type="pct"/>
            <w:shd w:val="clear" w:color="auto" w:fill="auto"/>
            <w:vAlign w:val="center"/>
          </w:tcPr>
          <w:p w14:paraId="24F0CC21" w14:textId="70B062C4" w:rsidR="002C43CF" w:rsidRPr="00781112" w:rsidRDefault="002C43CF" w:rsidP="002C43CF">
            <w:pPr>
              <w:jc w:val="center"/>
              <w:rPr>
                <w:rFonts w:cs="Arial"/>
                <w:color w:val="000000" w:themeColor="text1"/>
                <w:szCs w:val="16"/>
              </w:rPr>
            </w:pPr>
            <w:r w:rsidRPr="00781112">
              <w:rPr>
                <w:rFonts w:cs="Arial"/>
                <w:color w:val="000000" w:themeColor="text1"/>
                <w:szCs w:val="16"/>
              </w:rPr>
              <w:t>99.98%</w:t>
            </w:r>
          </w:p>
        </w:tc>
        <w:tc>
          <w:tcPr>
            <w:tcW w:w="468" w:type="pct"/>
            <w:shd w:val="clear" w:color="auto" w:fill="auto"/>
            <w:vAlign w:val="center"/>
          </w:tcPr>
          <w:p w14:paraId="44D3CBA8" w14:textId="716B803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0C38B251" w14:textId="6362D41B" w:rsidR="002C43CF" w:rsidRPr="00781112" w:rsidRDefault="002C43CF" w:rsidP="002C43CF">
            <w:pPr>
              <w:jc w:val="center"/>
              <w:rPr>
                <w:rFonts w:cs="Arial"/>
                <w:color w:val="000000" w:themeColor="text1"/>
                <w:szCs w:val="16"/>
              </w:rPr>
            </w:pPr>
            <w:r w:rsidRPr="00781112">
              <w:rPr>
                <w:rFonts w:cs="Arial"/>
                <w:color w:val="000000" w:themeColor="text1"/>
                <w:szCs w:val="16"/>
              </w:rPr>
              <w:t>99.15%</w:t>
            </w:r>
          </w:p>
        </w:tc>
        <w:tc>
          <w:tcPr>
            <w:tcW w:w="468" w:type="pct"/>
            <w:shd w:val="clear" w:color="auto" w:fill="auto"/>
            <w:vAlign w:val="center"/>
          </w:tcPr>
          <w:p w14:paraId="761D8F6F" w14:textId="46B9913C" w:rsidR="002C43CF" w:rsidRPr="00781112" w:rsidRDefault="002C43CF" w:rsidP="002C43CF">
            <w:pPr>
              <w:jc w:val="center"/>
              <w:rPr>
                <w:rFonts w:cs="Arial"/>
                <w:color w:val="000000" w:themeColor="text1"/>
                <w:szCs w:val="16"/>
              </w:rPr>
            </w:pPr>
            <w:r w:rsidRPr="00781112">
              <w:rPr>
                <w:rFonts w:cs="Arial"/>
                <w:color w:val="000000" w:themeColor="text1"/>
                <w:szCs w:val="16"/>
              </w:rPr>
              <w:t>Met target</w:t>
            </w:r>
          </w:p>
        </w:tc>
        <w:tc>
          <w:tcPr>
            <w:tcW w:w="469" w:type="pct"/>
            <w:shd w:val="clear" w:color="auto" w:fill="auto"/>
            <w:vAlign w:val="center"/>
          </w:tcPr>
          <w:p w14:paraId="67149680" w14:textId="213ADF64"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1922D3D8" w14:textId="77777777" w:rsidTr="00396BA3">
        <w:tc>
          <w:tcPr>
            <w:tcW w:w="331" w:type="pct"/>
            <w:shd w:val="clear" w:color="auto" w:fill="auto"/>
            <w:vAlign w:val="center"/>
          </w:tcPr>
          <w:p w14:paraId="43AEFF73"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B</w:t>
            </w:r>
          </w:p>
        </w:tc>
        <w:tc>
          <w:tcPr>
            <w:tcW w:w="500" w:type="pct"/>
            <w:shd w:val="clear" w:color="auto" w:fill="auto"/>
            <w:vAlign w:val="center"/>
          </w:tcPr>
          <w:p w14:paraId="2B8AB1E0" w14:textId="3F093CFB"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02D6A2B7" w14:textId="310E9DB8" w:rsidR="002C43CF" w:rsidRPr="00781112" w:rsidRDefault="002C43CF" w:rsidP="002C43CF">
            <w:pPr>
              <w:jc w:val="center"/>
              <w:rPr>
                <w:rFonts w:cs="Arial"/>
                <w:color w:val="000000" w:themeColor="text1"/>
                <w:szCs w:val="16"/>
              </w:rPr>
            </w:pPr>
            <w:r w:rsidRPr="00781112">
              <w:rPr>
                <w:rFonts w:cs="Arial"/>
                <w:color w:val="000000"/>
                <w:szCs w:val="16"/>
              </w:rPr>
              <w:t>3,391</w:t>
            </w:r>
          </w:p>
        </w:tc>
        <w:tc>
          <w:tcPr>
            <w:tcW w:w="908" w:type="pct"/>
            <w:shd w:val="clear" w:color="auto" w:fill="auto"/>
            <w:vAlign w:val="center"/>
          </w:tcPr>
          <w:p w14:paraId="7F2CECC4" w14:textId="3F890748" w:rsidR="002C43CF" w:rsidRPr="00781112" w:rsidRDefault="002C43CF" w:rsidP="002C43CF">
            <w:pPr>
              <w:jc w:val="center"/>
              <w:rPr>
                <w:rFonts w:cs="Arial"/>
                <w:color w:val="000000" w:themeColor="text1"/>
                <w:szCs w:val="16"/>
              </w:rPr>
            </w:pPr>
            <w:r w:rsidRPr="00781112">
              <w:rPr>
                <w:rFonts w:cs="Arial"/>
                <w:color w:val="000000" w:themeColor="text1"/>
                <w:szCs w:val="16"/>
              </w:rPr>
              <w:t>3,431</w:t>
            </w:r>
          </w:p>
        </w:tc>
        <w:tc>
          <w:tcPr>
            <w:tcW w:w="468" w:type="pct"/>
            <w:shd w:val="clear" w:color="auto" w:fill="auto"/>
            <w:vAlign w:val="center"/>
          </w:tcPr>
          <w:p w14:paraId="79841470" w14:textId="267EECAA" w:rsidR="002C43CF" w:rsidRPr="00781112" w:rsidRDefault="002C43CF" w:rsidP="002C43CF">
            <w:pPr>
              <w:jc w:val="center"/>
              <w:rPr>
                <w:rFonts w:cs="Arial"/>
                <w:color w:val="000000" w:themeColor="text1"/>
                <w:szCs w:val="16"/>
              </w:rPr>
            </w:pPr>
            <w:r w:rsidRPr="00781112">
              <w:rPr>
                <w:rFonts w:cs="Arial"/>
                <w:color w:val="000000" w:themeColor="text1"/>
                <w:szCs w:val="16"/>
              </w:rPr>
              <w:t>99.46%</w:t>
            </w:r>
          </w:p>
        </w:tc>
        <w:tc>
          <w:tcPr>
            <w:tcW w:w="468" w:type="pct"/>
            <w:shd w:val="clear" w:color="auto" w:fill="auto"/>
            <w:vAlign w:val="center"/>
          </w:tcPr>
          <w:p w14:paraId="5B10F98F"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542B9F1" w14:textId="37C83969" w:rsidR="002C43CF" w:rsidRPr="00781112" w:rsidRDefault="002C43CF" w:rsidP="002C43CF">
            <w:pPr>
              <w:jc w:val="center"/>
              <w:rPr>
                <w:rFonts w:cs="Arial"/>
                <w:color w:val="000000" w:themeColor="text1"/>
                <w:szCs w:val="16"/>
              </w:rPr>
            </w:pPr>
            <w:r w:rsidRPr="00781112">
              <w:rPr>
                <w:rFonts w:cs="Arial"/>
                <w:color w:val="000000" w:themeColor="text1"/>
                <w:szCs w:val="16"/>
              </w:rPr>
              <w:t>98.83%</w:t>
            </w:r>
          </w:p>
        </w:tc>
        <w:tc>
          <w:tcPr>
            <w:tcW w:w="468" w:type="pct"/>
            <w:shd w:val="clear" w:color="auto" w:fill="auto"/>
            <w:vAlign w:val="center"/>
          </w:tcPr>
          <w:p w14:paraId="5BE427F8" w14:textId="56EB7A82" w:rsidR="002C43CF" w:rsidRPr="00781112" w:rsidRDefault="002C43CF" w:rsidP="002C43CF">
            <w:pPr>
              <w:jc w:val="center"/>
              <w:rPr>
                <w:rFonts w:cs="Arial"/>
                <w:color w:val="000000" w:themeColor="text1"/>
                <w:szCs w:val="16"/>
              </w:rPr>
            </w:pPr>
            <w:r w:rsidRPr="00781112">
              <w:rPr>
                <w:rFonts w:cs="Arial"/>
                <w:color w:val="000000" w:themeColor="text1"/>
                <w:szCs w:val="16"/>
              </w:rPr>
              <w:t>Met target</w:t>
            </w:r>
          </w:p>
        </w:tc>
        <w:tc>
          <w:tcPr>
            <w:tcW w:w="469" w:type="pct"/>
            <w:shd w:val="clear" w:color="auto" w:fill="auto"/>
            <w:vAlign w:val="center"/>
          </w:tcPr>
          <w:p w14:paraId="5ADE31A1" w14:textId="6021CBB1"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2E1BAFB0" w14:textId="77777777" w:rsidTr="00396BA3">
        <w:tc>
          <w:tcPr>
            <w:tcW w:w="331" w:type="pct"/>
            <w:shd w:val="clear" w:color="auto" w:fill="auto"/>
            <w:vAlign w:val="center"/>
          </w:tcPr>
          <w:p w14:paraId="6825BD97"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C</w:t>
            </w:r>
          </w:p>
        </w:tc>
        <w:tc>
          <w:tcPr>
            <w:tcW w:w="500" w:type="pct"/>
            <w:shd w:val="clear" w:color="auto" w:fill="auto"/>
            <w:vAlign w:val="center"/>
          </w:tcPr>
          <w:p w14:paraId="0AE72592" w14:textId="0F597AAE"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6099121A" w14:textId="18C55BFC" w:rsidR="002C43CF" w:rsidRPr="00781112" w:rsidRDefault="002C43CF" w:rsidP="002C43CF">
            <w:pPr>
              <w:jc w:val="center"/>
              <w:rPr>
                <w:rFonts w:cs="Arial"/>
                <w:color w:val="000000" w:themeColor="text1"/>
                <w:szCs w:val="16"/>
              </w:rPr>
            </w:pPr>
            <w:r w:rsidRPr="00781112">
              <w:rPr>
                <w:rFonts w:cs="Arial"/>
                <w:color w:val="000000"/>
                <w:szCs w:val="16"/>
              </w:rPr>
              <w:t>2,501</w:t>
            </w:r>
          </w:p>
        </w:tc>
        <w:tc>
          <w:tcPr>
            <w:tcW w:w="908" w:type="pct"/>
            <w:shd w:val="clear" w:color="auto" w:fill="auto"/>
            <w:vAlign w:val="center"/>
          </w:tcPr>
          <w:p w14:paraId="6B5854E5" w14:textId="06E91CB7" w:rsidR="002C43CF" w:rsidRPr="00781112" w:rsidRDefault="002C43CF" w:rsidP="002C43CF">
            <w:pPr>
              <w:jc w:val="center"/>
              <w:rPr>
                <w:rFonts w:cs="Arial"/>
                <w:color w:val="000000" w:themeColor="text1"/>
                <w:szCs w:val="16"/>
              </w:rPr>
            </w:pPr>
            <w:r w:rsidRPr="00781112">
              <w:rPr>
                <w:rFonts w:cs="Arial"/>
                <w:color w:val="000000" w:themeColor="text1"/>
                <w:szCs w:val="16"/>
              </w:rPr>
              <w:t>2,631</w:t>
            </w:r>
          </w:p>
        </w:tc>
        <w:tc>
          <w:tcPr>
            <w:tcW w:w="468" w:type="pct"/>
            <w:shd w:val="clear" w:color="auto" w:fill="auto"/>
            <w:vAlign w:val="center"/>
          </w:tcPr>
          <w:p w14:paraId="36BDD326" w14:textId="6EBA39BF" w:rsidR="002C43CF" w:rsidRPr="00781112" w:rsidRDefault="002C43CF" w:rsidP="002C43CF">
            <w:pPr>
              <w:jc w:val="center"/>
              <w:rPr>
                <w:rFonts w:cs="Arial"/>
                <w:color w:val="000000" w:themeColor="text1"/>
                <w:szCs w:val="16"/>
              </w:rPr>
            </w:pPr>
            <w:r w:rsidRPr="00781112">
              <w:rPr>
                <w:rFonts w:cs="Arial"/>
                <w:color w:val="000000" w:themeColor="text1"/>
                <w:szCs w:val="16"/>
              </w:rPr>
              <w:t>88.80%</w:t>
            </w:r>
          </w:p>
        </w:tc>
        <w:tc>
          <w:tcPr>
            <w:tcW w:w="468" w:type="pct"/>
            <w:shd w:val="clear" w:color="auto" w:fill="auto"/>
            <w:vAlign w:val="center"/>
          </w:tcPr>
          <w:p w14:paraId="2B5A1952"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A8A2153" w14:textId="350CE279" w:rsidR="002C43CF" w:rsidRPr="00781112" w:rsidRDefault="002C43CF" w:rsidP="002C43CF">
            <w:pPr>
              <w:jc w:val="center"/>
              <w:rPr>
                <w:rFonts w:cs="Arial"/>
                <w:color w:val="000000" w:themeColor="text1"/>
                <w:szCs w:val="16"/>
              </w:rPr>
            </w:pPr>
            <w:r w:rsidRPr="00781112">
              <w:rPr>
                <w:rFonts w:cs="Arial"/>
                <w:color w:val="000000" w:themeColor="text1"/>
                <w:szCs w:val="16"/>
              </w:rPr>
              <w:t>95.06%</w:t>
            </w:r>
          </w:p>
        </w:tc>
        <w:tc>
          <w:tcPr>
            <w:tcW w:w="468" w:type="pct"/>
            <w:shd w:val="clear" w:color="auto" w:fill="auto"/>
            <w:vAlign w:val="center"/>
          </w:tcPr>
          <w:p w14:paraId="602D5261" w14:textId="54A65BCD" w:rsidR="002C43CF" w:rsidRPr="00781112" w:rsidRDefault="002C43CF" w:rsidP="002C43CF">
            <w:pPr>
              <w:jc w:val="center"/>
              <w:rPr>
                <w:rFonts w:cs="Arial"/>
                <w:color w:val="000000" w:themeColor="text1"/>
                <w:szCs w:val="16"/>
              </w:rPr>
            </w:pPr>
            <w:r w:rsidRPr="00781112">
              <w:rPr>
                <w:rFonts w:cs="Arial"/>
                <w:color w:val="000000" w:themeColor="text1"/>
                <w:szCs w:val="16"/>
              </w:rPr>
              <w:t>Met target</w:t>
            </w:r>
          </w:p>
        </w:tc>
        <w:tc>
          <w:tcPr>
            <w:tcW w:w="469" w:type="pct"/>
            <w:shd w:val="clear" w:color="auto" w:fill="auto"/>
            <w:vAlign w:val="center"/>
          </w:tcPr>
          <w:p w14:paraId="45BE3C4A" w14:textId="1F06447F"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bl>
    <w:p w14:paraId="0CDF2DF2" w14:textId="7E4745D3" w:rsidR="00F17D5E" w:rsidRPr="00781112" w:rsidRDefault="00F17D5E" w:rsidP="00FE4611">
      <w:pPr>
        <w:spacing w:before="0" w:after="0" w:line="276" w:lineRule="auto"/>
        <w:rPr>
          <w:b/>
          <w:color w:val="000000" w:themeColor="text1"/>
        </w:rPr>
      </w:pPr>
    </w:p>
    <w:p w14:paraId="13A59EA6" w14:textId="77777777" w:rsidR="00A134AA" w:rsidRPr="00781112" w:rsidRDefault="00A134AA" w:rsidP="00A134AA">
      <w:pPr>
        <w:rPr>
          <w:color w:val="000000" w:themeColor="text1"/>
        </w:rPr>
      </w:pPr>
      <w:r w:rsidRPr="00781112">
        <w:rPr>
          <w:b/>
          <w:color w:val="000000" w:themeColor="text1"/>
        </w:rPr>
        <w:t>Regulatory Information</w:t>
      </w:r>
    </w:p>
    <w:p w14:paraId="53C4149B" w14:textId="77777777" w:rsidR="00A134AA" w:rsidRPr="00781112" w:rsidRDefault="00A134AA" w:rsidP="00A134AA">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Pr="00781112">
        <w:rPr>
          <w:rFonts w:cs="Arial"/>
          <w:b/>
          <w:color w:val="000000" w:themeColor="text1"/>
          <w:szCs w:val="16"/>
          <w:shd w:val="clear" w:color="auto" w:fill="FFFFFF"/>
        </w:rPr>
        <w:t xml:space="preserve"> </w:t>
      </w:r>
    </w:p>
    <w:p w14:paraId="24575108" w14:textId="77777777" w:rsidR="00A134AA" w:rsidRPr="00781112" w:rsidRDefault="00A134AA" w:rsidP="00A134AA">
      <w:pPr>
        <w:rPr>
          <w:color w:val="000000" w:themeColor="text1"/>
        </w:rPr>
      </w:pPr>
    </w:p>
    <w:p w14:paraId="44CC67C3" w14:textId="77777777" w:rsidR="00A134AA" w:rsidRPr="00781112" w:rsidRDefault="00A134AA" w:rsidP="00A134AA">
      <w:pPr>
        <w:rPr>
          <w:color w:val="000000" w:themeColor="text1"/>
        </w:rPr>
      </w:pPr>
      <w:r w:rsidRPr="00781112">
        <w:rPr>
          <w:b/>
          <w:color w:val="000000" w:themeColor="text1"/>
        </w:rPr>
        <w:t>Public Reporting Information</w:t>
      </w:r>
    </w:p>
    <w:p w14:paraId="70B58518" w14:textId="77777777" w:rsidR="00A134AA" w:rsidRPr="00781112" w:rsidRDefault="00A134AA" w:rsidP="00A134AA">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7EBFE113" w14:textId="047A82C9" w:rsidR="00A134AA" w:rsidRPr="00781112" w:rsidRDefault="00A134AA" w:rsidP="00A134AA">
      <w:pPr>
        <w:rPr>
          <w:rFonts w:cs="Arial"/>
          <w:color w:val="000000" w:themeColor="text1"/>
          <w:szCs w:val="16"/>
        </w:rPr>
      </w:pPr>
      <w:r w:rsidRPr="00781112">
        <w:rPr>
          <w:rFonts w:cs="Arial"/>
          <w:color w:val="000000" w:themeColor="text1"/>
          <w:szCs w:val="16"/>
        </w:rPr>
        <w:t>West Virginia uses the General Summative Assessment (GSA) to determine grade-level academic achievement standard proficiency in reading and math and the Alternate Summative Assessment (ASA) to determine alternate academic achievement standard proficiency in reading and math.</w:t>
      </w:r>
      <w:r w:rsidRPr="00781112">
        <w:rPr>
          <w:rFonts w:cs="Arial"/>
          <w:color w:val="000000" w:themeColor="text1"/>
          <w:szCs w:val="16"/>
        </w:rPr>
        <w:br/>
      </w:r>
      <w:r w:rsidRPr="00781112">
        <w:rPr>
          <w:rFonts w:cs="Arial"/>
          <w:color w:val="000000" w:themeColor="text1"/>
          <w:szCs w:val="16"/>
        </w:rPr>
        <w:br/>
        <w:t>PARTICIPATION AND PERFORMANCE – ALL STUDENTS – REGULAR ASSESSMENTS</w:t>
      </w:r>
      <w:r w:rsidRPr="00781112">
        <w:rPr>
          <w:rFonts w:cs="Arial"/>
          <w:color w:val="000000" w:themeColor="text1"/>
          <w:szCs w:val="16"/>
        </w:rPr>
        <w:br/>
        <w:t>— https://zoomwv.k12.wv.us/Dashboard/dashboard/7310</w:t>
      </w:r>
      <w:r w:rsidRPr="00781112">
        <w:rPr>
          <w:rFonts w:cs="Arial"/>
          <w:color w:val="000000" w:themeColor="text1"/>
          <w:szCs w:val="16"/>
        </w:rPr>
        <w:br/>
        <w:t>— From the ZoomWV homepage, use the breadcrumbs: ZoomWV &gt; State Assessment Results &gt; State Assessment Subgroups</w:t>
      </w:r>
      <w:r w:rsidRPr="00781112">
        <w:rPr>
          <w:rFonts w:cs="Arial"/>
          <w:color w:val="000000" w:themeColor="text1"/>
          <w:szCs w:val="16"/>
        </w:rPr>
        <w:br/>
        <w:t>Make sure the following filters are set:</w:t>
      </w:r>
      <w:r w:rsidRPr="00781112">
        <w:rPr>
          <w:rFonts w:cs="Arial"/>
          <w:color w:val="000000" w:themeColor="text1"/>
          <w:szCs w:val="16"/>
        </w:rPr>
        <w:br/>
        <w:t>—School Year – 2023-2024</w:t>
      </w:r>
      <w:r w:rsidRPr="00781112">
        <w:rPr>
          <w:rFonts w:cs="Arial"/>
          <w:color w:val="000000" w:themeColor="text1"/>
          <w:szCs w:val="16"/>
        </w:rPr>
        <w:br/>
        <w:t>—District/County – All Districts</w:t>
      </w:r>
      <w:r w:rsidRPr="00781112">
        <w:rPr>
          <w:rFonts w:cs="Arial"/>
          <w:color w:val="000000" w:themeColor="text1"/>
          <w:szCs w:val="16"/>
        </w:rPr>
        <w:br/>
        <w:t>—School – All Schools</w:t>
      </w:r>
      <w:r w:rsidRPr="00781112">
        <w:rPr>
          <w:rFonts w:cs="Arial"/>
          <w:color w:val="000000" w:themeColor="text1"/>
          <w:szCs w:val="16"/>
        </w:rPr>
        <w:br/>
        <w:t>—Grade Level – All grades (or set to check each grade that must be reported 4, 8, 11 separately)</w:t>
      </w:r>
      <w:r w:rsidRPr="00781112">
        <w:rPr>
          <w:rFonts w:cs="Arial"/>
          <w:color w:val="000000" w:themeColor="text1"/>
          <w:szCs w:val="16"/>
        </w:rPr>
        <w:br/>
        <w:t>—Population Group – Status</w:t>
      </w:r>
      <w:r w:rsidRPr="00781112">
        <w:rPr>
          <w:rFonts w:cs="Arial"/>
          <w:color w:val="000000" w:themeColor="text1"/>
          <w:szCs w:val="16"/>
        </w:rPr>
        <w:br/>
      </w:r>
      <w:r w:rsidRPr="00781112">
        <w:rPr>
          <w:rFonts w:cs="Arial"/>
          <w:color w:val="000000" w:themeColor="text1"/>
          <w:szCs w:val="16"/>
        </w:rPr>
        <w:br/>
        <w:t>PARTICIPATION AND PERFORMANCE – REGULAR AND ALTERNATE ASSESSMENTS</w:t>
      </w:r>
      <w:r w:rsidRPr="00781112">
        <w:rPr>
          <w:rFonts w:cs="Arial"/>
          <w:color w:val="000000" w:themeColor="text1"/>
          <w:szCs w:val="16"/>
        </w:rPr>
        <w:br/>
        <w:t>—https://zoomwv.k12.wv.us/Dashboard/dashboard/6161</w:t>
      </w:r>
      <w:r w:rsidRPr="00781112">
        <w:rPr>
          <w:rFonts w:cs="Arial"/>
          <w:color w:val="000000" w:themeColor="text1"/>
          <w:szCs w:val="16"/>
        </w:rPr>
        <w:br/>
        <w:t>—From the ZoomWV homepage, use the breadcrumbs: ZoomWV &gt; Special Education &gt; Assessment Participation and Performance</w:t>
      </w:r>
      <w:r w:rsidRPr="00781112">
        <w:rPr>
          <w:rFonts w:cs="Arial"/>
          <w:color w:val="000000" w:themeColor="text1"/>
          <w:szCs w:val="16"/>
        </w:rPr>
        <w:br/>
        <w:t>Make sure the following filters are set:</w:t>
      </w:r>
      <w:r w:rsidRPr="00781112">
        <w:rPr>
          <w:rFonts w:cs="Arial"/>
          <w:color w:val="000000" w:themeColor="text1"/>
          <w:szCs w:val="16"/>
        </w:rPr>
        <w:br/>
        <w:t>—School Year – 2023-2024</w:t>
      </w:r>
      <w:r w:rsidRPr="00781112">
        <w:rPr>
          <w:rFonts w:cs="Arial"/>
          <w:color w:val="000000" w:themeColor="text1"/>
          <w:szCs w:val="16"/>
        </w:rPr>
        <w:br/>
        <w:t>—District/County – (999) State Reporting</w:t>
      </w:r>
      <w:r w:rsidRPr="00781112">
        <w:rPr>
          <w:rFonts w:cs="Arial"/>
          <w:color w:val="000000" w:themeColor="text1"/>
          <w:szCs w:val="16"/>
        </w:rPr>
        <w:br/>
        <w:t>—School – All Schools</w:t>
      </w:r>
      <w:r w:rsidRPr="00781112">
        <w:rPr>
          <w:rFonts w:cs="Arial"/>
          <w:color w:val="000000" w:themeColor="text1"/>
          <w:szCs w:val="16"/>
        </w:rPr>
        <w:br/>
      </w:r>
      <w:r w:rsidRPr="00781112">
        <w:rPr>
          <w:rFonts w:cs="Arial"/>
          <w:color w:val="000000" w:themeColor="text1"/>
          <w:szCs w:val="16"/>
        </w:rPr>
        <w:br/>
        <w:t>PERFORMANCE BY CLASS/SUBGROUP – ALTERNATE ASSESSMENTS</w:t>
      </w:r>
      <w:r w:rsidRPr="00781112">
        <w:rPr>
          <w:rFonts w:cs="Arial"/>
          <w:color w:val="000000" w:themeColor="text1"/>
          <w:szCs w:val="16"/>
        </w:rPr>
        <w:br/>
        <w:t>—https://zoomwv.k12.wv.us/Dashboard/dashboard/28307</w:t>
      </w:r>
      <w:r w:rsidRPr="00781112">
        <w:rPr>
          <w:rFonts w:cs="Arial"/>
          <w:color w:val="000000" w:themeColor="text1"/>
          <w:szCs w:val="16"/>
        </w:rPr>
        <w:br/>
        <w:t>—From the ZoomWV homepage, use the breadcrumbs: ZoomWV &gt; Special Education &gt; Alternate Assessment Results</w:t>
      </w:r>
      <w:r w:rsidRPr="00781112">
        <w:rPr>
          <w:rFonts w:cs="Arial"/>
          <w:color w:val="000000" w:themeColor="text1"/>
          <w:szCs w:val="16"/>
        </w:rPr>
        <w:br/>
        <w:t>Data may be filtered by school year.</w:t>
      </w:r>
      <w:r w:rsidRPr="00781112">
        <w:rPr>
          <w:rFonts w:cs="Arial"/>
          <w:color w:val="000000" w:themeColor="text1"/>
          <w:szCs w:val="16"/>
        </w:rPr>
        <w:br/>
      </w:r>
      <w:r w:rsidRPr="00781112">
        <w:rPr>
          <w:rFonts w:cs="Arial"/>
          <w:color w:val="000000" w:themeColor="text1"/>
          <w:szCs w:val="16"/>
        </w:rPr>
        <w:br/>
        <w:t>PARTICIPATION RATES – WITH and WITHOUT ACCOMMODATIONS</w:t>
      </w:r>
      <w:r w:rsidRPr="00781112">
        <w:rPr>
          <w:rFonts w:cs="Arial"/>
          <w:color w:val="000000" w:themeColor="text1"/>
          <w:szCs w:val="16"/>
        </w:rPr>
        <w:br/>
        <w:t>The participation rates for students with and without accommodations in WV are available on the ZoomWV page by using the following breadcrumbs: ZoomWV &gt; Special Education &gt; Links &gt; IDEA Section 618 Public Reporting 2023-2024</w:t>
      </w:r>
      <w:r w:rsidRPr="00781112">
        <w:rPr>
          <w:rFonts w:cs="Arial"/>
          <w:color w:val="000000" w:themeColor="text1"/>
          <w:szCs w:val="16"/>
        </w:rPr>
        <w:br/>
        <w:t>—Participation and proficiency rates of students with IEPs and without IEPs (504 plans) using accommodations and not using accommodations are located under the assessment tab in the IDEA Section 618 Public Reporting 2023-2024 file.</w:t>
      </w:r>
      <w:r w:rsidRPr="00781112">
        <w:rPr>
          <w:rFonts w:cs="Arial"/>
          <w:color w:val="000000" w:themeColor="text1"/>
          <w:szCs w:val="16"/>
        </w:rPr>
        <w:br/>
      </w:r>
      <w:r w:rsidRPr="00781112">
        <w:rPr>
          <w:rFonts w:cs="Arial"/>
          <w:color w:val="000000" w:themeColor="text1"/>
          <w:szCs w:val="16"/>
        </w:rPr>
        <w:br/>
        <w:t>PERFORMANCE BY DISABILITY CATEGORY – REGULAR AND ALTERNATE ASSESSMENTS</w:t>
      </w:r>
      <w:r w:rsidRPr="00781112">
        <w:rPr>
          <w:rFonts w:cs="Arial"/>
          <w:color w:val="000000" w:themeColor="text1"/>
          <w:szCs w:val="16"/>
        </w:rPr>
        <w:br/>
        <w:t>— https://zoomwv.k12.wv.us/Dashboard/dashboard/28285</w:t>
      </w:r>
      <w:r w:rsidRPr="00781112">
        <w:rPr>
          <w:rFonts w:cs="Arial"/>
          <w:color w:val="000000" w:themeColor="text1"/>
          <w:szCs w:val="16"/>
        </w:rPr>
        <w:br/>
        <w:t>From the ZoomWV homepage, use the breadcrumbs: ZoomWV &gt; Special Education &gt; Assessment Results by Student Disabilities</w:t>
      </w:r>
      <w:r w:rsidRPr="00781112">
        <w:rPr>
          <w:rFonts w:cs="Arial"/>
          <w:color w:val="000000" w:themeColor="text1"/>
          <w:szCs w:val="16"/>
        </w:rPr>
        <w:br/>
        <w:t>Data may be filtered by school year and by LEA.</w:t>
      </w:r>
    </w:p>
    <w:p w14:paraId="222AA3BE" w14:textId="77777777" w:rsidR="00A134AA" w:rsidRPr="00781112" w:rsidRDefault="00A134AA" w:rsidP="00A134AA">
      <w:pPr>
        <w:rPr>
          <w:b/>
          <w:color w:val="000000" w:themeColor="text1"/>
        </w:rPr>
      </w:pPr>
      <w:r w:rsidRPr="00781112">
        <w:rPr>
          <w:b/>
          <w:color w:val="000000" w:themeColor="text1"/>
        </w:rPr>
        <w:t>Provide additional information about this indicator (optional)</w:t>
      </w:r>
    </w:p>
    <w:p w14:paraId="58D88404" w14:textId="4712EC2F" w:rsidR="00A134AA" w:rsidRPr="00781112" w:rsidRDefault="00A134AA" w:rsidP="00A134AA">
      <w:pPr>
        <w:rPr>
          <w:rFonts w:cs="Arial"/>
          <w:color w:val="000000" w:themeColor="text1"/>
          <w:szCs w:val="16"/>
        </w:rPr>
      </w:pPr>
    </w:p>
    <w:p w14:paraId="0F4E9E40" w14:textId="77777777" w:rsidR="00B725C2" w:rsidRPr="00781112" w:rsidRDefault="00B725C2" w:rsidP="00FE4611">
      <w:pPr>
        <w:spacing w:before="0" w:after="0" w:line="276" w:lineRule="auto"/>
        <w:rPr>
          <w:b/>
          <w:color w:val="000000" w:themeColor="text1"/>
        </w:rPr>
      </w:pPr>
    </w:p>
    <w:p w14:paraId="3BECD360" w14:textId="5C269016" w:rsidR="00361CFA" w:rsidRPr="00781112" w:rsidRDefault="00361CFA" w:rsidP="00361CFA">
      <w:pPr>
        <w:pStyle w:val="Heading2"/>
      </w:pPr>
      <w:r w:rsidRPr="00781112">
        <w:t>3</w:t>
      </w:r>
      <w:r w:rsidR="00DD4E25" w:rsidRPr="00781112">
        <w:t>A</w:t>
      </w:r>
      <w:r w:rsidRPr="00781112">
        <w:t xml:space="preserve"> - Prior FFY Required Actions</w:t>
      </w:r>
    </w:p>
    <w:p w14:paraId="0775D2DC" w14:textId="32AC04CD" w:rsidR="00361CFA" w:rsidRPr="00781112" w:rsidRDefault="00361CFA" w:rsidP="00361CFA">
      <w:pPr>
        <w:rPr>
          <w:rFonts w:cs="Arial"/>
          <w:color w:val="000000" w:themeColor="text1"/>
          <w:szCs w:val="16"/>
        </w:rPr>
      </w:pPr>
      <w:r w:rsidRPr="00781112">
        <w:rPr>
          <w:rFonts w:cs="Arial"/>
          <w:color w:val="000000" w:themeColor="text1"/>
          <w:szCs w:val="16"/>
        </w:rPr>
        <w:t>None</w:t>
      </w:r>
    </w:p>
    <w:p w14:paraId="743B5B9F" w14:textId="1841BC80" w:rsidR="00361CFA" w:rsidRPr="00781112" w:rsidRDefault="00361CFA" w:rsidP="00361CFA">
      <w:pPr>
        <w:pStyle w:val="Heading2"/>
      </w:pPr>
      <w:r w:rsidRPr="00781112">
        <w:t>3</w:t>
      </w:r>
      <w:r w:rsidR="00DD4E25" w:rsidRPr="00781112">
        <w:t>A</w:t>
      </w:r>
      <w:r w:rsidRPr="00781112">
        <w:t xml:space="preserve"> - OSEP Response</w:t>
      </w:r>
    </w:p>
    <w:p w14:paraId="2436D21B" w14:textId="251DD46D" w:rsidR="00361CFA" w:rsidRPr="00781112" w:rsidRDefault="00361CFA" w:rsidP="00361CFA">
      <w:pPr>
        <w:rPr>
          <w:rFonts w:cs="Arial"/>
          <w:color w:val="000000" w:themeColor="text1"/>
          <w:szCs w:val="16"/>
        </w:rPr>
      </w:pPr>
    </w:p>
    <w:p w14:paraId="66272CA6" w14:textId="0C9AB332" w:rsidR="00361CFA" w:rsidRPr="00781112" w:rsidRDefault="00361CFA" w:rsidP="00361CFA">
      <w:pPr>
        <w:pStyle w:val="Heading2"/>
      </w:pPr>
      <w:r w:rsidRPr="00781112">
        <w:lastRenderedPageBreak/>
        <w:t>3</w:t>
      </w:r>
      <w:r w:rsidR="00DD4E25" w:rsidRPr="00781112">
        <w:t>A</w:t>
      </w:r>
      <w:r w:rsidRPr="00781112">
        <w:t xml:space="preserve"> - Required Actions</w:t>
      </w:r>
    </w:p>
    <w:p w14:paraId="07E8CA27" w14:textId="1D50FC01" w:rsidR="00361CFA" w:rsidRPr="00781112" w:rsidRDefault="00361CFA" w:rsidP="00361CFA">
      <w:pPr>
        <w:rPr>
          <w:rFonts w:cs="Arial"/>
          <w:color w:val="000000" w:themeColor="text1"/>
          <w:szCs w:val="16"/>
        </w:rPr>
      </w:pPr>
    </w:p>
    <w:p w14:paraId="70908578" w14:textId="7D14B33B" w:rsidR="00553A47" w:rsidRPr="00781112" w:rsidRDefault="00553A47">
      <w:pPr>
        <w:spacing w:before="0" w:after="200" w:line="276" w:lineRule="auto"/>
        <w:rPr>
          <w:rFonts w:eastAsiaTheme="majorEastAsia" w:cstheme="majorBidi"/>
          <w:b/>
          <w:bCs/>
          <w:color w:val="000000" w:themeColor="text1"/>
          <w:sz w:val="20"/>
          <w:szCs w:val="16"/>
        </w:rPr>
      </w:pPr>
      <w:r w:rsidRPr="00781112">
        <w:rPr>
          <w:color w:val="000000" w:themeColor="text1"/>
          <w:szCs w:val="16"/>
        </w:rPr>
        <w:br w:type="page"/>
      </w:r>
    </w:p>
    <w:p w14:paraId="4B525DFA" w14:textId="76C42186" w:rsidR="009D378C" w:rsidRPr="00781112" w:rsidRDefault="009D378C" w:rsidP="004369B2">
      <w:pPr>
        <w:pStyle w:val="Heading1"/>
        <w:rPr>
          <w:color w:val="000000" w:themeColor="text1"/>
          <w:sz w:val="22"/>
        </w:rPr>
      </w:pPr>
      <w:r w:rsidRPr="00781112">
        <w:rPr>
          <w:color w:val="000000" w:themeColor="text1"/>
          <w:sz w:val="22"/>
        </w:rPr>
        <w:lastRenderedPageBreak/>
        <w:t xml:space="preserve">Indicator 3B: Proficiency for Children with IEPs (Grade Level Academic Achievement Standards) </w:t>
      </w:r>
      <w:bookmarkEnd w:id="10"/>
      <w:bookmarkEnd w:id="11"/>
    </w:p>
    <w:p w14:paraId="66C662B8" w14:textId="69AA9D25" w:rsidR="007C3C89" w:rsidRPr="002C274F" w:rsidRDefault="007C3C89" w:rsidP="002C274F">
      <w:pPr>
        <w:rPr>
          <w:b/>
          <w:bCs/>
          <w:sz w:val="20"/>
          <w:szCs w:val="20"/>
        </w:rPr>
      </w:pPr>
      <w:bookmarkStart w:id="13" w:name="_Toc392159271"/>
      <w:r w:rsidRPr="002C274F">
        <w:rPr>
          <w:b/>
          <w:bCs/>
          <w:sz w:val="20"/>
          <w:szCs w:val="20"/>
        </w:rPr>
        <w:t>Instructions and Measurement</w:t>
      </w:r>
    </w:p>
    <w:p w14:paraId="31EC23C7" w14:textId="5EB5B691" w:rsidR="0085119E" w:rsidRPr="00781112" w:rsidRDefault="0085119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F546D74" w14:textId="7751A5DC" w:rsidR="005873EB" w:rsidRPr="00781112" w:rsidRDefault="0085119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w:t>
      </w:r>
      <w:r w:rsidR="00131842" w:rsidRPr="00781112">
        <w:rPr>
          <w:rFonts w:cs="Arial"/>
          <w:color w:val="000000" w:themeColor="text1"/>
          <w:szCs w:val="16"/>
        </w:rPr>
        <w:t xml:space="preserve"> </w:t>
      </w:r>
      <w:r w:rsidR="005873EB" w:rsidRPr="00781112">
        <w:rPr>
          <w:rFonts w:cs="Arial"/>
          <w:color w:val="000000" w:themeColor="text1"/>
          <w:szCs w:val="16"/>
        </w:rPr>
        <w:t xml:space="preserve">Participation and performance </w:t>
      </w:r>
      <w:r w:rsidR="00C960B4" w:rsidRPr="00781112">
        <w:rPr>
          <w:rFonts w:cs="Arial"/>
          <w:color w:val="000000" w:themeColor="text1"/>
          <w:szCs w:val="16"/>
        </w:rPr>
        <w:t xml:space="preserve">of </w:t>
      </w:r>
      <w:r w:rsidR="005873EB" w:rsidRPr="00781112">
        <w:rPr>
          <w:rFonts w:cs="Arial"/>
          <w:color w:val="000000" w:themeColor="text1"/>
          <w:szCs w:val="16"/>
        </w:rPr>
        <w:t>children with IEPs on statewide</w:t>
      </w:r>
      <w:r w:rsidR="00A14AEA" w:rsidRPr="00781112">
        <w:rPr>
          <w:rFonts w:cs="Arial"/>
          <w:color w:val="000000" w:themeColor="text1"/>
          <w:szCs w:val="16"/>
        </w:rPr>
        <w:t xml:space="preserve"> assessments:</w:t>
      </w:r>
    </w:p>
    <w:p w14:paraId="4F752398"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A. Participation rate for children with IEPs.</w:t>
      </w:r>
    </w:p>
    <w:p w14:paraId="5BE34F5D"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3A689820"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59A0C855"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08325460" w14:textId="77777777" w:rsidR="001B1437" w:rsidRPr="00781112" w:rsidRDefault="001B1437" w:rsidP="001B1437">
      <w:pPr>
        <w:rPr>
          <w:rFonts w:cs="Arial"/>
          <w:color w:val="000000" w:themeColor="text1"/>
          <w:szCs w:val="16"/>
        </w:rPr>
      </w:pPr>
      <w:r w:rsidRPr="00781112">
        <w:rPr>
          <w:rFonts w:cs="Arial"/>
          <w:color w:val="000000" w:themeColor="text1"/>
          <w:szCs w:val="16"/>
        </w:rPr>
        <w:t>(20 U.S.C. 1416 (a)(3)(A))</w:t>
      </w:r>
    </w:p>
    <w:p w14:paraId="17F5F231" w14:textId="77777777" w:rsidR="005873EB" w:rsidRPr="00781112" w:rsidRDefault="005873EB" w:rsidP="004369B2">
      <w:pPr>
        <w:rPr>
          <w:color w:val="000000" w:themeColor="text1"/>
        </w:rPr>
      </w:pPr>
      <w:r w:rsidRPr="00781112">
        <w:rPr>
          <w:b/>
          <w:color w:val="000000" w:themeColor="text1"/>
        </w:rPr>
        <w:t>Data Source</w:t>
      </w:r>
    </w:p>
    <w:p w14:paraId="74E3B0EF" w14:textId="680BE39A" w:rsidR="00A14AEA" w:rsidRPr="0075451F" w:rsidRDefault="00A14AEA" w:rsidP="002621F6">
      <w:pPr>
        <w:rPr>
          <w:rFonts w:cs="Arial"/>
          <w:szCs w:val="16"/>
        </w:rPr>
      </w:pPr>
      <w:r w:rsidRPr="00781112">
        <w:rPr>
          <w:rFonts w:cs="Arial"/>
          <w:color w:val="000000" w:themeColor="text1"/>
          <w:szCs w:val="16"/>
        </w:rPr>
        <w:t>3B.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w:t>
      </w:r>
      <w:r w:rsidR="001B1437" w:rsidRPr="00781112">
        <w:rPr>
          <w:rFonts w:cs="Arial"/>
          <w:szCs w:val="16"/>
        </w:rPr>
        <w:t>FS175 and 178.</w:t>
      </w:r>
    </w:p>
    <w:p w14:paraId="58C69CDD" w14:textId="77777777" w:rsidR="005873EB" w:rsidRPr="00781112" w:rsidRDefault="005873EB" w:rsidP="004369B2">
      <w:pPr>
        <w:rPr>
          <w:color w:val="000000" w:themeColor="text1"/>
        </w:rPr>
      </w:pPr>
      <w:r w:rsidRPr="00781112">
        <w:rPr>
          <w:b/>
          <w:color w:val="000000" w:themeColor="text1"/>
        </w:rPr>
        <w:t>Measurement</w:t>
      </w:r>
    </w:p>
    <w:p w14:paraId="1B72B9D8" w14:textId="6F544A48" w:rsidR="00781112" w:rsidRPr="00781112" w:rsidRDefault="00A14AEA" w:rsidP="004369B2">
      <w:pPr>
        <w:rPr>
          <w:rFonts w:cs="Arial"/>
          <w:szCs w:val="16"/>
        </w:rPr>
      </w:pPr>
      <w:r w:rsidRPr="00781112">
        <w:rPr>
          <w:rFonts w:cs="Arial"/>
          <w:color w:val="000000" w:themeColor="text1"/>
          <w:szCs w:val="16"/>
        </w:rPr>
        <w:t xml:space="preserve">B. </w:t>
      </w:r>
      <w:r w:rsidR="001B1437" w:rsidRPr="00781112">
        <w:rPr>
          <w:rFonts w:cs="Arial"/>
          <w:szCs w:val="16"/>
        </w:rPr>
        <w:t>Proficiency rate percent = [(# of children with IEPs scoring at or above proficient against grade level academic achievement standards) divided by the (total # of children with IEPs who received a valid score and for whom a proficiency level was assigned for the regular assessment)]. Calculate separately for reading and math. Calculate separately for grades 4, 8, and high school. The proficiency rate includes both children with IEPs enrolled for a full academic year and those not enrolled for a full academic year</w:t>
      </w:r>
      <w:r w:rsidR="00C239D6" w:rsidRPr="00781112">
        <w:rPr>
          <w:rFonts w:cs="Arial"/>
          <w:szCs w:val="16"/>
        </w:rPr>
        <w:t>.</w:t>
      </w:r>
    </w:p>
    <w:p w14:paraId="13B81A44" w14:textId="77777777" w:rsidR="005873EB" w:rsidRPr="00781112" w:rsidRDefault="005873EB" w:rsidP="004369B2">
      <w:pPr>
        <w:rPr>
          <w:color w:val="000000" w:themeColor="text1"/>
        </w:rPr>
      </w:pPr>
      <w:r w:rsidRPr="00781112">
        <w:rPr>
          <w:b/>
          <w:color w:val="000000" w:themeColor="text1"/>
        </w:rPr>
        <w:t>Instructions</w:t>
      </w:r>
    </w:p>
    <w:p w14:paraId="5315B3F5" w14:textId="77777777" w:rsidR="00A14AEA" w:rsidRPr="00781112" w:rsidRDefault="00A14AEA" w:rsidP="002621F6">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02A5AC14" w14:textId="77777777" w:rsidR="00A14AEA" w:rsidRPr="00781112" w:rsidRDefault="00A14AEA" w:rsidP="002621F6">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28C72839" w14:textId="5218735C" w:rsidR="00A14AEA" w:rsidRPr="00781112" w:rsidRDefault="00A14AEA" w:rsidP="002621F6">
      <w:pPr>
        <w:rPr>
          <w:rFonts w:cs="Arial"/>
          <w:color w:val="000000" w:themeColor="text1"/>
          <w:szCs w:val="16"/>
        </w:rPr>
      </w:pPr>
      <w:r w:rsidRPr="00781112">
        <w:rPr>
          <w:rFonts w:cs="Arial"/>
          <w:color w:val="000000" w:themeColor="text1"/>
          <w:szCs w:val="16"/>
        </w:rPr>
        <w:t xml:space="preserve">Indicator 3B: </w:t>
      </w:r>
      <w:r w:rsidR="001B1437" w:rsidRPr="00781112">
        <w:rPr>
          <w:rFonts w:cs="Arial"/>
          <w:szCs w:val="16"/>
        </w:rPr>
        <w:t>Proficiency calculations in this SPP/APR must result in proficiency rates for children with IEPs on the regular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 of testing.</w:t>
      </w:r>
    </w:p>
    <w:p w14:paraId="4CDFE310" w14:textId="3FF11C15" w:rsidR="00677C8C" w:rsidRPr="00781112" w:rsidRDefault="00573F6C" w:rsidP="008645AD">
      <w:pPr>
        <w:pStyle w:val="Heading2"/>
      </w:pPr>
      <w:r w:rsidRPr="00781112">
        <w:t>3B</w:t>
      </w:r>
      <w:r w:rsidR="00BB4FD7" w:rsidRPr="00781112">
        <w:t xml:space="preserve"> </w:t>
      </w:r>
      <w:r w:rsidRPr="00781112">
        <w:t xml:space="preserve">- </w:t>
      </w:r>
      <w:r w:rsidR="00677C8C" w:rsidRPr="00781112">
        <w:t>Indicator Data</w:t>
      </w:r>
    </w:p>
    <w:bookmarkEnd w:id="13"/>
    <w:p w14:paraId="515AEF58" w14:textId="26D7E3C2" w:rsidR="00E539AB" w:rsidRPr="00781112" w:rsidRDefault="00E539AB" w:rsidP="004369B2">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HISTDATA"/>
      </w:tblPr>
      <w:tblGrid>
        <w:gridCol w:w="1588"/>
        <w:gridCol w:w="1588"/>
        <w:gridCol w:w="2538"/>
        <w:gridCol w:w="2538"/>
        <w:gridCol w:w="2538"/>
      </w:tblGrid>
      <w:tr w:rsidR="00E87854" w:rsidRPr="00781112" w14:paraId="12417720" w14:textId="77777777" w:rsidTr="009725F4">
        <w:trPr>
          <w:trHeight w:val="368"/>
          <w:tblHeader/>
        </w:trPr>
        <w:tc>
          <w:tcPr>
            <w:tcW w:w="736" w:type="pct"/>
            <w:tcBorders>
              <w:top w:val="single" w:sz="4" w:space="0" w:color="auto"/>
            </w:tcBorders>
            <w:vAlign w:val="center"/>
          </w:tcPr>
          <w:p w14:paraId="7EC3C39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3734B1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7B7E2CD1"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328A387A"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7BA55F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Baseline Data</w:t>
            </w:r>
          </w:p>
        </w:tc>
      </w:tr>
      <w:tr w:rsidR="00E87854" w:rsidRPr="00781112" w14:paraId="4037BAD8" w14:textId="77777777" w:rsidTr="00360DD6">
        <w:trPr>
          <w:trHeight w:val="368"/>
        </w:trPr>
        <w:tc>
          <w:tcPr>
            <w:tcW w:w="736" w:type="pct"/>
            <w:vAlign w:val="center"/>
          </w:tcPr>
          <w:p w14:paraId="7483D39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589D2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62918043" w14:textId="606DEBBA" w:rsidR="00E87854" w:rsidRPr="00781112" w:rsidRDefault="00E87854"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2F272CC" w14:textId="71E3B85C"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2A2A9F8D" w14:textId="7B983B8C" w:rsidR="00E87854" w:rsidRPr="00781112" w:rsidRDefault="00E87854" w:rsidP="00827FF4">
            <w:pPr>
              <w:spacing w:before="0" w:after="0"/>
              <w:jc w:val="center"/>
              <w:rPr>
                <w:color w:val="000000" w:themeColor="text1"/>
              </w:rPr>
            </w:pPr>
            <w:r w:rsidRPr="00781112">
              <w:rPr>
                <w:rFonts w:cs="Arial"/>
                <w:color w:val="000000" w:themeColor="text1"/>
                <w:szCs w:val="16"/>
              </w:rPr>
              <w:t>15.87%</w:t>
            </w:r>
          </w:p>
        </w:tc>
      </w:tr>
      <w:tr w:rsidR="00E87854" w:rsidRPr="00781112" w14:paraId="60278D71" w14:textId="77777777" w:rsidTr="00360DD6">
        <w:trPr>
          <w:trHeight w:val="368"/>
        </w:trPr>
        <w:tc>
          <w:tcPr>
            <w:tcW w:w="736" w:type="pct"/>
            <w:vAlign w:val="center"/>
          </w:tcPr>
          <w:p w14:paraId="3507BA0D"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4794670"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B8FF5A1" w14:textId="37E21D7F"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1CCEEB25" w14:textId="1C22E745"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491FB31F" w14:textId="070EC95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6.68%</w:t>
            </w:r>
          </w:p>
        </w:tc>
      </w:tr>
      <w:tr w:rsidR="00E87854" w:rsidRPr="00781112" w14:paraId="2E17CFEC" w14:textId="77777777" w:rsidTr="00360DD6">
        <w:trPr>
          <w:trHeight w:val="368"/>
        </w:trPr>
        <w:tc>
          <w:tcPr>
            <w:tcW w:w="736" w:type="pct"/>
            <w:vAlign w:val="center"/>
          </w:tcPr>
          <w:p w14:paraId="686A187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9389293"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A5BDDFB" w14:textId="2058F5F3" w:rsidR="00E87854" w:rsidRPr="00781112" w:rsidRDefault="00E87854"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15FB216" w14:textId="6B3B7253"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5F3FCFE8" w14:textId="7784B72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9.24%</w:t>
            </w:r>
          </w:p>
        </w:tc>
      </w:tr>
      <w:tr w:rsidR="00E87854" w:rsidRPr="00781112" w14:paraId="2DE181AC" w14:textId="77777777" w:rsidTr="00360DD6">
        <w:trPr>
          <w:trHeight w:val="368"/>
        </w:trPr>
        <w:tc>
          <w:tcPr>
            <w:tcW w:w="736" w:type="pct"/>
            <w:vAlign w:val="center"/>
          </w:tcPr>
          <w:p w14:paraId="62906600"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58A602F6"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3CC85F5" w14:textId="434951B5"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83C0C1B" w14:textId="1213FD2B"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02A92448" w14:textId="0F5F274D"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17.53%</w:t>
            </w:r>
          </w:p>
        </w:tc>
      </w:tr>
      <w:tr w:rsidR="00E87854" w:rsidRPr="00781112" w14:paraId="15831A3C" w14:textId="77777777" w:rsidTr="00360DD6">
        <w:trPr>
          <w:trHeight w:val="368"/>
        </w:trPr>
        <w:tc>
          <w:tcPr>
            <w:tcW w:w="736" w:type="pct"/>
            <w:vAlign w:val="center"/>
          </w:tcPr>
          <w:p w14:paraId="3F38811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75BC7B5C"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AD560DF" w14:textId="6ED06A7D" w:rsidR="00E87854" w:rsidRPr="00781112" w:rsidRDefault="00E87854"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6F22CF1" w14:textId="7783498C"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53B302E6" w14:textId="2F431F68"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5.42%</w:t>
            </w:r>
          </w:p>
        </w:tc>
      </w:tr>
      <w:tr w:rsidR="00E87854" w:rsidRPr="00781112" w14:paraId="5866D3B1" w14:textId="77777777" w:rsidTr="00360DD6">
        <w:trPr>
          <w:trHeight w:val="368"/>
        </w:trPr>
        <w:tc>
          <w:tcPr>
            <w:tcW w:w="736" w:type="pct"/>
            <w:vAlign w:val="center"/>
          </w:tcPr>
          <w:p w14:paraId="619219C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CF2F68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FE864B8" w14:textId="002FA991"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216CD238" w14:textId="75E8822F"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66C96CFB" w14:textId="3BA21F14"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2.58%</w:t>
            </w:r>
          </w:p>
        </w:tc>
      </w:tr>
    </w:tbl>
    <w:p w14:paraId="4E5C7995" w14:textId="42FA95B5" w:rsidR="004D0044" w:rsidRPr="00781112" w:rsidRDefault="004D0044" w:rsidP="00AA3A41">
      <w:pPr>
        <w:tabs>
          <w:tab w:val="left" w:pos="2145"/>
        </w:tabs>
        <w:rPr>
          <w:color w:val="000000" w:themeColor="text1"/>
        </w:rPr>
      </w:pPr>
    </w:p>
    <w:p w14:paraId="38F110A8" w14:textId="3014A321" w:rsidR="00E539AB" w:rsidRPr="00781112" w:rsidRDefault="00E539AB" w:rsidP="004369B2">
      <w:pPr>
        <w:rPr>
          <w:b/>
          <w:color w:val="000000" w:themeColor="text1"/>
        </w:rPr>
      </w:pPr>
      <w:r w:rsidRPr="00781112">
        <w:rPr>
          <w:b/>
          <w:color w:val="000000" w:themeColor="text1"/>
        </w:rPr>
        <w:t>Targets</w:t>
      </w:r>
    </w:p>
    <w:tbl>
      <w:tblPr>
        <w:tblW w:w="3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TARGETS"/>
      </w:tblPr>
      <w:tblGrid>
        <w:gridCol w:w="1196"/>
        <w:gridCol w:w="1201"/>
        <w:gridCol w:w="1201"/>
        <w:gridCol w:w="1201"/>
        <w:gridCol w:w="1201"/>
        <w:gridCol w:w="1201"/>
      </w:tblGrid>
      <w:tr w:rsidR="0094481B" w:rsidRPr="00781112" w14:paraId="241559C7" w14:textId="3976E689" w:rsidTr="00FE4611">
        <w:tc>
          <w:tcPr>
            <w:tcW w:w="830" w:type="pct"/>
            <w:tcBorders>
              <w:bottom w:val="single" w:sz="4" w:space="0" w:color="auto"/>
            </w:tcBorders>
            <w:shd w:val="clear" w:color="auto" w:fill="auto"/>
            <w:vAlign w:val="center"/>
          </w:tcPr>
          <w:p w14:paraId="5F6C0247" w14:textId="02A2F5D1" w:rsidR="0094481B" w:rsidRPr="00781112" w:rsidRDefault="0094481B" w:rsidP="00536B0B">
            <w:pPr>
              <w:jc w:val="center"/>
              <w:rPr>
                <w:b/>
                <w:color w:val="000000" w:themeColor="text1"/>
              </w:rPr>
            </w:pPr>
            <w:r w:rsidRPr="00781112">
              <w:rPr>
                <w:b/>
                <w:color w:val="000000" w:themeColor="text1"/>
              </w:rPr>
              <w:t>Subject</w:t>
            </w:r>
          </w:p>
        </w:tc>
        <w:tc>
          <w:tcPr>
            <w:tcW w:w="834" w:type="pct"/>
            <w:tcBorders>
              <w:bottom w:val="single" w:sz="4" w:space="0" w:color="auto"/>
            </w:tcBorders>
            <w:shd w:val="clear" w:color="auto" w:fill="auto"/>
            <w:vAlign w:val="center"/>
          </w:tcPr>
          <w:p w14:paraId="1318C08B" w14:textId="57349DD9" w:rsidR="0094481B" w:rsidRPr="00781112" w:rsidRDefault="0094481B" w:rsidP="00536B0B">
            <w:pPr>
              <w:jc w:val="center"/>
              <w:rPr>
                <w:b/>
                <w:color w:val="000000" w:themeColor="text1"/>
              </w:rPr>
            </w:pPr>
            <w:r w:rsidRPr="00781112">
              <w:rPr>
                <w:b/>
                <w:color w:val="000000" w:themeColor="text1"/>
              </w:rPr>
              <w:t>Group</w:t>
            </w:r>
          </w:p>
        </w:tc>
        <w:tc>
          <w:tcPr>
            <w:tcW w:w="834" w:type="pct"/>
            <w:shd w:val="clear" w:color="auto" w:fill="auto"/>
            <w:vAlign w:val="center"/>
          </w:tcPr>
          <w:p w14:paraId="7EAB09FA" w14:textId="030EC418" w:rsidR="0094481B" w:rsidRPr="00781112" w:rsidDel="008E7B87" w:rsidRDefault="0094481B" w:rsidP="00536B0B">
            <w:pPr>
              <w:jc w:val="center"/>
              <w:rPr>
                <w:b/>
                <w:color w:val="000000" w:themeColor="text1"/>
              </w:rPr>
            </w:pPr>
            <w:r w:rsidRPr="00781112">
              <w:rPr>
                <w:b/>
                <w:color w:val="000000" w:themeColor="text1"/>
              </w:rPr>
              <w:t>Group Name</w:t>
            </w:r>
          </w:p>
        </w:tc>
        <w:tc>
          <w:tcPr>
            <w:tcW w:w="834" w:type="pct"/>
            <w:shd w:val="clear" w:color="auto" w:fill="auto"/>
            <w:vAlign w:val="center"/>
          </w:tcPr>
          <w:p w14:paraId="547F4988" w14:textId="1F981DE2" w:rsidR="0094481B" w:rsidRPr="00781112" w:rsidRDefault="0094481B" w:rsidP="00536B0B">
            <w:pPr>
              <w:jc w:val="center"/>
              <w:rPr>
                <w:b/>
                <w:color w:val="000000" w:themeColor="text1"/>
              </w:rPr>
            </w:pPr>
            <w:r w:rsidRPr="00781112">
              <w:rPr>
                <w:b/>
                <w:color w:val="000000" w:themeColor="text1"/>
              </w:rPr>
              <w:t>2023</w:t>
            </w:r>
          </w:p>
        </w:tc>
        <w:tc>
          <w:tcPr>
            <w:tcW w:w="834" w:type="pct"/>
            <w:vAlign w:val="center"/>
          </w:tcPr>
          <w:p w14:paraId="54E0670C" w14:textId="46A8862B" w:rsidR="0094481B" w:rsidRPr="00781112" w:rsidRDefault="0094481B" w:rsidP="00536B0B">
            <w:pPr>
              <w:jc w:val="center"/>
              <w:rPr>
                <w:b/>
                <w:color w:val="000000" w:themeColor="text1"/>
              </w:rPr>
            </w:pPr>
            <w:r w:rsidRPr="00781112">
              <w:rPr>
                <w:rFonts w:cs="Arial"/>
                <w:b/>
                <w:color w:val="000000" w:themeColor="text1"/>
                <w:szCs w:val="16"/>
              </w:rPr>
              <w:t>2024</w:t>
            </w:r>
          </w:p>
        </w:tc>
        <w:tc>
          <w:tcPr>
            <w:tcW w:w="834" w:type="pct"/>
            <w:vAlign w:val="center"/>
          </w:tcPr>
          <w:p w14:paraId="0317CAEF" w14:textId="4A2FF736" w:rsidR="0094481B" w:rsidRPr="00781112" w:rsidRDefault="0094481B" w:rsidP="00536B0B">
            <w:pPr>
              <w:jc w:val="center"/>
              <w:rPr>
                <w:b/>
                <w:color w:val="000000" w:themeColor="text1"/>
              </w:rPr>
            </w:pPr>
            <w:r w:rsidRPr="00781112">
              <w:rPr>
                <w:rFonts w:cs="Arial"/>
                <w:b/>
                <w:color w:val="000000" w:themeColor="text1"/>
                <w:szCs w:val="16"/>
              </w:rPr>
              <w:t>2025</w:t>
            </w:r>
          </w:p>
        </w:tc>
      </w:tr>
      <w:tr w:rsidR="0094481B" w:rsidRPr="00781112" w14:paraId="6D8B6989" w14:textId="160D0375" w:rsidTr="00FE4611">
        <w:tc>
          <w:tcPr>
            <w:tcW w:w="830" w:type="pct"/>
            <w:shd w:val="clear" w:color="auto" w:fill="auto"/>
            <w:vAlign w:val="center"/>
          </w:tcPr>
          <w:p w14:paraId="1B70FAC0" w14:textId="0849CE9C"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Reading</w:t>
            </w:r>
          </w:p>
        </w:tc>
        <w:tc>
          <w:tcPr>
            <w:tcW w:w="834" w:type="pct"/>
            <w:shd w:val="clear" w:color="auto" w:fill="auto"/>
            <w:vAlign w:val="center"/>
          </w:tcPr>
          <w:p w14:paraId="6221F405" w14:textId="189877A2"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A &gt;=</w:t>
            </w:r>
          </w:p>
        </w:tc>
        <w:tc>
          <w:tcPr>
            <w:tcW w:w="834" w:type="pct"/>
            <w:shd w:val="clear" w:color="auto" w:fill="auto"/>
            <w:vAlign w:val="center"/>
          </w:tcPr>
          <w:p w14:paraId="6D2C8AC8" w14:textId="0101FADC"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1794FDC8" w14:textId="2C32479D" w:rsidR="0094481B" w:rsidRPr="00781112" w:rsidRDefault="0094481B" w:rsidP="004E5C74">
            <w:pPr>
              <w:jc w:val="center"/>
              <w:rPr>
                <w:rFonts w:cs="Arial"/>
                <w:color w:val="000000" w:themeColor="text1"/>
                <w:szCs w:val="16"/>
              </w:rPr>
            </w:pPr>
            <w:r w:rsidRPr="00781112">
              <w:rPr>
                <w:rFonts w:cs="Arial"/>
                <w:color w:val="000000" w:themeColor="text1"/>
                <w:szCs w:val="16"/>
              </w:rPr>
              <w:t>17.40%</w:t>
            </w:r>
          </w:p>
        </w:tc>
        <w:tc>
          <w:tcPr>
            <w:tcW w:w="834" w:type="pct"/>
            <w:vAlign w:val="center"/>
          </w:tcPr>
          <w:p w14:paraId="609A7D0F" w14:textId="138D9671" w:rsidR="0094481B" w:rsidRPr="00781112" w:rsidRDefault="0094481B" w:rsidP="004E5C74">
            <w:pPr>
              <w:jc w:val="center"/>
              <w:rPr>
                <w:rFonts w:cs="Arial"/>
                <w:color w:val="000000" w:themeColor="text1"/>
                <w:szCs w:val="16"/>
              </w:rPr>
            </w:pPr>
            <w:r w:rsidRPr="00781112">
              <w:rPr>
                <w:rFonts w:cs="Arial"/>
                <w:color w:val="000000" w:themeColor="text1"/>
                <w:szCs w:val="16"/>
              </w:rPr>
              <w:t>17.90%</w:t>
            </w:r>
          </w:p>
        </w:tc>
        <w:tc>
          <w:tcPr>
            <w:tcW w:w="834" w:type="pct"/>
            <w:vAlign w:val="center"/>
          </w:tcPr>
          <w:p w14:paraId="3DF1FAFA" w14:textId="4C333171" w:rsidR="0094481B" w:rsidRPr="00781112" w:rsidRDefault="0094481B" w:rsidP="004E5C74">
            <w:pPr>
              <w:jc w:val="center"/>
              <w:rPr>
                <w:rFonts w:cs="Arial"/>
                <w:color w:val="000000" w:themeColor="text1"/>
                <w:szCs w:val="16"/>
              </w:rPr>
            </w:pPr>
            <w:r w:rsidRPr="00781112">
              <w:rPr>
                <w:rFonts w:cs="Arial"/>
                <w:color w:val="000000" w:themeColor="text1"/>
                <w:szCs w:val="16"/>
              </w:rPr>
              <w:t>18.40%</w:t>
            </w:r>
          </w:p>
        </w:tc>
      </w:tr>
      <w:tr w:rsidR="0094481B" w:rsidRPr="00781112" w14:paraId="6BD665D1" w14:textId="5FDF63E7" w:rsidTr="00FE4611">
        <w:tc>
          <w:tcPr>
            <w:tcW w:w="830" w:type="pct"/>
            <w:shd w:val="clear" w:color="auto" w:fill="auto"/>
            <w:vAlign w:val="center"/>
          </w:tcPr>
          <w:p w14:paraId="2A84087F" w14:textId="4E8F4953"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Reading</w:t>
            </w:r>
          </w:p>
        </w:tc>
        <w:tc>
          <w:tcPr>
            <w:tcW w:w="834" w:type="pct"/>
            <w:shd w:val="clear" w:color="auto" w:fill="auto"/>
            <w:vAlign w:val="center"/>
          </w:tcPr>
          <w:p w14:paraId="2646C0D6" w14:textId="23685D27"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B &gt;=</w:t>
            </w:r>
          </w:p>
        </w:tc>
        <w:tc>
          <w:tcPr>
            <w:tcW w:w="834" w:type="pct"/>
            <w:shd w:val="clear" w:color="auto" w:fill="auto"/>
            <w:vAlign w:val="center"/>
          </w:tcPr>
          <w:p w14:paraId="67079A1D" w14:textId="08C9FD02"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03609D46" w14:textId="75CA57B6" w:rsidR="0094481B" w:rsidRPr="00781112" w:rsidRDefault="0094481B" w:rsidP="004E5C74">
            <w:pPr>
              <w:jc w:val="center"/>
              <w:rPr>
                <w:rFonts w:cs="Arial"/>
                <w:color w:val="000000" w:themeColor="text1"/>
                <w:szCs w:val="16"/>
              </w:rPr>
            </w:pPr>
            <w:r w:rsidRPr="00781112">
              <w:rPr>
                <w:rFonts w:cs="Arial"/>
                <w:color w:val="000000" w:themeColor="text1"/>
                <w:szCs w:val="16"/>
              </w:rPr>
              <w:t>8.20%</w:t>
            </w:r>
          </w:p>
        </w:tc>
        <w:tc>
          <w:tcPr>
            <w:tcW w:w="834" w:type="pct"/>
            <w:vAlign w:val="center"/>
          </w:tcPr>
          <w:p w14:paraId="08D72C36" w14:textId="2621CBFF" w:rsidR="0094481B" w:rsidRPr="00781112" w:rsidRDefault="0094481B" w:rsidP="004E5C74">
            <w:pPr>
              <w:jc w:val="center"/>
              <w:rPr>
                <w:rFonts w:cs="Arial"/>
                <w:color w:val="000000" w:themeColor="text1"/>
                <w:szCs w:val="16"/>
              </w:rPr>
            </w:pPr>
            <w:r w:rsidRPr="00781112">
              <w:rPr>
                <w:rFonts w:cs="Arial"/>
                <w:color w:val="000000" w:themeColor="text1"/>
                <w:szCs w:val="16"/>
              </w:rPr>
              <w:t>8.70%</w:t>
            </w:r>
          </w:p>
        </w:tc>
        <w:tc>
          <w:tcPr>
            <w:tcW w:w="834" w:type="pct"/>
            <w:vAlign w:val="center"/>
          </w:tcPr>
          <w:p w14:paraId="60E9FAA2" w14:textId="0E1508C1" w:rsidR="0094481B" w:rsidRPr="00781112" w:rsidRDefault="0094481B" w:rsidP="004E5C74">
            <w:pPr>
              <w:jc w:val="center"/>
              <w:rPr>
                <w:rFonts w:cs="Arial"/>
                <w:color w:val="000000" w:themeColor="text1"/>
                <w:szCs w:val="16"/>
              </w:rPr>
            </w:pPr>
            <w:r w:rsidRPr="00781112">
              <w:rPr>
                <w:rFonts w:cs="Arial"/>
                <w:color w:val="000000" w:themeColor="text1"/>
                <w:szCs w:val="16"/>
              </w:rPr>
              <w:t>9.20%</w:t>
            </w:r>
          </w:p>
        </w:tc>
      </w:tr>
      <w:tr w:rsidR="0094481B" w:rsidRPr="00781112" w14:paraId="7A08D372" w14:textId="5FBBCE88" w:rsidTr="00FE4611">
        <w:tc>
          <w:tcPr>
            <w:tcW w:w="830" w:type="pct"/>
            <w:shd w:val="clear" w:color="auto" w:fill="auto"/>
            <w:vAlign w:val="center"/>
          </w:tcPr>
          <w:p w14:paraId="3C8DF435" w14:textId="69FCCDF1"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Reading</w:t>
            </w:r>
          </w:p>
        </w:tc>
        <w:tc>
          <w:tcPr>
            <w:tcW w:w="834" w:type="pct"/>
            <w:shd w:val="clear" w:color="auto" w:fill="auto"/>
            <w:vAlign w:val="center"/>
          </w:tcPr>
          <w:p w14:paraId="2CDE7790" w14:textId="3B90C904"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C &gt;=</w:t>
            </w:r>
          </w:p>
        </w:tc>
        <w:tc>
          <w:tcPr>
            <w:tcW w:w="834" w:type="pct"/>
            <w:shd w:val="clear" w:color="auto" w:fill="auto"/>
            <w:vAlign w:val="center"/>
          </w:tcPr>
          <w:p w14:paraId="69727A60" w14:textId="2476755A"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6D9D8EC6" w14:textId="3C7C8315" w:rsidR="0094481B" w:rsidRPr="00781112" w:rsidRDefault="0094481B" w:rsidP="004E5C74">
            <w:pPr>
              <w:jc w:val="center"/>
              <w:rPr>
                <w:rFonts w:cs="Arial"/>
                <w:color w:val="000000" w:themeColor="text1"/>
                <w:szCs w:val="16"/>
              </w:rPr>
            </w:pPr>
            <w:r w:rsidRPr="00781112">
              <w:rPr>
                <w:rFonts w:cs="Arial"/>
                <w:color w:val="000000" w:themeColor="text1"/>
                <w:szCs w:val="16"/>
              </w:rPr>
              <w:t>11.20%</w:t>
            </w:r>
          </w:p>
        </w:tc>
        <w:tc>
          <w:tcPr>
            <w:tcW w:w="834" w:type="pct"/>
            <w:vAlign w:val="center"/>
          </w:tcPr>
          <w:p w14:paraId="6F53672D" w14:textId="674E45B1" w:rsidR="0094481B" w:rsidRPr="00781112" w:rsidRDefault="0094481B" w:rsidP="004E5C74">
            <w:pPr>
              <w:jc w:val="center"/>
              <w:rPr>
                <w:rFonts w:cs="Arial"/>
                <w:color w:val="000000" w:themeColor="text1"/>
                <w:szCs w:val="16"/>
              </w:rPr>
            </w:pPr>
            <w:r w:rsidRPr="00781112">
              <w:rPr>
                <w:rFonts w:cs="Arial"/>
                <w:color w:val="000000" w:themeColor="text1"/>
                <w:szCs w:val="16"/>
              </w:rPr>
              <w:t>11.70%</w:t>
            </w:r>
          </w:p>
        </w:tc>
        <w:tc>
          <w:tcPr>
            <w:tcW w:w="834" w:type="pct"/>
            <w:vAlign w:val="center"/>
          </w:tcPr>
          <w:p w14:paraId="1E839895" w14:textId="3633076A" w:rsidR="0094481B" w:rsidRPr="00781112" w:rsidRDefault="0094481B" w:rsidP="004E5C74">
            <w:pPr>
              <w:jc w:val="center"/>
              <w:rPr>
                <w:rFonts w:cs="Arial"/>
                <w:color w:val="000000" w:themeColor="text1"/>
                <w:szCs w:val="16"/>
              </w:rPr>
            </w:pPr>
            <w:r w:rsidRPr="00781112">
              <w:rPr>
                <w:rFonts w:cs="Arial"/>
                <w:color w:val="000000" w:themeColor="text1"/>
                <w:szCs w:val="16"/>
              </w:rPr>
              <w:t>12.20%</w:t>
            </w:r>
          </w:p>
        </w:tc>
      </w:tr>
      <w:tr w:rsidR="0094481B" w:rsidRPr="00781112" w14:paraId="734BCCC4" w14:textId="02B757A8" w:rsidTr="00FE4611">
        <w:tc>
          <w:tcPr>
            <w:tcW w:w="830" w:type="pct"/>
            <w:shd w:val="clear" w:color="auto" w:fill="auto"/>
            <w:vAlign w:val="center"/>
          </w:tcPr>
          <w:p w14:paraId="20286AC8" w14:textId="018C9C4D"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Math</w:t>
            </w:r>
          </w:p>
        </w:tc>
        <w:tc>
          <w:tcPr>
            <w:tcW w:w="834" w:type="pct"/>
            <w:shd w:val="clear" w:color="auto" w:fill="auto"/>
            <w:vAlign w:val="center"/>
          </w:tcPr>
          <w:p w14:paraId="185C8DA8" w14:textId="6254892D"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A &gt;=</w:t>
            </w:r>
          </w:p>
        </w:tc>
        <w:tc>
          <w:tcPr>
            <w:tcW w:w="834" w:type="pct"/>
            <w:shd w:val="clear" w:color="auto" w:fill="auto"/>
            <w:vAlign w:val="center"/>
          </w:tcPr>
          <w:p w14:paraId="16FD84A2" w14:textId="1BD2010B"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0005999A" w14:textId="601F796F" w:rsidR="0094481B" w:rsidRPr="00781112" w:rsidRDefault="0094481B" w:rsidP="004E5C74">
            <w:pPr>
              <w:jc w:val="center"/>
              <w:rPr>
                <w:rFonts w:cs="Arial"/>
                <w:color w:val="000000" w:themeColor="text1"/>
                <w:szCs w:val="16"/>
              </w:rPr>
            </w:pPr>
            <w:r w:rsidRPr="00781112">
              <w:rPr>
                <w:rFonts w:cs="Arial"/>
                <w:color w:val="000000" w:themeColor="text1"/>
                <w:szCs w:val="16"/>
              </w:rPr>
              <w:t>19.50%</w:t>
            </w:r>
          </w:p>
        </w:tc>
        <w:tc>
          <w:tcPr>
            <w:tcW w:w="834" w:type="pct"/>
            <w:vAlign w:val="center"/>
          </w:tcPr>
          <w:p w14:paraId="2ADA59C0" w14:textId="7F027C54" w:rsidR="0094481B" w:rsidRPr="00781112" w:rsidRDefault="0094481B" w:rsidP="004E5C74">
            <w:pPr>
              <w:jc w:val="center"/>
              <w:rPr>
                <w:rFonts w:cs="Arial"/>
                <w:color w:val="000000" w:themeColor="text1"/>
                <w:szCs w:val="16"/>
              </w:rPr>
            </w:pPr>
            <w:r w:rsidRPr="00781112">
              <w:rPr>
                <w:rFonts w:cs="Arial"/>
                <w:color w:val="000000" w:themeColor="text1"/>
                <w:szCs w:val="16"/>
              </w:rPr>
              <w:t>20.00%</w:t>
            </w:r>
          </w:p>
        </w:tc>
        <w:tc>
          <w:tcPr>
            <w:tcW w:w="834" w:type="pct"/>
            <w:vAlign w:val="center"/>
          </w:tcPr>
          <w:p w14:paraId="63258519" w14:textId="524B5DC2" w:rsidR="0094481B" w:rsidRPr="00781112" w:rsidRDefault="0094481B" w:rsidP="004E5C74">
            <w:pPr>
              <w:jc w:val="center"/>
              <w:rPr>
                <w:rFonts w:cs="Arial"/>
                <w:color w:val="000000" w:themeColor="text1"/>
                <w:szCs w:val="16"/>
              </w:rPr>
            </w:pPr>
            <w:r w:rsidRPr="00781112">
              <w:rPr>
                <w:rFonts w:cs="Arial"/>
                <w:color w:val="000000" w:themeColor="text1"/>
                <w:szCs w:val="16"/>
              </w:rPr>
              <w:t>20.50%</w:t>
            </w:r>
          </w:p>
        </w:tc>
      </w:tr>
      <w:tr w:rsidR="0094481B" w:rsidRPr="00781112" w14:paraId="26043383" w14:textId="3D057A6F" w:rsidTr="00FE4611">
        <w:tc>
          <w:tcPr>
            <w:tcW w:w="830" w:type="pct"/>
            <w:shd w:val="clear" w:color="auto" w:fill="auto"/>
            <w:vAlign w:val="center"/>
          </w:tcPr>
          <w:p w14:paraId="2BCD3006" w14:textId="785241B2"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Math</w:t>
            </w:r>
          </w:p>
        </w:tc>
        <w:tc>
          <w:tcPr>
            <w:tcW w:w="834" w:type="pct"/>
            <w:shd w:val="clear" w:color="auto" w:fill="auto"/>
            <w:vAlign w:val="center"/>
          </w:tcPr>
          <w:p w14:paraId="79B80F0C" w14:textId="52C31857"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B &gt;=</w:t>
            </w:r>
          </w:p>
        </w:tc>
        <w:tc>
          <w:tcPr>
            <w:tcW w:w="834" w:type="pct"/>
            <w:shd w:val="clear" w:color="auto" w:fill="auto"/>
            <w:vAlign w:val="center"/>
          </w:tcPr>
          <w:p w14:paraId="27B1E35D" w14:textId="336183AA"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25263A65" w14:textId="2189A9FC" w:rsidR="0094481B" w:rsidRPr="00781112" w:rsidRDefault="0094481B" w:rsidP="004E5C74">
            <w:pPr>
              <w:jc w:val="center"/>
              <w:rPr>
                <w:rFonts w:cs="Arial"/>
                <w:color w:val="000000" w:themeColor="text1"/>
                <w:szCs w:val="16"/>
              </w:rPr>
            </w:pPr>
            <w:r w:rsidRPr="00781112">
              <w:rPr>
                <w:rFonts w:cs="Arial"/>
                <w:color w:val="000000" w:themeColor="text1"/>
                <w:szCs w:val="16"/>
              </w:rPr>
              <w:t>7.00%</w:t>
            </w:r>
          </w:p>
        </w:tc>
        <w:tc>
          <w:tcPr>
            <w:tcW w:w="834" w:type="pct"/>
            <w:vAlign w:val="center"/>
          </w:tcPr>
          <w:p w14:paraId="558D49D9" w14:textId="56776B71" w:rsidR="0094481B" w:rsidRPr="00781112" w:rsidRDefault="0094481B" w:rsidP="004E5C74">
            <w:pPr>
              <w:jc w:val="center"/>
              <w:rPr>
                <w:rFonts w:cs="Arial"/>
                <w:color w:val="000000" w:themeColor="text1"/>
                <w:szCs w:val="16"/>
              </w:rPr>
            </w:pPr>
            <w:r w:rsidRPr="00781112">
              <w:rPr>
                <w:rFonts w:cs="Arial"/>
                <w:color w:val="000000" w:themeColor="text1"/>
                <w:szCs w:val="16"/>
              </w:rPr>
              <w:t>7.50%</w:t>
            </w:r>
          </w:p>
        </w:tc>
        <w:tc>
          <w:tcPr>
            <w:tcW w:w="834" w:type="pct"/>
            <w:vAlign w:val="center"/>
          </w:tcPr>
          <w:p w14:paraId="529C7F25" w14:textId="45E82B2D" w:rsidR="0094481B" w:rsidRPr="00781112" w:rsidRDefault="0094481B" w:rsidP="004E5C74">
            <w:pPr>
              <w:jc w:val="center"/>
              <w:rPr>
                <w:rFonts w:cs="Arial"/>
                <w:color w:val="000000" w:themeColor="text1"/>
                <w:szCs w:val="16"/>
              </w:rPr>
            </w:pPr>
            <w:r w:rsidRPr="00781112">
              <w:rPr>
                <w:rFonts w:cs="Arial"/>
                <w:color w:val="000000" w:themeColor="text1"/>
                <w:szCs w:val="16"/>
              </w:rPr>
              <w:t>8.00%</w:t>
            </w:r>
          </w:p>
        </w:tc>
      </w:tr>
      <w:tr w:rsidR="0094481B" w:rsidRPr="00781112" w14:paraId="169D5323" w14:textId="1CB4A506" w:rsidTr="00FE4611">
        <w:tc>
          <w:tcPr>
            <w:tcW w:w="830" w:type="pct"/>
            <w:shd w:val="clear" w:color="auto" w:fill="auto"/>
            <w:vAlign w:val="center"/>
          </w:tcPr>
          <w:p w14:paraId="21DAE194" w14:textId="06AF539C"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Math</w:t>
            </w:r>
          </w:p>
        </w:tc>
        <w:tc>
          <w:tcPr>
            <w:tcW w:w="834" w:type="pct"/>
            <w:shd w:val="clear" w:color="auto" w:fill="auto"/>
            <w:vAlign w:val="center"/>
          </w:tcPr>
          <w:p w14:paraId="650CB8D7" w14:textId="080D022D"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C &gt;=</w:t>
            </w:r>
          </w:p>
        </w:tc>
        <w:tc>
          <w:tcPr>
            <w:tcW w:w="834" w:type="pct"/>
            <w:shd w:val="clear" w:color="auto" w:fill="auto"/>
            <w:vAlign w:val="center"/>
          </w:tcPr>
          <w:p w14:paraId="45DBFB21" w14:textId="372229DD"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341BF449" w14:textId="76191C29" w:rsidR="0094481B" w:rsidRPr="00781112" w:rsidRDefault="0094481B" w:rsidP="004E5C74">
            <w:pPr>
              <w:jc w:val="center"/>
              <w:rPr>
                <w:rFonts w:cs="Arial"/>
                <w:color w:val="000000" w:themeColor="text1"/>
                <w:szCs w:val="16"/>
              </w:rPr>
            </w:pPr>
            <w:r w:rsidRPr="00781112">
              <w:rPr>
                <w:rFonts w:cs="Arial"/>
                <w:color w:val="000000" w:themeColor="text1"/>
                <w:szCs w:val="16"/>
              </w:rPr>
              <w:t>4.50%</w:t>
            </w:r>
          </w:p>
        </w:tc>
        <w:tc>
          <w:tcPr>
            <w:tcW w:w="834" w:type="pct"/>
            <w:vAlign w:val="center"/>
          </w:tcPr>
          <w:p w14:paraId="5424FF66" w14:textId="7AB6DE06" w:rsidR="0094481B" w:rsidRPr="00781112" w:rsidRDefault="0094481B" w:rsidP="004E5C74">
            <w:pPr>
              <w:jc w:val="center"/>
              <w:rPr>
                <w:rFonts w:cs="Arial"/>
                <w:color w:val="000000" w:themeColor="text1"/>
                <w:szCs w:val="16"/>
              </w:rPr>
            </w:pPr>
            <w:r w:rsidRPr="00781112">
              <w:rPr>
                <w:rFonts w:cs="Arial"/>
                <w:color w:val="000000" w:themeColor="text1"/>
                <w:szCs w:val="16"/>
              </w:rPr>
              <w:t>5.00%</w:t>
            </w:r>
          </w:p>
        </w:tc>
        <w:tc>
          <w:tcPr>
            <w:tcW w:w="834" w:type="pct"/>
            <w:vAlign w:val="center"/>
          </w:tcPr>
          <w:p w14:paraId="552DC3D3" w14:textId="79B2C0C8" w:rsidR="0094481B" w:rsidRPr="00781112" w:rsidRDefault="0094481B" w:rsidP="004E5C74">
            <w:pPr>
              <w:jc w:val="center"/>
              <w:rPr>
                <w:rFonts w:cs="Arial"/>
                <w:color w:val="000000" w:themeColor="text1"/>
                <w:szCs w:val="16"/>
              </w:rPr>
            </w:pPr>
            <w:r w:rsidRPr="00781112">
              <w:rPr>
                <w:rFonts w:cs="Arial"/>
                <w:color w:val="000000" w:themeColor="text1"/>
                <w:szCs w:val="16"/>
              </w:rPr>
              <w:t>5.50%</w:t>
            </w:r>
          </w:p>
        </w:tc>
      </w:tr>
    </w:tbl>
    <w:p w14:paraId="102C9294" w14:textId="426FC0A1" w:rsidR="002D145D" w:rsidRPr="00781112" w:rsidRDefault="002D145D" w:rsidP="004369B2">
      <w:pPr>
        <w:rPr>
          <w:b/>
          <w:color w:val="000000" w:themeColor="text1"/>
        </w:rPr>
      </w:pPr>
      <w:r w:rsidRPr="00781112">
        <w:rPr>
          <w:b/>
          <w:color w:val="000000" w:themeColor="text1"/>
        </w:rPr>
        <w:t xml:space="preserve">Targets: Description of Stakeholder Input </w:t>
      </w:r>
    </w:p>
    <w:p w14:paraId="2C104549" w14:textId="03A0AB0D" w:rsidR="002D145D" w:rsidRPr="00781112" w:rsidRDefault="002B7490" w:rsidP="002D145D">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The baseline for this indicator was presented to stakeholders and updated based on the most current year of data that was not impacted by COVID-19 in order to get the most accurate picture of the current performance level of children with disabilities on the current statewide assessments. The targets were set to show improvement each year from FFY 2020 through 2025. The stakeholders indicated acceptance of these baselines and targets.</w:t>
      </w:r>
      <w:r w:rsidRPr="00781112">
        <w:rPr>
          <w:rFonts w:cs="Arial"/>
          <w:color w:val="000000" w:themeColor="text1"/>
          <w:szCs w:val="16"/>
        </w:rPr>
        <w:br/>
      </w:r>
      <w:r w:rsidRPr="00781112">
        <w:rPr>
          <w:rFonts w:cs="Arial"/>
          <w:color w:val="000000" w:themeColor="text1"/>
          <w:szCs w:val="16"/>
        </w:rPr>
        <w:br/>
        <w:t>FFY 2023</w:t>
      </w:r>
      <w:r w:rsidRPr="00781112">
        <w:rPr>
          <w:rFonts w:cs="Arial"/>
          <w:color w:val="000000" w:themeColor="text1"/>
          <w:szCs w:val="16"/>
        </w:rPr>
        <w:br/>
        <w:t>Stakeholders did not express interest in revising the Assessment Proficiency (grade-level standards) targets during any meetings throughout the reporting period; however, WVDE/OSE is receptive to any potential concerns or recommendations that stakeholders may have regarding these targets.</w:t>
      </w:r>
    </w:p>
    <w:p w14:paraId="2446B7C2" w14:textId="77777777" w:rsidR="00F20369" w:rsidRPr="00781112" w:rsidRDefault="00F20369" w:rsidP="004369B2">
      <w:pPr>
        <w:rPr>
          <w:color w:val="000000" w:themeColor="text1"/>
        </w:rPr>
      </w:pPr>
      <w:bookmarkStart w:id="14" w:name="_Toc392159273"/>
    </w:p>
    <w:p w14:paraId="2F64E7B3" w14:textId="5A2175D9" w:rsidR="00344AE0" w:rsidRPr="00781112" w:rsidRDefault="00FA33C9">
      <w:pPr>
        <w:rPr>
          <w:b/>
          <w:color w:val="000000" w:themeColor="text1"/>
        </w:rPr>
      </w:pPr>
      <w:r>
        <w:rPr>
          <w:b/>
          <w:color w:val="000000" w:themeColor="text1"/>
        </w:rPr>
        <w:t>FFY 2023 Data Disaggregation from ED</w:t>
      </w:r>
      <w:r w:rsidRPr="00BA3DBE">
        <w:rPr>
          <w:b/>
          <w:i/>
          <w:iCs/>
          <w:color w:val="000000" w:themeColor="text1"/>
        </w:rPr>
        <w:t>Facts</w:t>
      </w:r>
    </w:p>
    <w:p w14:paraId="6BDCF123"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Data Source:  </w:t>
      </w:r>
    </w:p>
    <w:p w14:paraId="5EBDA348" w14:textId="24968275" w:rsidR="00C470E8" w:rsidRPr="00781112" w:rsidRDefault="002B7490" w:rsidP="00552927">
      <w:pPr>
        <w:rPr>
          <w:rFonts w:cs="Arial"/>
          <w:color w:val="000000" w:themeColor="text1"/>
          <w:szCs w:val="16"/>
        </w:rPr>
      </w:pPr>
      <w:r w:rsidRPr="00781112">
        <w:rPr>
          <w:rFonts w:cs="Arial"/>
          <w:color w:val="000000" w:themeColor="text1"/>
          <w:szCs w:val="16"/>
        </w:rPr>
        <w:t>SY 2023-24 Assessment Data Groups - Reading (EDFacts file spec FS178; Data Group: 584)</w:t>
      </w:r>
    </w:p>
    <w:p w14:paraId="435988E5"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Date: </w:t>
      </w:r>
    </w:p>
    <w:p w14:paraId="1E2D8106" w14:textId="34AD25B1" w:rsidR="00344AE0" w:rsidRPr="00781112" w:rsidRDefault="002B7490" w:rsidP="00552927">
      <w:pPr>
        <w:rPr>
          <w:rFonts w:cs="Arial"/>
          <w:color w:val="000000" w:themeColor="text1"/>
          <w:szCs w:val="16"/>
        </w:rPr>
      </w:pPr>
      <w:r w:rsidRPr="00781112">
        <w:rPr>
          <w:rFonts w:cs="Arial"/>
          <w:color w:val="000000" w:themeColor="text1"/>
          <w:szCs w:val="16"/>
        </w:rPr>
        <w:t>01/08/2025</w:t>
      </w:r>
    </w:p>
    <w:p w14:paraId="59BC6B2E" w14:textId="5FAC9B9E" w:rsidR="009D0D68" w:rsidRPr="00781112" w:rsidRDefault="00FE2056">
      <w:pPr>
        <w:rPr>
          <w:b/>
          <w:color w:val="000000" w:themeColor="text1"/>
        </w:rPr>
      </w:pPr>
      <w:r w:rsidRPr="00781112">
        <w:rPr>
          <w:b/>
          <w:color w:val="000000" w:themeColor="text1"/>
        </w:rPr>
        <w:t>Reading Assessment Proficiency Data by Grade (1)</w:t>
      </w:r>
    </w:p>
    <w:tbl>
      <w:tblPr>
        <w:tblStyle w:val="TableGrid"/>
        <w:tblW w:w="5000" w:type="pct"/>
        <w:tblLayout w:type="fixed"/>
        <w:tblLook w:val="04A0" w:firstRow="1" w:lastRow="0" w:firstColumn="1" w:lastColumn="0" w:noHBand="0" w:noVBand="1"/>
        <w:tblCaption w:val="B03BASSPARTDATABYGRDRLA"/>
      </w:tblPr>
      <w:tblGrid>
        <w:gridCol w:w="2426"/>
        <w:gridCol w:w="2788"/>
        <w:gridCol w:w="2788"/>
        <w:gridCol w:w="2788"/>
      </w:tblGrid>
      <w:tr w:rsidR="00BB2745" w:rsidRPr="00781112" w14:paraId="35CB1461" w14:textId="77777777" w:rsidTr="009E026B">
        <w:tc>
          <w:tcPr>
            <w:tcW w:w="1124" w:type="pct"/>
            <w:shd w:val="clear" w:color="auto" w:fill="auto"/>
          </w:tcPr>
          <w:p w14:paraId="39D40F16" w14:textId="18178F77" w:rsidR="00BB2745" w:rsidRPr="00781112" w:rsidRDefault="00835EAD" w:rsidP="00BB2745">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17538CC6" w14:textId="5AE78718" w:rsidR="00BB2745" w:rsidRPr="00781112" w:rsidRDefault="00BB2745"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7B4C40DF" w14:textId="7F368CC4" w:rsidR="00BB2745" w:rsidRPr="00781112" w:rsidRDefault="00BB2745"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3761AD03" w14:textId="6AC32E5E" w:rsidR="00BB2745" w:rsidRPr="00781112" w:rsidRDefault="00BB2745" w:rsidP="00E14CF0">
            <w:pPr>
              <w:jc w:val="center"/>
              <w:rPr>
                <w:rFonts w:cs="Arial"/>
                <w:b/>
                <w:bCs/>
                <w:color w:val="000000" w:themeColor="text1"/>
                <w:szCs w:val="16"/>
              </w:rPr>
            </w:pPr>
            <w:r w:rsidRPr="00781112">
              <w:rPr>
                <w:rFonts w:cs="Arial"/>
                <w:b/>
                <w:bCs/>
                <w:color w:val="000000" w:themeColor="text1"/>
                <w:szCs w:val="16"/>
              </w:rPr>
              <w:t>Grade HS</w:t>
            </w:r>
          </w:p>
        </w:tc>
      </w:tr>
      <w:tr w:rsidR="003B0C91" w:rsidRPr="00781112" w14:paraId="568B2C00" w14:textId="77777777" w:rsidTr="009E026B">
        <w:tc>
          <w:tcPr>
            <w:tcW w:w="1124" w:type="pct"/>
            <w:shd w:val="clear" w:color="auto" w:fill="auto"/>
          </w:tcPr>
          <w:p w14:paraId="4AD99060" w14:textId="5CD6AD07" w:rsidR="003B0C91" w:rsidRPr="00781112" w:rsidRDefault="003B0C91" w:rsidP="003B0C91">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17848320" w14:textId="2D89B216" w:rsidR="003B0C91" w:rsidRPr="00781112" w:rsidRDefault="003B0C91" w:rsidP="00360DD6">
            <w:pPr>
              <w:jc w:val="center"/>
              <w:rPr>
                <w:rFonts w:cs="Arial"/>
                <w:color w:val="000000" w:themeColor="text1"/>
                <w:szCs w:val="16"/>
              </w:rPr>
            </w:pPr>
            <w:r w:rsidRPr="00781112">
              <w:rPr>
                <w:rFonts w:cs="Arial"/>
                <w:color w:val="000000" w:themeColor="text1"/>
                <w:szCs w:val="16"/>
              </w:rPr>
              <w:t>3,985</w:t>
            </w:r>
          </w:p>
        </w:tc>
        <w:tc>
          <w:tcPr>
            <w:tcW w:w="1292" w:type="pct"/>
            <w:shd w:val="clear" w:color="auto" w:fill="auto"/>
            <w:vAlign w:val="center"/>
          </w:tcPr>
          <w:p w14:paraId="51A72AB5" w14:textId="4469B046" w:rsidR="003B0C91" w:rsidRPr="00781112" w:rsidRDefault="003B0C91" w:rsidP="00360DD6">
            <w:pPr>
              <w:jc w:val="center"/>
              <w:rPr>
                <w:rFonts w:cs="Arial"/>
                <w:color w:val="000000" w:themeColor="text1"/>
                <w:szCs w:val="16"/>
              </w:rPr>
            </w:pPr>
            <w:r w:rsidRPr="00781112">
              <w:rPr>
                <w:rFonts w:cs="Arial"/>
                <w:color w:val="000000" w:themeColor="text1"/>
                <w:szCs w:val="16"/>
              </w:rPr>
              <w:t>3,205</w:t>
            </w:r>
          </w:p>
        </w:tc>
        <w:tc>
          <w:tcPr>
            <w:tcW w:w="1292" w:type="pct"/>
            <w:shd w:val="clear" w:color="auto" w:fill="auto"/>
            <w:vAlign w:val="center"/>
          </w:tcPr>
          <w:p w14:paraId="151E318E" w14:textId="46F9C307" w:rsidR="003B0C91" w:rsidRPr="00781112" w:rsidRDefault="003B0C91" w:rsidP="00360DD6">
            <w:pPr>
              <w:jc w:val="center"/>
              <w:rPr>
                <w:rFonts w:cs="Arial"/>
                <w:color w:val="000000" w:themeColor="text1"/>
                <w:szCs w:val="16"/>
              </w:rPr>
            </w:pPr>
            <w:r w:rsidRPr="00781112">
              <w:rPr>
                <w:rFonts w:cs="Arial"/>
                <w:color w:val="000000" w:themeColor="text1"/>
                <w:szCs w:val="16"/>
              </w:rPr>
              <w:t>2,327</w:t>
            </w:r>
          </w:p>
        </w:tc>
      </w:tr>
      <w:tr w:rsidR="003B0C91" w:rsidRPr="00781112" w14:paraId="4F287E15" w14:textId="77777777" w:rsidTr="009E026B">
        <w:tc>
          <w:tcPr>
            <w:tcW w:w="1124" w:type="pct"/>
            <w:shd w:val="clear" w:color="auto" w:fill="auto"/>
          </w:tcPr>
          <w:p w14:paraId="3423EDAB" w14:textId="76BBADB8" w:rsidR="003B0C91" w:rsidRPr="00781112" w:rsidRDefault="003B0C91" w:rsidP="003B0C91">
            <w:pPr>
              <w:rPr>
                <w:rFonts w:cs="Arial"/>
                <w:color w:val="000000" w:themeColor="text1"/>
                <w:szCs w:val="16"/>
              </w:rPr>
            </w:pPr>
            <w:r w:rsidRPr="00781112">
              <w:rPr>
                <w:rFonts w:cs="Arial"/>
                <w:szCs w:val="16"/>
                <w:shd w:val="clear" w:color="auto" w:fill="FFFFFF"/>
              </w:rPr>
              <w:t xml:space="preserve">b. </w:t>
            </w:r>
            <w:r w:rsidR="005527CB">
              <w:rPr>
                <w:rFonts w:cs="Arial"/>
                <w:color w:val="000000" w:themeColor="text1"/>
                <w:szCs w:val="16"/>
              </w:rPr>
              <w:t xml:space="preserve">Children with </w:t>
            </w:r>
            <w:r w:rsidRPr="00781112">
              <w:rPr>
                <w:rFonts w:cs="Arial"/>
                <w:szCs w:val="16"/>
                <w:shd w:val="clear" w:color="auto" w:fill="FFFFFF"/>
              </w:rPr>
              <w:t>IEPs in regular assessment with no accommodations scored at or above proficient against grade level</w:t>
            </w:r>
          </w:p>
        </w:tc>
        <w:tc>
          <w:tcPr>
            <w:tcW w:w="1292" w:type="pct"/>
            <w:shd w:val="clear" w:color="auto" w:fill="auto"/>
            <w:vAlign w:val="center"/>
          </w:tcPr>
          <w:p w14:paraId="616181A6" w14:textId="2B02EF7A" w:rsidR="003B0C91" w:rsidRPr="00781112" w:rsidRDefault="003B0C91" w:rsidP="00360DD6">
            <w:pPr>
              <w:jc w:val="center"/>
              <w:rPr>
                <w:rFonts w:cs="Arial"/>
                <w:color w:val="000000" w:themeColor="text1"/>
                <w:szCs w:val="16"/>
              </w:rPr>
            </w:pPr>
            <w:r w:rsidRPr="00781112">
              <w:rPr>
                <w:rFonts w:cs="Arial"/>
                <w:color w:val="000000" w:themeColor="text1"/>
                <w:szCs w:val="16"/>
              </w:rPr>
              <w:t>446</w:t>
            </w:r>
          </w:p>
        </w:tc>
        <w:tc>
          <w:tcPr>
            <w:tcW w:w="1292" w:type="pct"/>
            <w:shd w:val="clear" w:color="auto" w:fill="auto"/>
            <w:vAlign w:val="center"/>
          </w:tcPr>
          <w:p w14:paraId="74B7B6E9" w14:textId="4E36B377" w:rsidR="003B0C91" w:rsidRPr="00781112" w:rsidRDefault="003B0C91" w:rsidP="00360DD6">
            <w:pPr>
              <w:jc w:val="center"/>
              <w:rPr>
                <w:rFonts w:cs="Arial"/>
                <w:color w:val="000000" w:themeColor="text1"/>
                <w:szCs w:val="16"/>
              </w:rPr>
            </w:pPr>
            <w:r w:rsidRPr="00781112">
              <w:rPr>
                <w:rFonts w:cs="Arial"/>
                <w:color w:val="000000" w:themeColor="text1"/>
                <w:szCs w:val="16"/>
              </w:rPr>
              <w:t>107</w:t>
            </w:r>
          </w:p>
        </w:tc>
        <w:tc>
          <w:tcPr>
            <w:tcW w:w="1292" w:type="pct"/>
            <w:shd w:val="clear" w:color="auto" w:fill="auto"/>
            <w:vAlign w:val="center"/>
          </w:tcPr>
          <w:p w14:paraId="46F10147" w14:textId="1408D78A" w:rsidR="003B0C91" w:rsidRPr="00781112" w:rsidRDefault="003B0C91" w:rsidP="00360DD6">
            <w:pPr>
              <w:jc w:val="center"/>
              <w:rPr>
                <w:rFonts w:cs="Arial"/>
                <w:color w:val="000000" w:themeColor="text1"/>
                <w:szCs w:val="16"/>
              </w:rPr>
            </w:pPr>
            <w:r w:rsidRPr="00781112">
              <w:rPr>
                <w:rFonts w:cs="Arial"/>
                <w:color w:val="000000" w:themeColor="text1"/>
                <w:szCs w:val="16"/>
              </w:rPr>
              <w:t>125</w:t>
            </w:r>
          </w:p>
        </w:tc>
      </w:tr>
      <w:tr w:rsidR="003B0C91" w:rsidRPr="00781112" w14:paraId="41239D5E" w14:textId="77777777" w:rsidTr="009E026B">
        <w:tc>
          <w:tcPr>
            <w:tcW w:w="1124" w:type="pct"/>
            <w:shd w:val="clear" w:color="auto" w:fill="auto"/>
          </w:tcPr>
          <w:p w14:paraId="5F79CC0F" w14:textId="181C3E67" w:rsidR="003B0C91" w:rsidRPr="00781112" w:rsidRDefault="003B0C91" w:rsidP="003B0C91">
            <w:pPr>
              <w:rPr>
                <w:rFonts w:cs="Arial"/>
                <w:color w:val="000000" w:themeColor="text1"/>
                <w:szCs w:val="16"/>
              </w:rPr>
            </w:pPr>
            <w:r w:rsidRPr="00781112">
              <w:rPr>
                <w:rFonts w:cs="Arial"/>
                <w:szCs w:val="16"/>
                <w:shd w:val="clear" w:color="auto" w:fill="FFFFFF"/>
              </w:rPr>
              <w:t xml:space="preserve">c. </w:t>
            </w:r>
            <w:r w:rsidR="005527CB">
              <w:rPr>
                <w:rFonts w:cs="Arial"/>
                <w:color w:val="000000" w:themeColor="text1"/>
                <w:szCs w:val="16"/>
              </w:rPr>
              <w:t xml:space="preserve">Children with </w:t>
            </w:r>
            <w:r w:rsidRPr="00781112">
              <w:rPr>
                <w:rFonts w:cs="Arial"/>
                <w:szCs w:val="16"/>
                <w:shd w:val="clear" w:color="auto" w:fill="FFFFFF"/>
              </w:rPr>
              <w:t>IEPs in regular assessment with accommodations scored at or above proficient against grade level</w:t>
            </w:r>
          </w:p>
        </w:tc>
        <w:tc>
          <w:tcPr>
            <w:tcW w:w="1292" w:type="pct"/>
            <w:shd w:val="clear" w:color="auto" w:fill="auto"/>
            <w:vAlign w:val="center"/>
          </w:tcPr>
          <w:p w14:paraId="5E9652E2" w14:textId="24316F52" w:rsidR="003B0C91" w:rsidRPr="00781112" w:rsidRDefault="003B0C91" w:rsidP="00360DD6">
            <w:pPr>
              <w:jc w:val="center"/>
              <w:rPr>
                <w:rFonts w:cs="Arial"/>
                <w:color w:val="000000" w:themeColor="text1"/>
                <w:szCs w:val="16"/>
              </w:rPr>
            </w:pPr>
            <w:r w:rsidRPr="00781112">
              <w:rPr>
                <w:rFonts w:cs="Arial"/>
                <w:color w:val="000000" w:themeColor="text1"/>
                <w:szCs w:val="16"/>
              </w:rPr>
              <w:t>287</w:t>
            </w:r>
          </w:p>
        </w:tc>
        <w:tc>
          <w:tcPr>
            <w:tcW w:w="1292" w:type="pct"/>
            <w:shd w:val="clear" w:color="auto" w:fill="auto"/>
            <w:vAlign w:val="center"/>
          </w:tcPr>
          <w:p w14:paraId="47F69679" w14:textId="3EDB1646" w:rsidR="003B0C91" w:rsidRPr="00781112" w:rsidRDefault="003B0C91" w:rsidP="00360DD6">
            <w:pPr>
              <w:jc w:val="center"/>
              <w:rPr>
                <w:rFonts w:cs="Arial"/>
                <w:color w:val="000000" w:themeColor="text1"/>
                <w:szCs w:val="16"/>
              </w:rPr>
            </w:pPr>
            <w:r w:rsidRPr="00781112">
              <w:rPr>
                <w:rFonts w:cs="Arial"/>
                <w:color w:val="000000" w:themeColor="text1"/>
                <w:szCs w:val="16"/>
              </w:rPr>
              <w:t>190</w:t>
            </w:r>
          </w:p>
        </w:tc>
        <w:tc>
          <w:tcPr>
            <w:tcW w:w="1292" w:type="pct"/>
            <w:shd w:val="clear" w:color="auto" w:fill="auto"/>
            <w:vAlign w:val="center"/>
          </w:tcPr>
          <w:p w14:paraId="59F768C9" w14:textId="4401EA9F" w:rsidR="003B0C91" w:rsidRPr="00781112" w:rsidRDefault="003B0C91" w:rsidP="00360DD6">
            <w:pPr>
              <w:jc w:val="center"/>
              <w:rPr>
                <w:rFonts w:cs="Arial"/>
                <w:color w:val="000000" w:themeColor="text1"/>
                <w:szCs w:val="16"/>
              </w:rPr>
            </w:pPr>
            <w:r w:rsidRPr="00781112">
              <w:rPr>
                <w:rFonts w:cs="Arial"/>
                <w:color w:val="000000" w:themeColor="text1"/>
                <w:szCs w:val="16"/>
              </w:rPr>
              <w:t>119</w:t>
            </w:r>
          </w:p>
        </w:tc>
      </w:tr>
    </w:tbl>
    <w:p w14:paraId="5994F67E" w14:textId="77777777" w:rsidR="00346807" w:rsidRPr="00781112" w:rsidRDefault="00346807">
      <w:pPr>
        <w:rPr>
          <w:b/>
          <w:color w:val="000000" w:themeColor="text1"/>
        </w:rPr>
      </w:pPr>
    </w:p>
    <w:p w14:paraId="6D3557DD"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Data Source: </w:t>
      </w:r>
    </w:p>
    <w:p w14:paraId="1FB962F7" w14:textId="3D177E4C" w:rsidR="00C470E8" w:rsidRPr="00781112" w:rsidRDefault="002B7490" w:rsidP="00552927">
      <w:pPr>
        <w:rPr>
          <w:rFonts w:cs="Arial"/>
          <w:color w:val="000000" w:themeColor="text1"/>
          <w:szCs w:val="16"/>
        </w:rPr>
      </w:pPr>
      <w:r w:rsidRPr="00781112">
        <w:rPr>
          <w:rFonts w:cs="Arial"/>
          <w:color w:val="000000" w:themeColor="text1"/>
          <w:szCs w:val="16"/>
        </w:rPr>
        <w:t>SY 2023-24 Assessment Data Groups - Math (EDFacts file spec FS175; Data Group: 583)</w:t>
      </w:r>
    </w:p>
    <w:p w14:paraId="57CD97A4"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Date: </w:t>
      </w:r>
    </w:p>
    <w:p w14:paraId="33DEC24F" w14:textId="3FF3A0AF" w:rsidR="005D18BE" w:rsidRPr="00781112" w:rsidRDefault="002B7490" w:rsidP="00552927">
      <w:pPr>
        <w:rPr>
          <w:rFonts w:cs="Arial"/>
          <w:color w:val="000000" w:themeColor="text1"/>
          <w:szCs w:val="16"/>
        </w:rPr>
      </w:pPr>
      <w:r w:rsidRPr="00781112">
        <w:rPr>
          <w:rFonts w:cs="Arial"/>
          <w:color w:val="000000" w:themeColor="text1"/>
          <w:szCs w:val="16"/>
        </w:rPr>
        <w:t>01/08/2025</w:t>
      </w:r>
    </w:p>
    <w:p w14:paraId="5767F488" w14:textId="3F393894" w:rsidR="00FE2056" w:rsidRPr="00781112" w:rsidRDefault="00FE2056">
      <w:pPr>
        <w:rPr>
          <w:b/>
          <w:color w:val="000000" w:themeColor="text1"/>
        </w:rPr>
      </w:pPr>
      <w:r w:rsidRPr="00781112">
        <w:rPr>
          <w:b/>
          <w:color w:val="000000" w:themeColor="text1"/>
        </w:rPr>
        <w:t>Math Assessment Proficiency Data by Grade (1)</w:t>
      </w:r>
    </w:p>
    <w:tbl>
      <w:tblPr>
        <w:tblStyle w:val="TableGrid"/>
        <w:tblW w:w="4998" w:type="pct"/>
        <w:tblLayout w:type="fixed"/>
        <w:tblLook w:val="04A0" w:firstRow="1" w:lastRow="0" w:firstColumn="1" w:lastColumn="0" w:noHBand="0" w:noVBand="1"/>
        <w:tblCaption w:val="B03BASSPARTDATABYGRDMATH"/>
      </w:tblPr>
      <w:tblGrid>
        <w:gridCol w:w="2425"/>
        <w:gridCol w:w="2787"/>
        <w:gridCol w:w="2787"/>
        <w:gridCol w:w="2787"/>
      </w:tblGrid>
      <w:tr w:rsidR="00EB6900" w:rsidRPr="00781112" w14:paraId="1F3A5453" w14:textId="77777777" w:rsidTr="009E026B">
        <w:tc>
          <w:tcPr>
            <w:tcW w:w="1124" w:type="pct"/>
            <w:shd w:val="clear" w:color="auto" w:fill="auto"/>
          </w:tcPr>
          <w:p w14:paraId="5BF018F9" w14:textId="6FE6FA6F" w:rsidR="00EB6900" w:rsidRPr="00781112" w:rsidRDefault="00835EAD" w:rsidP="00EB6900">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24FAE140" w14:textId="0B22750E" w:rsidR="00EB6900" w:rsidRPr="00781112" w:rsidRDefault="00EB6900"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47A01117" w14:textId="43F14FF6" w:rsidR="00EB6900" w:rsidRPr="00781112" w:rsidRDefault="00EB6900"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62BC8C13" w14:textId="1B955AD9" w:rsidR="00EB6900" w:rsidRPr="00781112" w:rsidRDefault="00EB6900" w:rsidP="00E14CF0">
            <w:pPr>
              <w:jc w:val="center"/>
              <w:rPr>
                <w:rFonts w:cs="Arial"/>
                <w:b/>
                <w:bCs/>
                <w:color w:val="000000" w:themeColor="text1"/>
                <w:szCs w:val="16"/>
              </w:rPr>
            </w:pPr>
            <w:r w:rsidRPr="00781112">
              <w:rPr>
                <w:rFonts w:cs="Arial"/>
                <w:b/>
                <w:bCs/>
                <w:color w:val="000000" w:themeColor="text1"/>
                <w:szCs w:val="16"/>
              </w:rPr>
              <w:t>Grade HS</w:t>
            </w:r>
          </w:p>
        </w:tc>
      </w:tr>
      <w:tr w:rsidR="00EB6900" w:rsidRPr="00781112" w14:paraId="3E50404B" w14:textId="77777777" w:rsidTr="009E026B">
        <w:tc>
          <w:tcPr>
            <w:tcW w:w="1124" w:type="pct"/>
            <w:shd w:val="clear" w:color="auto" w:fill="auto"/>
          </w:tcPr>
          <w:p w14:paraId="1BC1C3E1" w14:textId="4BCAFF70" w:rsidR="00EB6900" w:rsidRPr="00781112" w:rsidRDefault="00EB6900" w:rsidP="00EB6900">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73844C67" w14:textId="1DA65780" w:rsidR="00EB6900" w:rsidRPr="00781112" w:rsidRDefault="00EB6900" w:rsidP="00360DD6">
            <w:pPr>
              <w:jc w:val="center"/>
              <w:rPr>
                <w:rFonts w:cs="Arial"/>
                <w:color w:val="000000" w:themeColor="text1"/>
                <w:szCs w:val="16"/>
              </w:rPr>
            </w:pPr>
            <w:r w:rsidRPr="00781112">
              <w:rPr>
                <w:rFonts w:cs="Arial"/>
                <w:color w:val="000000" w:themeColor="text1"/>
                <w:szCs w:val="16"/>
              </w:rPr>
              <w:t>3,980</w:t>
            </w:r>
          </w:p>
        </w:tc>
        <w:tc>
          <w:tcPr>
            <w:tcW w:w="1292" w:type="pct"/>
            <w:shd w:val="clear" w:color="auto" w:fill="auto"/>
            <w:vAlign w:val="center"/>
          </w:tcPr>
          <w:p w14:paraId="3573F811" w14:textId="4BE7EE48" w:rsidR="00EB6900" w:rsidRPr="00781112" w:rsidRDefault="00EB6900" w:rsidP="00360DD6">
            <w:pPr>
              <w:jc w:val="center"/>
              <w:rPr>
                <w:rFonts w:cs="Arial"/>
                <w:color w:val="000000" w:themeColor="text1"/>
                <w:szCs w:val="16"/>
              </w:rPr>
            </w:pPr>
            <w:r w:rsidRPr="00781112">
              <w:rPr>
                <w:rFonts w:cs="Arial"/>
                <w:color w:val="000000" w:themeColor="text1"/>
                <w:szCs w:val="16"/>
              </w:rPr>
              <w:t>3,197</w:t>
            </w:r>
          </w:p>
        </w:tc>
        <w:tc>
          <w:tcPr>
            <w:tcW w:w="1292" w:type="pct"/>
            <w:shd w:val="clear" w:color="auto" w:fill="auto"/>
            <w:vAlign w:val="center"/>
          </w:tcPr>
          <w:p w14:paraId="3D006657" w14:textId="5E74B673" w:rsidR="00EB6900" w:rsidRPr="00781112" w:rsidRDefault="00EB6900" w:rsidP="00360DD6">
            <w:pPr>
              <w:jc w:val="center"/>
              <w:rPr>
                <w:rFonts w:cs="Arial"/>
                <w:color w:val="000000" w:themeColor="text1"/>
                <w:szCs w:val="16"/>
              </w:rPr>
            </w:pPr>
            <w:r w:rsidRPr="00781112">
              <w:rPr>
                <w:rFonts w:cs="Arial"/>
                <w:color w:val="000000" w:themeColor="text1"/>
                <w:szCs w:val="16"/>
              </w:rPr>
              <w:t>2,327</w:t>
            </w:r>
          </w:p>
        </w:tc>
      </w:tr>
      <w:tr w:rsidR="00EB6900" w:rsidRPr="00781112" w14:paraId="4482EF44" w14:textId="77777777" w:rsidTr="009E026B">
        <w:tc>
          <w:tcPr>
            <w:tcW w:w="1124" w:type="pct"/>
            <w:shd w:val="clear" w:color="auto" w:fill="auto"/>
          </w:tcPr>
          <w:p w14:paraId="27BF445B" w14:textId="0D33636A" w:rsidR="00EB6900" w:rsidRPr="00781112" w:rsidRDefault="00EB6900" w:rsidP="00EB6900">
            <w:pPr>
              <w:rPr>
                <w:rFonts w:cs="Arial"/>
                <w:color w:val="000000" w:themeColor="text1"/>
                <w:szCs w:val="16"/>
              </w:rPr>
            </w:pPr>
            <w:r w:rsidRPr="00781112">
              <w:rPr>
                <w:rFonts w:cs="Arial"/>
                <w:szCs w:val="16"/>
                <w:shd w:val="clear" w:color="auto" w:fill="FFFFFF"/>
              </w:rPr>
              <w:t>b. Children with IEPs in regular assessment with no accommodations scored at or above proficient against grade level</w:t>
            </w:r>
          </w:p>
        </w:tc>
        <w:tc>
          <w:tcPr>
            <w:tcW w:w="1292" w:type="pct"/>
            <w:shd w:val="clear" w:color="auto" w:fill="auto"/>
            <w:vAlign w:val="center"/>
          </w:tcPr>
          <w:p w14:paraId="6FAE18FE" w14:textId="45CDD134" w:rsidR="00EB6900" w:rsidRPr="00781112" w:rsidRDefault="00EB6900" w:rsidP="00360DD6">
            <w:pPr>
              <w:jc w:val="center"/>
              <w:rPr>
                <w:rFonts w:cs="Arial"/>
                <w:color w:val="000000" w:themeColor="text1"/>
                <w:szCs w:val="16"/>
              </w:rPr>
            </w:pPr>
            <w:r w:rsidRPr="00781112">
              <w:rPr>
                <w:rFonts w:cs="Arial"/>
                <w:color w:val="000000" w:themeColor="text1"/>
                <w:szCs w:val="16"/>
              </w:rPr>
              <w:t>483</w:t>
            </w:r>
          </w:p>
        </w:tc>
        <w:tc>
          <w:tcPr>
            <w:tcW w:w="1292" w:type="pct"/>
            <w:shd w:val="clear" w:color="auto" w:fill="auto"/>
            <w:vAlign w:val="center"/>
          </w:tcPr>
          <w:p w14:paraId="0501C27C" w14:textId="424208A4" w:rsidR="00EB6900" w:rsidRPr="00781112" w:rsidRDefault="00EB6900" w:rsidP="00360DD6">
            <w:pPr>
              <w:jc w:val="center"/>
              <w:rPr>
                <w:rFonts w:cs="Arial"/>
                <w:color w:val="000000" w:themeColor="text1"/>
                <w:szCs w:val="16"/>
              </w:rPr>
            </w:pPr>
            <w:r w:rsidRPr="00781112">
              <w:rPr>
                <w:rFonts w:cs="Arial"/>
                <w:color w:val="000000" w:themeColor="text1"/>
                <w:szCs w:val="16"/>
              </w:rPr>
              <w:t>63</w:t>
            </w:r>
          </w:p>
        </w:tc>
        <w:tc>
          <w:tcPr>
            <w:tcW w:w="1292" w:type="pct"/>
            <w:shd w:val="clear" w:color="auto" w:fill="auto"/>
            <w:vAlign w:val="center"/>
          </w:tcPr>
          <w:p w14:paraId="2F8ECC6A" w14:textId="065827BA" w:rsidR="00EB6900" w:rsidRPr="00781112" w:rsidRDefault="00EB6900" w:rsidP="00360DD6">
            <w:pPr>
              <w:jc w:val="center"/>
              <w:rPr>
                <w:rFonts w:cs="Arial"/>
                <w:color w:val="000000" w:themeColor="text1"/>
                <w:szCs w:val="16"/>
              </w:rPr>
            </w:pPr>
            <w:r w:rsidRPr="00781112">
              <w:rPr>
                <w:rFonts w:cs="Arial"/>
                <w:color w:val="000000" w:themeColor="text1"/>
                <w:szCs w:val="16"/>
              </w:rPr>
              <w:t>38</w:t>
            </w:r>
          </w:p>
        </w:tc>
      </w:tr>
      <w:tr w:rsidR="00EB6900" w:rsidRPr="00781112" w14:paraId="7ED983D3" w14:textId="77777777" w:rsidTr="009E026B">
        <w:tc>
          <w:tcPr>
            <w:tcW w:w="1124" w:type="pct"/>
            <w:shd w:val="clear" w:color="auto" w:fill="auto"/>
          </w:tcPr>
          <w:p w14:paraId="6E21D958" w14:textId="7EF8B281" w:rsidR="00EB6900" w:rsidRPr="00781112" w:rsidRDefault="00EB6900" w:rsidP="00EB6900">
            <w:pPr>
              <w:rPr>
                <w:rFonts w:cs="Arial"/>
                <w:color w:val="000000" w:themeColor="text1"/>
                <w:szCs w:val="16"/>
              </w:rPr>
            </w:pPr>
            <w:r w:rsidRPr="00781112">
              <w:rPr>
                <w:rFonts w:cs="Arial"/>
                <w:szCs w:val="16"/>
                <w:shd w:val="clear" w:color="auto" w:fill="FFFFFF"/>
              </w:rPr>
              <w:t>c. Children with IEPs in regular assessment with accommodations scored at or above proficient against grade level</w:t>
            </w:r>
          </w:p>
        </w:tc>
        <w:tc>
          <w:tcPr>
            <w:tcW w:w="1292" w:type="pct"/>
            <w:shd w:val="clear" w:color="auto" w:fill="auto"/>
            <w:vAlign w:val="center"/>
          </w:tcPr>
          <w:p w14:paraId="239BF66A" w14:textId="489CBBAB" w:rsidR="00EB6900" w:rsidRPr="00781112" w:rsidRDefault="00EB6900" w:rsidP="00360DD6">
            <w:pPr>
              <w:jc w:val="center"/>
              <w:rPr>
                <w:rFonts w:cs="Arial"/>
                <w:color w:val="000000" w:themeColor="text1"/>
                <w:szCs w:val="16"/>
              </w:rPr>
            </w:pPr>
            <w:r w:rsidRPr="00781112">
              <w:rPr>
                <w:rFonts w:cs="Arial"/>
                <w:color w:val="000000" w:themeColor="text1"/>
                <w:szCs w:val="16"/>
              </w:rPr>
              <w:t>306</w:t>
            </w:r>
          </w:p>
        </w:tc>
        <w:tc>
          <w:tcPr>
            <w:tcW w:w="1292" w:type="pct"/>
            <w:shd w:val="clear" w:color="auto" w:fill="auto"/>
            <w:vAlign w:val="center"/>
          </w:tcPr>
          <w:p w14:paraId="3148F449" w14:textId="071E2D42" w:rsidR="00EB6900" w:rsidRPr="00781112" w:rsidRDefault="00EB6900" w:rsidP="00360DD6">
            <w:pPr>
              <w:jc w:val="center"/>
              <w:rPr>
                <w:rFonts w:cs="Arial"/>
                <w:color w:val="000000" w:themeColor="text1"/>
                <w:szCs w:val="16"/>
              </w:rPr>
            </w:pPr>
            <w:r w:rsidRPr="00781112">
              <w:rPr>
                <w:rFonts w:cs="Arial"/>
                <w:color w:val="000000" w:themeColor="text1"/>
                <w:szCs w:val="16"/>
              </w:rPr>
              <w:t>85</w:t>
            </w:r>
          </w:p>
        </w:tc>
        <w:tc>
          <w:tcPr>
            <w:tcW w:w="1292" w:type="pct"/>
            <w:shd w:val="clear" w:color="auto" w:fill="auto"/>
            <w:vAlign w:val="center"/>
          </w:tcPr>
          <w:p w14:paraId="56D05BB3" w14:textId="5F6BA567" w:rsidR="00EB6900" w:rsidRPr="00781112" w:rsidRDefault="00EB6900" w:rsidP="00360DD6">
            <w:pPr>
              <w:jc w:val="center"/>
              <w:rPr>
                <w:rFonts w:cs="Arial"/>
                <w:color w:val="000000" w:themeColor="text1"/>
                <w:szCs w:val="16"/>
              </w:rPr>
            </w:pPr>
            <w:r w:rsidRPr="00781112">
              <w:rPr>
                <w:rFonts w:cs="Arial"/>
                <w:color w:val="000000" w:themeColor="text1"/>
                <w:szCs w:val="16"/>
              </w:rPr>
              <w:t>16</w:t>
            </w:r>
          </w:p>
        </w:tc>
      </w:tr>
    </w:tbl>
    <w:bookmarkEnd w:id="14"/>
    <w:p w14:paraId="122AE711" w14:textId="77777777" w:rsidR="00502870" w:rsidRDefault="00502870" w:rsidP="00502870">
      <w:pPr>
        <w:pStyle w:val="Subhed"/>
        <w:rPr>
          <w:b w:val="0"/>
          <w:bCs/>
        </w:rPr>
      </w:pPr>
      <w:r w:rsidRPr="00580D24">
        <w:rPr>
          <w:b w:val="0"/>
          <w:bCs/>
        </w:rPr>
        <w:t>(1)The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1A4F8ED6" w14:textId="77777777" w:rsidR="00966232" w:rsidRPr="00781112" w:rsidRDefault="00966232" w:rsidP="004369B2">
      <w:pPr>
        <w:rPr>
          <w:color w:val="000000" w:themeColor="text1"/>
        </w:rPr>
      </w:pPr>
    </w:p>
    <w:p w14:paraId="1E1876C6" w14:textId="50B2F028" w:rsidR="00E539AB" w:rsidRPr="00781112" w:rsidRDefault="0047313F" w:rsidP="004369B2">
      <w:pPr>
        <w:rPr>
          <w:b/>
          <w:color w:val="000000" w:themeColor="text1"/>
        </w:rPr>
      </w:pPr>
      <w:r>
        <w:rPr>
          <w:b/>
          <w:color w:val="000000" w:themeColor="text1"/>
        </w:rPr>
        <w:t>FFY 2023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RLA"/>
      </w:tblPr>
      <w:tblGrid>
        <w:gridCol w:w="428"/>
        <w:gridCol w:w="888"/>
        <w:gridCol w:w="2027"/>
        <w:gridCol w:w="2026"/>
        <w:gridCol w:w="1085"/>
        <w:gridCol w:w="1085"/>
        <w:gridCol w:w="1085"/>
        <w:gridCol w:w="1085"/>
        <w:gridCol w:w="1081"/>
      </w:tblGrid>
      <w:tr w:rsidR="00FA33C9" w:rsidRPr="00781112" w14:paraId="52CF9222" w14:textId="5C9FC6C2" w:rsidTr="004B3F40">
        <w:trPr>
          <w:tblHeader/>
        </w:trPr>
        <w:tc>
          <w:tcPr>
            <w:tcW w:w="198" w:type="pct"/>
            <w:shd w:val="clear" w:color="auto" w:fill="auto"/>
            <w:vAlign w:val="bottom"/>
          </w:tcPr>
          <w:p w14:paraId="5B0C0A4E" w14:textId="31160362" w:rsidR="00FA33C9" w:rsidRPr="00781112" w:rsidRDefault="00FA33C9" w:rsidP="00FA33C9">
            <w:pPr>
              <w:jc w:val="center"/>
              <w:rPr>
                <w:b/>
                <w:color w:val="000000" w:themeColor="text1"/>
              </w:rPr>
            </w:pPr>
            <w:r w:rsidRPr="00781112">
              <w:rPr>
                <w:b/>
                <w:color w:val="000000" w:themeColor="text1"/>
              </w:rPr>
              <w:lastRenderedPageBreak/>
              <w:t>Group</w:t>
            </w:r>
          </w:p>
        </w:tc>
        <w:tc>
          <w:tcPr>
            <w:tcW w:w="411" w:type="pct"/>
            <w:shd w:val="clear" w:color="auto" w:fill="auto"/>
            <w:vAlign w:val="bottom"/>
          </w:tcPr>
          <w:p w14:paraId="08D526E5" w14:textId="4BDB327D" w:rsidR="00FA33C9" w:rsidRPr="00781112" w:rsidRDefault="00FA33C9" w:rsidP="00FA33C9">
            <w:pPr>
              <w:jc w:val="center"/>
              <w:rPr>
                <w:b/>
                <w:color w:val="000000" w:themeColor="text1"/>
              </w:rPr>
            </w:pPr>
            <w:r w:rsidRPr="00781112">
              <w:rPr>
                <w:b/>
                <w:color w:val="000000" w:themeColor="text1"/>
              </w:rPr>
              <w:t>Group Name</w:t>
            </w:r>
          </w:p>
        </w:tc>
        <w:tc>
          <w:tcPr>
            <w:tcW w:w="939" w:type="pct"/>
            <w:shd w:val="clear" w:color="auto" w:fill="auto"/>
          </w:tcPr>
          <w:p w14:paraId="198DD72E" w14:textId="3FB5565B" w:rsidR="00FA33C9" w:rsidRPr="00781112" w:rsidRDefault="00FA33C9" w:rsidP="00FA33C9">
            <w:pPr>
              <w:jc w:val="center"/>
              <w:rPr>
                <w:b/>
                <w:bCs/>
                <w:color w:val="000000" w:themeColor="text1"/>
              </w:rPr>
            </w:pPr>
            <w:r w:rsidRPr="00781112">
              <w:rPr>
                <w:b/>
                <w:bCs/>
              </w:rPr>
              <w:t>Number of Children with IEPs Scoring At or Above Proficient Against Grade Level Academic Achievement Standards</w:t>
            </w:r>
          </w:p>
        </w:tc>
        <w:tc>
          <w:tcPr>
            <w:tcW w:w="939" w:type="pct"/>
            <w:shd w:val="clear" w:color="auto" w:fill="auto"/>
          </w:tcPr>
          <w:p w14:paraId="43067EB5" w14:textId="1B6A6AEE" w:rsidR="00FA33C9" w:rsidRPr="00781112" w:rsidRDefault="00FA33C9" w:rsidP="00FA33C9">
            <w:pPr>
              <w:jc w:val="center"/>
              <w:rPr>
                <w:b/>
                <w:bCs/>
                <w:color w:val="000000" w:themeColor="text1"/>
              </w:rPr>
            </w:pPr>
            <w:r w:rsidRPr="00781112">
              <w:rPr>
                <w:b/>
                <w:bCs/>
              </w:rPr>
              <w:t>Number of Children with IEPs who Received a Valid Score and for whom a Proficiency Level was Assigned for the Regular Assessment</w:t>
            </w:r>
          </w:p>
        </w:tc>
        <w:tc>
          <w:tcPr>
            <w:tcW w:w="503" w:type="pct"/>
            <w:shd w:val="clear" w:color="auto" w:fill="auto"/>
            <w:vAlign w:val="bottom"/>
          </w:tcPr>
          <w:p w14:paraId="18374487" w14:textId="7BB3FEB4" w:rsidR="00FA33C9" w:rsidRPr="00073BD7" w:rsidRDefault="00FA33C9" w:rsidP="00FA33C9">
            <w:pPr>
              <w:jc w:val="center"/>
              <w:rPr>
                <w:b/>
                <w:bCs/>
                <w:color w:val="000000" w:themeColor="text1"/>
              </w:rPr>
            </w:pPr>
            <w:r w:rsidRPr="00073BD7">
              <w:rPr>
                <w:b/>
                <w:bCs/>
              </w:rPr>
              <w:t>FFY 2022 Data</w:t>
            </w:r>
          </w:p>
        </w:tc>
        <w:tc>
          <w:tcPr>
            <w:tcW w:w="503" w:type="pct"/>
            <w:shd w:val="clear" w:color="auto" w:fill="auto"/>
            <w:vAlign w:val="bottom"/>
          </w:tcPr>
          <w:p w14:paraId="3E51680E" w14:textId="433F26DE" w:rsidR="00FA33C9" w:rsidRPr="00073BD7" w:rsidRDefault="00FA33C9" w:rsidP="00FA33C9">
            <w:pPr>
              <w:jc w:val="center"/>
              <w:rPr>
                <w:b/>
                <w:bCs/>
                <w:color w:val="000000" w:themeColor="text1"/>
              </w:rPr>
            </w:pPr>
            <w:r w:rsidRPr="00073BD7">
              <w:rPr>
                <w:b/>
                <w:bCs/>
              </w:rPr>
              <w:t>FFY 2023 Target</w:t>
            </w:r>
          </w:p>
        </w:tc>
        <w:tc>
          <w:tcPr>
            <w:tcW w:w="503" w:type="pct"/>
            <w:shd w:val="clear" w:color="auto" w:fill="auto"/>
            <w:vAlign w:val="bottom"/>
          </w:tcPr>
          <w:p w14:paraId="29685ECA" w14:textId="68C2E6A4" w:rsidR="00FA33C9" w:rsidRPr="00073BD7" w:rsidRDefault="00FA33C9" w:rsidP="00FA33C9">
            <w:pPr>
              <w:jc w:val="center"/>
              <w:rPr>
                <w:b/>
                <w:bCs/>
                <w:color w:val="000000" w:themeColor="text1"/>
              </w:rPr>
            </w:pPr>
            <w:r w:rsidRPr="00073BD7">
              <w:rPr>
                <w:b/>
                <w:bCs/>
              </w:rPr>
              <w:t>FFY 2023 Data</w:t>
            </w:r>
          </w:p>
        </w:tc>
        <w:tc>
          <w:tcPr>
            <w:tcW w:w="503" w:type="pct"/>
            <w:shd w:val="clear" w:color="auto" w:fill="auto"/>
            <w:vAlign w:val="bottom"/>
          </w:tcPr>
          <w:p w14:paraId="5E9D6295" w14:textId="7F28EB50" w:rsidR="00FA33C9" w:rsidRPr="00781112" w:rsidRDefault="00FA33C9" w:rsidP="00FA33C9">
            <w:pPr>
              <w:jc w:val="center"/>
              <w:rPr>
                <w:b/>
                <w:color w:val="000000" w:themeColor="text1"/>
              </w:rPr>
            </w:pPr>
            <w:r w:rsidRPr="00781112">
              <w:rPr>
                <w:b/>
                <w:color w:val="000000" w:themeColor="text1"/>
              </w:rPr>
              <w:t>Status</w:t>
            </w:r>
          </w:p>
        </w:tc>
        <w:tc>
          <w:tcPr>
            <w:tcW w:w="501" w:type="pct"/>
            <w:shd w:val="clear" w:color="auto" w:fill="auto"/>
            <w:vAlign w:val="bottom"/>
          </w:tcPr>
          <w:p w14:paraId="7898EF38" w14:textId="75DFA010" w:rsidR="00FA33C9" w:rsidRPr="00781112" w:rsidRDefault="00FA33C9" w:rsidP="00FA33C9">
            <w:pPr>
              <w:jc w:val="center"/>
              <w:rPr>
                <w:b/>
                <w:color w:val="000000" w:themeColor="text1"/>
              </w:rPr>
            </w:pPr>
            <w:r w:rsidRPr="00781112">
              <w:rPr>
                <w:b/>
                <w:color w:val="000000" w:themeColor="text1"/>
              </w:rPr>
              <w:t>Slippage</w:t>
            </w:r>
          </w:p>
        </w:tc>
      </w:tr>
      <w:tr w:rsidR="00AD0E97" w:rsidRPr="00781112" w14:paraId="7760B96D" w14:textId="1E1E2305" w:rsidTr="004B3F40">
        <w:tc>
          <w:tcPr>
            <w:tcW w:w="198" w:type="pct"/>
            <w:shd w:val="clear" w:color="auto" w:fill="auto"/>
            <w:vAlign w:val="center"/>
          </w:tcPr>
          <w:p w14:paraId="6F54F4BD" w14:textId="3AB2A2E6"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A</w:t>
            </w:r>
          </w:p>
        </w:tc>
        <w:tc>
          <w:tcPr>
            <w:tcW w:w="411" w:type="pct"/>
            <w:shd w:val="clear" w:color="auto" w:fill="auto"/>
            <w:vAlign w:val="center"/>
          </w:tcPr>
          <w:p w14:paraId="1AF12AAB" w14:textId="02722A5C"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4</w:t>
            </w:r>
          </w:p>
        </w:tc>
        <w:tc>
          <w:tcPr>
            <w:tcW w:w="939" w:type="pct"/>
            <w:shd w:val="clear" w:color="auto" w:fill="auto"/>
            <w:vAlign w:val="center"/>
          </w:tcPr>
          <w:p w14:paraId="0D75EC1C" w14:textId="5C94E807" w:rsidR="00AD0E97" w:rsidRPr="00781112" w:rsidRDefault="00AD0E97" w:rsidP="00AD0E97">
            <w:pPr>
              <w:jc w:val="center"/>
              <w:rPr>
                <w:rFonts w:cs="Arial"/>
                <w:color w:val="000000" w:themeColor="text1"/>
                <w:szCs w:val="16"/>
              </w:rPr>
            </w:pPr>
            <w:r w:rsidRPr="00781112">
              <w:rPr>
                <w:rFonts w:cs="Arial"/>
                <w:color w:val="000000"/>
                <w:szCs w:val="16"/>
              </w:rPr>
              <w:t>733</w:t>
            </w:r>
          </w:p>
        </w:tc>
        <w:tc>
          <w:tcPr>
            <w:tcW w:w="939" w:type="pct"/>
            <w:shd w:val="clear" w:color="auto" w:fill="auto"/>
            <w:vAlign w:val="center"/>
          </w:tcPr>
          <w:p w14:paraId="7E6A021B" w14:textId="57963DE4" w:rsidR="00AD0E97" w:rsidRPr="00781112" w:rsidRDefault="00AD0E97" w:rsidP="00AD0E97">
            <w:pPr>
              <w:jc w:val="center"/>
              <w:rPr>
                <w:rFonts w:cs="Arial"/>
                <w:color w:val="000000" w:themeColor="text1"/>
                <w:szCs w:val="16"/>
              </w:rPr>
            </w:pPr>
            <w:r w:rsidRPr="00781112">
              <w:rPr>
                <w:rFonts w:cs="Arial"/>
                <w:color w:val="000000" w:themeColor="text1"/>
                <w:szCs w:val="16"/>
              </w:rPr>
              <w:t>3,985</w:t>
            </w:r>
          </w:p>
        </w:tc>
        <w:tc>
          <w:tcPr>
            <w:tcW w:w="503" w:type="pct"/>
            <w:shd w:val="clear" w:color="auto" w:fill="auto"/>
            <w:vAlign w:val="center"/>
          </w:tcPr>
          <w:p w14:paraId="69FD37B5" w14:textId="09B40B87" w:rsidR="00AD0E97" w:rsidRPr="00781112" w:rsidRDefault="00AD0E97" w:rsidP="00AD0E97">
            <w:pPr>
              <w:jc w:val="center"/>
              <w:rPr>
                <w:rFonts w:cs="Arial"/>
                <w:color w:val="000000" w:themeColor="text1"/>
                <w:szCs w:val="16"/>
              </w:rPr>
            </w:pPr>
            <w:r w:rsidRPr="00781112">
              <w:rPr>
                <w:rFonts w:cs="Arial"/>
                <w:color w:val="000000" w:themeColor="text1"/>
                <w:szCs w:val="16"/>
              </w:rPr>
              <w:t>16.07%</w:t>
            </w:r>
          </w:p>
        </w:tc>
        <w:tc>
          <w:tcPr>
            <w:tcW w:w="503" w:type="pct"/>
            <w:shd w:val="clear" w:color="auto" w:fill="auto"/>
            <w:vAlign w:val="center"/>
          </w:tcPr>
          <w:p w14:paraId="482B7D09" w14:textId="62AFAA78" w:rsidR="00AD0E97" w:rsidRPr="00781112" w:rsidRDefault="00AD0E97" w:rsidP="00AD0E97">
            <w:pPr>
              <w:jc w:val="center"/>
              <w:rPr>
                <w:rFonts w:cs="Arial"/>
                <w:color w:val="000000" w:themeColor="text1"/>
                <w:szCs w:val="16"/>
              </w:rPr>
            </w:pPr>
            <w:r w:rsidRPr="00781112">
              <w:rPr>
                <w:rFonts w:cs="Arial"/>
                <w:color w:val="000000" w:themeColor="text1"/>
                <w:szCs w:val="16"/>
              </w:rPr>
              <w:t>17.40%</w:t>
            </w:r>
          </w:p>
        </w:tc>
        <w:tc>
          <w:tcPr>
            <w:tcW w:w="503" w:type="pct"/>
            <w:shd w:val="clear" w:color="auto" w:fill="auto"/>
            <w:vAlign w:val="center"/>
          </w:tcPr>
          <w:p w14:paraId="120D94C1" w14:textId="45B7E096" w:rsidR="00AD0E97" w:rsidRPr="00781112" w:rsidRDefault="00AD0E97" w:rsidP="00AD0E97">
            <w:pPr>
              <w:jc w:val="center"/>
              <w:rPr>
                <w:rFonts w:cs="Arial"/>
                <w:color w:val="000000" w:themeColor="text1"/>
                <w:szCs w:val="16"/>
              </w:rPr>
            </w:pPr>
            <w:r w:rsidRPr="00781112">
              <w:rPr>
                <w:rFonts w:cs="Arial"/>
                <w:color w:val="000000" w:themeColor="text1"/>
                <w:szCs w:val="16"/>
              </w:rPr>
              <w:t>18.39%</w:t>
            </w:r>
          </w:p>
        </w:tc>
        <w:tc>
          <w:tcPr>
            <w:tcW w:w="503" w:type="pct"/>
            <w:shd w:val="clear" w:color="auto" w:fill="auto"/>
            <w:vAlign w:val="center"/>
          </w:tcPr>
          <w:p w14:paraId="4C985877" w14:textId="6C415586" w:rsidR="00AD0E97" w:rsidRPr="00781112" w:rsidRDefault="00AD0E97" w:rsidP="00AD0E97">
            <w:pPr>
              <w:jc w:val="center"/>
              <w:rPr>
                <w:rFonts w:cs="Arial"/>
                <w:color w:val="000000" w:themeColor="text1"/>
                <w:szCs w:val="16"/>
              </w:rPr>
            </w:pPr>
            <w:r w:rsidRPr="00781112">
              <w:rPr>
                <w:rFonts w:cs="Arial"/>
                <w:color w:val="000000" w:themeColor="text1"/>
                <w:szCs w:val="16"/>
              </w:rPr>
              <w:t>Met target</w:t>
            </w:r>
          </w:p>
        </w:tc>
        <w:tc>
          <w:tcPr>
            <w:tcW w:w="501" w:type="pct"/>
            <w:shd w:val="clear" w:color="auto" w:fill="auto"/>
            <w:vAlign w:val="center"/>
          </w:tcPr>
          <w:p w14:paraId="05322B0C" w14:textId="7DA1FCC0"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7A5387EE" w14:textId="77777777" w:rsidTr="004B3F40">
        <w:tc>
          <w:tcPr>
            <w:tcW w:w="198" w:type="pct"/>
            <w:shd w:val="clear" w:color="auto" w:fill="auto"/>
            <w:vAlign w:val="center"/>
          </w:tcPr>
          <w:p w14:paraId="729AFDF4" w14:textId="72203283"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B</w:t>
            </w:r>
          </w:p>
        </w:tc>
        <w:tc>
          <w:tcPr>
            <w:tcW w:w="411" w:type="pct"/>
            <w:shd w:val="clear" w:color="auto" w:fill="auto"/>
            <w:vAlign w:val="center"/>
          </w:tcPr>
          <w:p w14:paraId="33B7C97E" w14:textId="6E25E05B"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8</w:t>
            </w:r>
          </w:p>
        </w:tc>
        <w:tc>
          <w:tcPr>
            <w:tcW w:w="939" w:type="pct"/>
            <w:shd w:val="clear" w:color="auto" w:fill="auto"/>
            <w:vAlign w:val="center"/>
          </w:tcPr>
          <w:p w14:paraId="3F0D6576" w14:textId="39D13C81" w:rsidR="00AD0E97" w:rsidRPr="00781112" w:rsidRDefault="00AD0E97" w:rsidP="00AD0E97">
            <w:pPr>
              <w:jc w:val="center"/>
              <w:rPr>
                <w:rFonts w:cs="Arial"/>
                <w:color w:val="000000" w:themeColor="text1"/>
                <w:szCs w:val="16"/>
              </w:rPr>
            </w:pPr>
            <w:r w:rsidRPr="00781112">
              <w:rPr>
                <w:rFonts w:cs="Arial"/>
                <w:color w:val="000000"/>
                <w:szCs w:val="16"/>
              </w:rPr>
              <w:t>297</w:t>
            </w:r>
          </w:p>
        </w:tc>
        <w:tc>
          <w:tcPr>
            <w:tcW w:w="939" w:type="pct"/>
            <w:shd w:val="clear" w:color="auto" w:fill="auto"/>
            <w:vAlign w:val="center"/>
          </w:tcPr>
          <w:p w14:paraId="7FFA4863" w14:textId="2B0AF130" w:rsidR="00AD0E97" w:rsidRPr="00781112" w:rsidRDefault="00AD0E97" w:rsidP="00AD0E97">
            <w:pPr>
              <w:jc w:val="center"/>
              <w:rPr>
                <w:rFonts w:cs="Arial"/>
                <w:color w:val="000000" w:themeColor="text1"/>
                <w:szCs w:val="16"/>
              </w:rPr>
            </w:pPr>
            <w:r w:rsidRPr="00781112">
              <w:rPr>
                <w:rFonts w:cs="Arial"/>
                <w:color w:val="000000" w:themeColor="text1"/>
                <w:szCs w:val="16"/>
              </w:rPr>
              <w:t>3,205</w:t>
            </w:r>
          </w:p>
        </w:tc>
        <w:tc>
          <w:tcPr>
            <w:tcW w:w="503" w:type="pct"/>
            <w:shd w:val="clear" w:color="auto" w:fill="auto"/>
            <w:vAlign w:val="center"/>
          </w:tcPr>
          <w:p w14:paraId="3FB80D14" w14:textId="17D00589" w:rsidR="00AD0E97" w:rsidRPr="00781112" w:rsidRDefault="00AD0E97" w:rsidP="00AD0E97">
            <w:pPr>
              <w:jc w:val="center"/>
              <w:rPr>
                <w:rFonts w:cs="Arial"/>
                <w:color w:val="000000" w:themeColor="text1"/>
                <w:szCs w:val="16"/>
              </w:rPr>
            </w:pPr>
            <w:r w:rsidRPr="00781112">
              <w:rPr>
                <w:rFonts w:cs="Arial"/>
                <w:color w:val="000000" w:themeColor="text1"/>
                <w:szCs w:val="16"/>
              </w:rPr>
              <w:t>8.09%</w:t>
            </w:r>
          </w:p>
        </w:tc>
        <w:tc>
          <w:tcPr>
            <w:tcW w:w="503" w:type="pct"/>
            <w:shd w:val="clear" w:color="auto" w:fill="auto"/>
            <w:vAlign w:val="center"/>
          </w:tcPr>
          <w:p w14:paraId="12DA8FB6" w14:textId="2A9832BB" w:rsidR="00AD0E97" w:rsidRPr="00781112" w:rsidRDefault="00AD0E97" w:rsidP="00AD0E97">
            <w:pPr>
              <w:jc w:val="center"/>
              <w:rPr>
                <w:rFonts w:cs="Arial"/>
                <w:color w:val="000000" w:themeColor="text1"/>
                <w:szCs w:val="16"/>
              </w:rPr>
            </w:pPr>
            <w:r w:rsidRPr="00781112">
              <w:rPr>
                <w:rFonts w:cs="Arial"/>
                <w:color w:val="000000" w:themeColor="text1"/>
                <w:szCs w:val="16"/>
              </w:rPr>
              <w:t>8.20%</w:t>
            </w:r>
          </w:p>
        </w:tc>
        <w:tc>
          <w:tcPr>
            <w:tcW w:w="503" w:type="pct"/>
            <w:shd w:val="clear" w:color="auto" w:fill="auto"/>
            <w:vAlign w:val="center"/>
          </w:tcPr>
          <w:p w14:paraId="65C7EB9E" w14:textId="563BFA26" w:rsidR="00AD0E97" w:rsidRPr="00781112" w:rsidRDefault="00AD0E97" w:rsidP="00AD0E97">
            <w:pPr>
              <w:jc w:val="center"/>
              <w:rPr>
                <w:rFonts w:cs="Arial"/>
                <w:color w:val="000000" w:themeColor="text1"/>
                <w:szCs w:val="16"/>
              </w:rPr>
            </w:pPr>
            <w:r w:rsidRPr="00781112">
              <w:rPr>
                <w:rFonts w:cs="Arial"/>
                <w:color w:val="000000" w:themeColor="text1"/>
                <w:szCs w:val="16"/>
              </w:rPr>
              <w:t>9.27%</w:t>
            </w:r>
          </w:p>
        </w:tc>
        <w:tc>
          <w:tcPr>
            <w:tcW w:w="503" w:type="pct"/>
            <w:shd w:val="clear" w:color="auto" w:fill="auto"/>
            <w:vAlign w:val="center"/>
          </w:tcPr>
          <w:p w14:paraId="41A6F692" w14:textId="65CC6347" w:rsidR="00AD0E97" w:rsidRPr="00781112" w:rsidRDefault="00AD0E97" w:rsidP="00AD0E97">
            <w:pPr>
              <w:jc w:val="center"/>
              <w:rPr>
                <w:rFonts w:cs="Arial"/>
                <w:color w:val="000000" w:themeColor="text1"/>
                <w:szCs w:val="16"/>
              </w:rPr>
            </w:pPr>
            <w:r w:rsidRPr="00781112">
              <w:rPr>
                <w:rFonts w:cs="Arial"/>
                <w:color w:val="000000" w:themeColor="text1"/>
                <w:szCs w:val="16"/>
              </w:rPr>
              <w:t>Met target</w:t>
            </w:r>
          </w:p>
        </w:tc>
        <w:tc>
          <w:tcPr>
            <w:tcW w:w="501" w:type="pct"/>
            <w:shd w:val="clear" w:color="auto" w:fill="auto"/>
            <w:vAlign w:val="center"/>
          </w:tcPr>
          <w:p w14:paraId="3D4E27A4" w14:textId="7BDAA77C"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26B346DD" w14:textId="77777777" w:rsidTr="004B3F40">
        <w:tc>
          <w:tcPr>
            <w:tcW w:w="198" w:type="pct"/>
            <w:shd w:val="clear" w:color="auto" w:fill="auto"/>
            <w:vAlign w:val="center"/>
          </w:tcPr>
          <w:p w14:paraId="2B13C665" w14:textId="583EB28A"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C</w:t>
            </w:r>
          </w:p>
        </w:tc>
        <w:tc>
          <w:tcPr>
            <w:tcW w:w="411" w:type="pct"/>
            <w:shd w:val="clear" w:color="auto" w:fill="auto"/>
            <w:vAlign w:val="center"/>
          </w:tcPr>
          <w:p w14:paraId="6D97D346" w14:textId="75AC25C8"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HS</w:t>
            </w:r>
          </w:p>
        </w:tc>
        <w:tc>
          <w:tcPr>
            <w:tcW w:w="939" w:type="pct"/>
            <w:shd w:val="clear" w:color="auto" w:fill="auto"/>
            <w:vAlign w:val="center"/>
          </w:tcPr>
          <w:p w14:paraId="30AED5C7" w14:textId="5DD38D7C" w:rsidR="00AD0E97" w:rsidRPr="00781112" w:rsidRDefault="00AD0E97" w:rsidP="00AD0E97">
            <w:pPr>
              <w:jc w:val="center"/>
              <w:rPr>
                <w:rFonts w:cs="Arial"/>
                <w:color w:val="000000" w:themeColor="text1"/>
                <w:szCs w:val="16"/>
              </w:rPr>
            </w:pPr>
            <w:r w:rsidRPr="00781112">
              <w:rPr>
                <w:rFonts w:cs="Arial"/>
                <w:color w:val="000000"/>
                <w:szCs w:val="16"/>
              </w:rPr>
              <w:t>244</w:t>
            </w:r>
          </w:p>
        </w:tc>
        <w:tc>
          <w:tcPr>
            <w:tcW w:w="939" w:type="pct"/>
            <w:shd w:val="clear" w:color="auto" w:fill="auto"/>
            <w:vAlign w:val="center"/>
          </w:tcPr>
          <w:p w14:paraId="3E4BF8E7" w14:textId="17E7C017" w:rsidR="00AD0E97" w:rsidRPr="00781112" w:rsidRDefault="00AD0E97" w:rsidP="00AD0E97">
            <w:pPr>
              <w:jc w:val="center"/>
              <w:rPr>
                <w:rFonts w:cs="Arial"/>
                <w:color w:val="000000" w:themeColor="text1"/>
                <w:szCs w:val="16"/>
              </w:rPr>
            </w:pPr>
            <w:r w:rsidRPr="00781112">
              <w:rPr>
                <w:rFonts w:cs="Arial"/>
                <w:color w:val="000000" w:themeColor="text1"/>
                <w:szCs w:val="16"/>
              </w:rPr>
              <w:t>2,327</w:t>
            </w:r>
          </w:p>
        </w:tc>
        <w:tc>
          <w:tcPr>
            <w:tcW w:w="503" w:type="pct"/>
            <w:shd w:val="clear" w:color="auto" w:fill="auto"/>
            <w:vAlign w:val="center"/>
          </w:tcPr>
          <w:p w14:paraId="039885F2" w14:textId="68486387" w:rsidR="00AD0E97" w:rsidRPr="00781112" w:rsidRDefault="00AD0E97" w:rsidP="00AD0E97">
            <w:pPr>
              <w:jc w:val="center"/>
              <w:rPr>
                <w:rFonts w:cs="Arial"/>
                <w:color w:val="000000" w:themeColor="text1"/>
                <w:szCs w:val="16"/>
              </w:rPr>
            </w:pPr>
            <w:r w:rsidRPr="00781112">
              <w:rPr>
                <w:rFonts w:cs="Arial"/>
                <w:color w:val="000000" w:themeColor="text1"/>
                <w:szCs w:val="16"/>
              </w:rPr>
              <w:t>9.67%</w:t>
            </w:r>
          </w:p>
        </w:tc>
        <w:tc>
          <w:tcPr>
            <w:tcW w:w="503" w:type="pct"/>
            <w:shd w:val="clear" w:color="auto" w:fill="auto"/>
            <w:vAlign w:val="center"/>
          </w:tcPr>
          <w:p w14:paraId="0D574818" w14:textId="0B8E29B8" w:rsidR="00AD0E97" w:rsidRPr="00781112" w:rsidRDefault="00AD0E97" w:rsidP="00AD0E97">
            <w:pPr>
              <w:jc w:val="center"/>
              <w:rPr>
                <w:rFonts w:cs="Arial"/>
                <w:color w:val="000000" w:themeColor="text1"/>
                <w:szCs w:val="16"/>
              </w:rPr>
            </w:pPr>
            <w:r w:rsidRPr="00781112">
              <w:rPr>
                <w:rFonts w:cs="Arial"/>
                <w:color w:val="000000" w:themeColor="text1"/>
                <w:szCs w:val="16"/>
              </w:rPr>
              <w:t>11.20%</w:t>
            </w:r>
          </w:p>
        </w:tc>
        <w:tc>
          <w:tcPr>
            <w:tcW w:w="503" w:type="pct"/>
            <w:shd w:val="clear" w:color="auto" w:fill="auto"/>
            <w:vAlign w:val="center"/>
          </w:tcPr>
          <w:p w14:paraId="68757684" w14:textId="14D897E8" w:rsidR="00AD0E97" w:rsidRPr="00781112" w:rsidRDefault="00AD0E97" w:rsidP="00AD0E97">
            <w:pPr>
              <w:jc w:val="center"/>
              <w:rPr>
                <w:rFonts w:cs="Arial"/>
                <w:color w:val="000000" w:themeColor="text1"/>
                <w:szCs w:val="16"/>
              </w:rPr>
            </w:pPr>
            <w:r w:rsidRPr="00781112">
              <w:rPr>
                <w:rFonts w:cs="Arial"/>
                <w:color w:val="000000" w:themeColor="text1"/>
                <w:szCs w:val="16"/>
              </w:rPr>
              <w:t>10.49%</w:t>
            </w:r>
          </w:p>
        </w:tc>
        <w:tc>
          <w:tcPr>
            <w:tcW w:w="503" w:type="pct"/>
            <w:shd w:val="clear" w:color="auto" w:fill="auto"/>
            <w:vAlign w:val="center"/>
          </w:tcPr>
          <w:p w14:paraId="7D508FD3" w14:textId="5052E8AD"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16AA84BF" w14:textId="66A4BF3F"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bl>
    <w:p w14:paraId="1E0C977F" w14:textId="77777777" w:rsidR="005004AB" w:rsidRPr="00781112" w:rsidRDefault="005004AB" w:rsidP="005004AB">
      <w:pPr>
        <w:rPr>
          <w:color w:val="000000" w:themeColor="text1"/>
        </w:rPr>
      </w:pPr>
    </w:p>
    <w:p w14:paraId="324457C6" w14:textId="1817132C" w:rsidR="00497DE4" w:rsidRPr="00781112" w:rsidRDefault="0047313F" w:rsidP="004369B2">
      <w:pPr>
        <w:rPr>
          <w:b/>
          <w:color w:val="000000" w:themeColor="text1"/>
        </w:rPr>
      </w:pPr>
      <w:r>
        <w:rPr>
          <w:b/>
          <w:color w:val="000000" w:themeColor="text1"/>
        </w:rPr>
        <w:t>FFY 2023 SPP/APR Data: Math Assessment</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MATHASS"/>
      </w:tblPr>
      <w:tblGrid>
        <w:gridCol w:w="481"/>
        <w:gridCol w:w="1048"/>
        <w:gridCol w:w="1932"/>
        <w:gridCol w:w="1932"/>
        <w:gridCol w:w="1078"/>
        <w:gridCol w:w="1078"/>
        <w:gridCol w:w="1078"/>
        <w:gridCol w:w="1078"/>
        <w:gridCol w:w="1076"/>
      </w:tblGrid>
      <w:tr w:rsidR="00FA33C9" w:rsidRPr="00781112" w14:paraId="1ECD1184" w14:textId="77777777" w:rsidTr="00242D8A">
        <w:trPr>
          <w:tblHeader/>
          <w:jc w:val="center"/>
        </w:trPr>
        <w:tc>
          <w:tcPr>
            <w:tcW w:w="223" w:type="pct"/>
            <w:shd w:val="clear" w:color="auto" w:fill="auto"/>
            <w:vAlign w:val="bottom"/>
          </w:tcPr>
          <w:p w14:paraId="2B938423" w14:textId="01A79B33" w:rsidR="00FA33C9" w:rsidRPr="00781112" w:rsidRDefault="00FA33C9" w:rsidP="00FA33C9">
            <w:pPr>
              <w:jc w:val="center"/>
              <w:rPr>
                <w:b/>
                <w:color w:val="000000" w:themeColor="text1"/>
              </w:rPr>
            </w:pPr>
            <w:r w:rsidRPr="00781112">
              <w:rPr>
                <w:b/>
                <w:color w:val="000000" w:themeColor="text1"/>
              </w:rPr>
              <w:t>Group</w:t>
            </w:r>
          </w:p>
        </w:tc>
        <w:tc>
          <w:tcPr>
            <w:tcW w:w="486" w:type="pct"/>
            <w:shd w:val="clear" w:color="auto" w:fill="auto"/>
            <w:vAlign w:val="bottom"/>
          </w:tcPr>
          <w:p w14:paraId="45BFCF3F" w14:textId="3F4AB58B" w:rsidR="00FA33C9" w:rsidRPr="00781112" w:rsidRDefault="00FA33C9" w:rsidP="00FA33C9">
            <w:pPr>
              <w:jc w:val="center"/>
              <w:rPr>
                <w:b/>
                <w:color w:val="000000" w:themeColor="text1"/>
              </w:rPr>
            </w:pPr>
            <w:r w:rsidRPr="00781112">
              <w:rPr>
                <w:b/>
                <w:color w:val="000000" w:themeColor="text1"/>
              </w:rPr>
              <w:t>Group Name</w:t>
            </w:r>
          </w:p>
        </w:tc>
        <w:tc>
          <w:tcPr>
            <w:tcW w:w="896" w:type="pct"/>
            <w:shd w:val="clear" w:color="auto" w:fill="auto"/>
          </w:tcPr>
          <w:p w14:paraId="5541073C" w14:textId="30C0F75E" w:rsidR="00FA33C9" w:rsidRPr="00781112" w:rsidRDefault="00FA33C9" w:rsidP="00FA33C9">
            <w:pPr>
              <w:jc w:val="center"/>
              <w:rPr>
                <w:b/>
                <w:color w:val="000000" w:themeColor="text1"/>
              </w:rPr>
            </w:pPr>
            <w:r w:rsidRPr="00781112">
              <w:rPr>
                <w:b/>
                <w:bCs/>
              </w:rPr>
              <w:t>Number of Children with IEPs Scoring At or Above Proficient Against Grade Level Academic Achievement Standards</w:t>
            </w:r>
          </w:p>
        </w:tc>
        <w:tc>
          <w:tcPr>
            <w:tcW w:w="896" w:type="pct"/>
            <w:shd w:val="clear" w:color="auto" w:fill="auto"/>
          </w:tcPr>
          <w:p w14:paraId="3ABF5E71" w14:textId="763F0C86" w:rsidR="00FA33C9" w:rsidRPr="00781112" w:rsidRDefault="00FA33C9" w:rsidP="00FA33C9">
            <w:pPr>
              <w:jc w:val="center"/>
              <w:rPr>
                <w:b/>
                <w:color w:val="000000" w:themeColor="text1"/>
              </w:rPr>
            </w:pPr>
            <w:r w:rsidRPr="00781112">
              <w:rPr>
                <w:b/>
                <w:bCs/>
              </w:rPr>
              <w:t>Number of Children with IEPs who Received a Valid Score and for whom a Proficiency Level was Assigned for the Regular Assessment</w:t>
            </w:r>
          </w:p>
        </w:tc>
        <w:tc>
          <w:tcPr>
            <w:tcW w:w="500" w:type="pct"/>
            <w:shd w:val="clear" w:color="auto" w:fill="auto"/>
            <w:vAlign w:val="bottom"/>
          </w:tcPr>
          <w:p w14:paraId="5A96E021" w14:textId="4847408C" w:rsidR="00FA33C9" w:rsidRPr="00073BD7" w:rsidRDefault="00FA33C9" w:rsidP="00FA33C9">
            <w:pPr>
              <w:jc w:val="center"/>
              <w:rPr>
                <w:b/>
                <w:bCs/>
                <w:color w:val="000000" w:themeColor="text1"/>
              </w:rPr>
            </w:pPr>
            <w:r w:rsidRPr="00073BD7">
              <w:rPr>
                <w:b/>
                <w:bCs/>
              </w:rPr>
              <w:t>FFY 2022 Data</w:t>
            </w:r>
          </w:p>
        </w:tc>
        <w:tc>
          <w:tcPr>
            <w:tcW w:w="500" w:type="pct"/>
            <w:shd w:val="clear" w:color="auto" w:fill="auto"/>
            <w:vAlign w:val="bottom"/>
          </w:tcPr>
          <w:p w14:paraId="69212BFA" w14:textId="70841239" w:rsidR="00FA33C9" w:rsidRPr="00073BD7" w:rsidRDefault="00FA33C9" w:rsidP="00FA33C9">
            <w:pPr>
              <w:jc w:val="center"/>
              <w:rPr>
                <w:b/>
                <w:bCs/>
                <w:color w:val="000000" w:themeColor="text1"/>
              </w:rPr>
            </w:pPr>
            <w:r w:rsidRPr="00073BD7">
              <w:rPr>
                <w:b/>
                <w:bCs/>
              </w:rPr>
              <w:t>FFY 2023 Target</w:t>
            </w:r>
          </w:p>
        </w:tc>
        <w:tc>
          <w:tcPr>
            <w:tcW w:w="500" w:type="pct"/>
            <w:shd w:val="clear" w:color="auto" w:fill="auto"/>
            <w:vAlign w:val="bottom"/>
          </w:tcPr>
          <w:p w14:paraId="38A0F56E" w14:textId="15BC0CF8" w:rsidR="00FA33C9" w:rsidRPr="00073BD7" w:rsidRDefault="00FA33C9" w:rsidP="00FA33C9">
            <w:pPr>
              <w:jc w:val="center"/>
              <w:rPr>
                <w:b/>
                <w:bCs/>
                <w:color w:val="000000" w:themeColor="text1"/>
              </w:rPr>
            </w:pPr>
            <w:r w:rsidRPr="00073BD7">
              <w:rPr>
                <w:b/>
                <w:bCs/>
              </w:rPr>
              <w:t>FFY 2023 Data</w:t>
            </w:r>
          </w:p>
        </w:tc>
        <w:tc>
          <w:tcPr>
            <w:tcW w:w="500" w:type="pct"/>
            <w:shd w:val="clear" w:color="auto" w:fill="auto"/>
            <w:vAlign w:val="bottom"/>
          </w:tcPr>
          <w:p w14:paraId="11F44E1D" w14:textId="39A61F57" w:rsidR="00FA33C9" w:rsidRPr="00781112" w:rsidRDefault="00FA33C9" w:rsidP="00FA33C9">
            <w:pPr>
              <w:jc w:val="center"/>
              <w:rPr>
                <w:b/>
                <w:color w:val="000000" w:themeColor="text1"/>
              </w:rPr>
            </w:pPr>
            <w:r w:rsidRPr="00781112">
              <w:rPr>
                <w:b/>
                <w:color w:val="000000" w:themeColor="text1"/>
              </w:rPr>
              <w:t>Status</w:t>
            </w:r>
          </w:p>
        </w:tc>
        <w:tc>
          <w:tcPr>
            <w:tcW w:w="499" w:type="pct"/>
            <w:shd w:val="clear" w:color="auto" w:fill="auto"/>
            <w:vAlign w:val="bottom"/>
          </w:tcPr>
          <w:p w14:paraId="64655725" w14:textId="350D326F" w:rsidR="00FA33C9" w:rsidRPr="00781112" w:rsidRDefault="00FA33C9" w:rsidP="00FA33C9">
            <w:pPr>
              <w:jc w:val="center"/>
              <w:rPr>
                <w:b/>
                <w:color w:val="000000" w:themeColor="text1"/>
              </w:rPr>
            </w:pPr>
            <w:r w:rsidRPr="00781112">
              <w:rPr>
                <w:b/>
                <w:color w:val="000000" w:themeColor="text1"/>
              </w:rPr>
              <w:t>Slippage</w:t>
            </w:r>
          </w:p>
        </w:tc>
      </w:tr>
      <w:tr w:rsidR="00242D8A" w:rsidRPr="00781112" w14:paraId="14220C43" w14:textId="77777777" w:rsidTr="00242D8A">
        <w:trPr>
          <w:jc w:val="center"/>
        </w:trPr>
        <w:tc>
          <w:tcPr>
            <w:tcW w:w="223" w:type="pct"/>
            <w:shd w:val="clear" w:color="auto" w:fill="auto"/>
            <w:vAlign w:val="center"/>
          </w:tcPr>
          <w:p w14:paraId="16A9CDD2" w14:textId="5DBA3D3A" w:rsidR="00242D8A" w:rsidRPr="00781112" w:rsidRDefault="00242D8A" w:rsidP="00242D8A">
            <w:pPr>
              <w:pStyle w:val="Default"/>
              <w:jc w:val="center"/>
              <w:rPr>
                <w:b/>
                <w:color w:val="000000" w:themeColor="text1"/>
                <w:sz w:val="16"/>
                <w:szCs w:val="16"/>
              </w:rPr>
            </w:pPr>
            <w:r w:rsidRPr="00781112">
              <w:rPr>
                <w:rFonts w:eastAsiaTheme="minorHAnsi"/>
                <w:b/>
                <w:color w:val="000000" w:themeColor="text1"/>
                <w:sz w:val="16"/>
                <w:szCs w:val="16"/>
              </w:rPr>
              <w:t>A</w:t>
            </w:r>
          </w:p>
        </w:tc>
        <w:tc>
          <w:tcPr>
            <w:tcW w:w="486" w:type="pct"/>
            <w:shd w:val="clear" w:color="auto" w:fill="auto"/>
            <w:vAlign w:val="center"/>
          </w:tcPr>
          <w:p w14:paraId="1392C443" w14:textId="646DC1A9"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4</w:t>
            </w:r>
          </w:p>
        </w:tc>
        <w:tc>
          <w:tcPr>
            <w:tcW w:w="896" w:type="pct"/>
            <w:shd w:val="clear" w:color="auto" w:fill="auto"/>
            <w:vAlign w:val="center"/>
          </w:tcPr>
          <w:p w14:paraId="0B49B780" w14:textId="151DA31E" w:rsidR="00242D8A" w:rsidRPr="00781112" w:rsidRDefault="00242D8A" w:rsidP="00242D8A">
            <w:pPr>
              <w:jc w:val="center"/>
              <w:rPr>
                <w:rFonts w:cs="Arial"/>
                <w:color w:val="000000" w:themeColor="text1"/>
                <w:szCs w:val="16"/>
              </w:rPr>
            </w:pPr>
            <w:r w:rsidRPr="00781112">
              <w:rPr>
                <w:rFonts w:cs="Arial"/>
                <w:color w:val="000000" w:themeColor="text1"/>
                <w:szCs w:val="16"/>
              </w:rPr>
              <w:t>789</w:t>
            </w:r>
          </w:p>
        </w:tc>
        <w:tc>
          <w:tcPr>
            <w:tcW w:w="896" w:type="pct"/>
            <w:shd w:val="clear" w:color="auto" w:fill="auto"/>
            <w:vAlign w:val="center"/>
          </w:tcPr>
          <w:p w14:paraId="2611648C" w14:textId="77D930AD" w:rsidR="00242D8A" w:rsidRPr="00781112" w:rsidRDefault="00242D8A" w:rsidP="00242D8A">
            <w:pPr>
              <w:jc w:val="center"/>
              <w:rPr>
                <w:rFonts w:cs="Arial"/>
                <w:color w:val="000000" w:themeColor="text1"/>
                <w:szCs w:val="16"/>
              </w:rPr>
            </w:pPr>
            <w:r w:rsidRPr="00242D8A">
              <w:rPr>
                <w:rFonts w:cs="Arial"/>
                <w:color w:val="000000" w:themeColor="text1"/>
                <w:szCs w:val="16"/>
              </w:rPr>
              <w:t>3,980</w:t>
            </w:r>
          </w:p>
        </w:tc>
        <w:tc>
          <w:tcPr>
            <w:tcW w:w="500" w:type="pct"/>
            <w:shd w:val="clear" w:color="auto" w:fill="auto"/>
            <w:vAlign w:val="center"/>
          </w:tcPr>
          <w:p w14:paraId="044B076F" w14:textId="2D73EFD2" w:rsidR="00242D8A" w:rsidRPr="00781112" w:rsidRDefault="00242D8A" w:rsidP="00242D8A">
            <w:pPr>
              <w:jc w:val="center"/>
              <w:rPr>
                <w:rFonts w:cs="Arial"/>
                <w:color w:val="000000" w:themeColor="text1"/>
                <w:szCs w:val="16"/>
              </w:rPr>
            </w:pPr>
            <w:r w:rsidRPr="00781112">
              <w:rPr>
                <w:rFonts w:cs="Arial"/>
                <w:color w:val="000000" w:themeColor="text1"/>
                <w:szCs w:val="16"/>
              </w:rPr>
              <w:t>18.95%</w:t>
            </w:r>
          </w:p>
        </w:tc>
        <w:tc>
          <w:tcPr>
            <w:tcW w:w="500" w:type="pct"/>
            <w:shd w:val="clear" w:color="auto" w:fill="auto"/>
            <w:vAlign w:val="center"/>
          </w:tcPr>
          <w:p w14:paraId="4D68E61F" w14:textId="36DB0B83" w:rsidR="00242D8A" w:rsidRPr="00781112" w:rsidRDefault="00242D8A" w:rsidP="00242D8A">
            <w:pPr>
              <w:jc w:val="center"/>
              <w:rPr>
                <w:rFonts w:cs="Arial"/>
                <w:color w:val="000000" w:themeColor="text1"/>
                <w:szCs w:val="16"/>
              </w:rPr>
            </w:pPr>
            <w:r w:rsidRPr="00781112">
              <w:rPr>
                <w:rFonts w:cs="Arial"/>
                <w:color w:val="000000" w:themeColor="text1"/>
                <w:szCs w:val="16"/>
              </w:rPr>
              <w:t>19.50%</w:t>
            </w:r>
          </w:p>
        </w:tc>
        <w:tc>
          <w:tcPr>
            <w:tcW w:w="500" w:type="pct"/>
            <w:shd w:val="clear" w:color="auto" w:fill="auto"/>
            <w:vAlign w:val="center"/>
          </w:tcPr>
          <w:p w14:paraId="4C5100F6" w14:textId="23EB35C9" w:rsidR="00242D8A" w:rsidRPr="00781112" w:rsidRDefault="00242D8A" w:rsidP="00242D8A">
            <w:pPr>
              <w:jc w:val="center"/>
              <w:rPr>
                <w:rFonts w:cs="Arial"/>
                <w:color w:val="000000" w:themeColor="text1"/>
                <w:szCs w:val="16"/>
              </w:rPr>
            </w:pPr>
            <w:r w:rsidRPr="00781112">
              <w:rPr>
                <w:rFonts w:cs="Arial"/>
                <w:color w:val="000000" w:themeColor="text1"/>
                <w:szCs w:val="16"/>
              </w:rPr>
              <w:t>19.82%</w:t>
            </w:r>
          </w:p>
        </w:tc>
        <w:tc>
          <w:tcPr>
            <w:tcW w:w="500" w:type="pct"/>
            <w:shd w:val="clear" w:color="auto" w:fill="auto"/>
            <w:vAlign w:val="center"/>
          </w:tcPr>
          <w:p w14:paraId="5A9EC511" w14:textId="6D6B7DF8" w:rsidR="00242D8A" w:rsidRPr="00781112" w:rsidRDefault="00242D8A" w:rsidP="00242D8A">
            <w:pPr>
              <w:jc w:val="center"/>
              <w:rPr>
                <w:rFonts w:cs="Arial"/>
                <w:color w:val="000000" w:themeColor="text1"/>
                <w:szCs w:val="16"/>
              </w:rPr>
            </w:pPr>
            <w:r w:rsidRPr="00781112">
              <w:rPr>
                <w:rFonts w:cs="Arial"/>
                <w:color w:val="000000" w:themeColor="text1"/>
                <w:szCs w:val="16"/>
              </w:rPr>
              <w:t>Met target</w:t>
            </w:r>
          </w:p>
        </w:tc>
        <w:tc>
          <w:tcPr>
            <w:tcW w:w="499" w:type="pct"/>
            <w:shd w:val="clear" w:color="auto" w:fill="auto"/>
            <w:vAlign w:val="center"/>
          </w:tcPr>
          <w:p w14:paraId="17FB0601" w14:textId="6AA7FF5B"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33C5CE6C" w14:textId="77777777" w:rsidTr="00242D8A">
        <w:trPr>
          <w:jc w:val="center"/>
        </w:trPr>
        <w:tc>
          <w:tcPr>
            <w:tcW w:w="223" w:type="pct"/>
            <w:shd w:val="clear" w:color="auto" w:fill="auto"/>
            <w:vAlign w:val="center"/>
          </w:tcPr>
          <w:p w14:paraId="17123B1B" w14:textId="50BB2C71" w:rsidR="00242D8A" w:rsidRPr="00781112" w:rsidRDefault="00242D8A" w:rsidP="00242D8A">
            <w:pPr>
              <w:pStyle w:val="Default"/>
              <w:jc w:val="center"/>
              <w:rPr>
                <w:b/>
                <w:color w:val="000000" w:themeColor="text1"/>
                <w:sz w:val="16"/>
                <w:szCs w:val="16"/>
              </w:rPr>
            </w:pPr>
            <w:r w:rsidRPr="00781112">
              <w:rPr>
                <w:b/>
                <w:color w:val="000000" w:themeColor="text1"/>
                <w:sz w:val="16"/>
                <w:szCs w:val="16"/>
              </w:rPr>
              <w:t>B</w:t>
            </w:r>
          </w:p>
        </w:tc>
        <w:tc>
          <w:tcPr>
            <w:tcW w:w="486" w:type="pct"/>
            <w:shd w:val="clear" w:color="auto" w:fill="auto"/>
            <w:vAlign w:val="center"/>
          </w:tcPr>
          <w:p w14:paraId="45DA42B4" w14:textId="04F51E55"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8</w:t>
            </w:r>
          </w:p>
        </w:tc>
        <w:tc>
          <w:tcPr>
            <w:tcW w:w="896" w:type="pct"/>
            <w:shd w:val="clear" w:color="auto" w:fill="auto"/>
            <w:vAlign w:val="center"/>
          </w:tcPr>
          <w:p w14:paraId="31722F1C" w14:textId="2D076448" w:rsidR="00242D8A" w:rsidRPr="00781112" w:rsidRDefault="00242D8A" w:rsidP="00242D8A">
            <w:pPr>
              <w:jc w:val="center"/>
              <w:rPr>
                <w:rFonts w:cs="Arial"/>
                <w:color w:val="000000" w:themeColor="text1"/>
                <w:szCs w:val="16"/>
              </w:rPr>
            </w:pPr>
            <w:r w:rsidRPr="00781112">
              <w:rPr>
                <w:rFonts w:cs="Arial"/>
                <w:color w:val="000000" w:themeColor="text1"/>
                <w:szCs w:val="16"/>
              </w:rPr>
              <w:t>148</w:t>
            </w:r>
          </w:p>
        </w:tc>
        <w:tc>
          <w:tcPr>
            <w:tcW w:w="896" w:type="pct"/>
            <w:shd w:val="clear" w:color="auto" w:fill="auto"/>
            <w:vAlign w:val="center"/>
          </w:tcPr>
          <w:p w14:paraId="048616C6" w14:textId="622D5B53" w:rsidR="00242D8A" w:rsidRPr="00781112" w:rsidRDefault="00242D8A" w:rsidP="00242D8A">
            <w:pPr>
              <w:jc w:val="center"/>
              <w:rPr>
                <w:rFonts w:cs="Arial"/>
                <w:color w:val="000000" w:themeColor="text1"/>
                <w:szCs w:val="16"/>
              </w:rPr>
            </w:pPr>
            <w:r w:rsidRPr="00242D8A">
              <w:rPr>
                <w:rFonts w:cs="Arial"/>
                <w:color w:val="000000" w:themeColor="text1"/>
                <w:szCs w:val="16"/>
              </w:rPr>
              <w:t>3,197</w:t>
            </w:r>
          </w:p>
        </w:tc>
        <w:tc>
          <w:tcPr>
            <w:tcW w:w="500" w:type="pct"/>
            <w:shd w:val="clear" w:color="auto" w:fill="auto"/>
            <w:vAlign w:val="center"/>
          </w:tcPr>
          <w:p w14:paraId="272455FD" w14:textId="25614537" w:rsidR="00242D8A" w:rsidRPr="00781112" w:rsidRDefault="00242D8A" w:rsidP="00242D8A">
            <w:pPr>
              <w:jc w:val="center"/>
              <w:rPr>
                <w:rFonts w:cs="Arial"/>
                <w:color w:val="000000" w:themeColor="text1"/>
                <w:szCs w:val="16"/>
              </w:rPr>
            </w:pPr>
            <w:r w:rsidRPr="00781112">
              <w:rPr>
                <w:rFonts w:cs="Arial"/>
                <w:color w:val="000000" w:themeColor="text1"/>
                <w:szCs w:val="16"/>
              </w:rPr>
              <w:t>4.56%</w:t>
            </w:r>
          </w:p>
        </w:tc>
        <w:tc>
          <w:tcPr>
            <w:tcW w:w="500" w:type="pct"/>
            <w:shd w:val="clear" w:color="auto" w:fill="auto"/>
            <w:vAlign w:val="center"/>
          </w:tcPr>
          <w:p w14:paraId="38039D42" w14:textId="45468742" w:rsidR="00242D8A" w:rsidRPr="00781112" w:rsidRDefault="00242D8A" w:rsidP="00242D8A">
            <w:pPr>
              <w:jc w:val="center"/>
              <w:rPr>
                <w:rFonts w:cs="Arial"/>
                <w:color w:val="000000" w:themeColor="text1"/>
                <w:szCs w:val="16"/>
              </w:rPr>
            </w:pPr>
            <w:r w:rsidRPr="00781112">
              <w:rPr>
                <w:rFonts w:cs="Arial"/>
                <w:color w:val="000000" w:themeColor="text1"/>
                <w:szCs w:val="16"/>
              </w:rPr>
              <w:t>7.00%</w:t>
            </w:r>
          </w:p>
        </w:tc>
        <w:tc>
          <w:tcPr>
            <w:tcW w:w="500" w:type="pct"/>
            <w:shd w:val="clear" w:color="auto" w:fill="auto"/>
            <w:vAlign w:val="center"/>
          </w:tcPr>
          <w:p w14:paraId="7DB4B85A" w14:textId="6DFB205A" w:rsidR="00242D8A" w:rsidRPr="00781112" w:rsidRDefault="00242D8A" w:rsidP="00242D8A">
            <w:pPr>
              <w:jc w:val="center"/>
              <w:rPr>
                <w:rFonts w:cs="Arial"/>
                <w:color w:val="000000" w:themeColor="text1"/>
                <w:szCs w:val="16"/>
              </w:rPr>
            </w:pPr>
            <w:r w:rsidRPr="00781112">
              <w:rPr>
                <w:rFonts w:cs="Arial"/>
                <w:color w:val="000000" w:themeColor="text1"/>
                <w:szCs w:val="16"/>
              </w:rPr>
              <w:t>4.63%</w:t>
            </w:r>
          </w:p>
        </w:tc>
        <w:tc>
          <w:tcPr>
            <w:tcW w:w="500" w:type="pct"/>
            <w:shd w:val="clear" w:color="auto" w:fill="auto"/>
            <w:vAlign w:val="center"/>
          </w:tcPr>
          <w:p w14:paraId="19114A8F" w14:textId="4F4B3C10"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47661F26" w14:textId="727C9546"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573A5711" w14:textId="77777777" w:rsidTr="00242D8A">
        <w:trPr>
          <w:jc w:val="center"/>
        </w:trPr>
        <w:tc>
          <w:tcPr>
            <w:tcW w:w="223" w:type="pct"/>
            <w:shd w:val="clear" w:color="auto" w:fill="auto"/>
            <w:vAlign w:val="center"/>
          </w:tcPr>
          <w:p w14:paraId="3C25BE15" w14:textId="77777777" w:rsidR="00242D8A" w:rsidRPr="00781112" w:rsidRDefault="00242D8A" w:rsidP="00242D8A">
            <w:pPr>
              <w:pStyle w:val="Default"/>
              <w:jc w:val="center"/>
              <w:rPr>
                <w:rFonts w:eastAsiaTheme="minorHAnsi"/>
                <w:color w:val="000000" w:themeColor="text1"/>
                <w:sz w:val="16"/>
                <w:szCs w:val="16"/>
              </w:rPr>
            </w:pPr>
            <w:r w:rsidRPr="00781112">
              <w:rPr>
                <w:b/>
                <w:color w:val="000000" w:themeColor="text1"/>
                <w:sz w:val="16"/>
                <w:szCs w:val="16"/>
              </w:rPr>
              <w:t>C</w:t>
            </w:r>
          </w:p>
        </w:tc>
        <w:tc>
          <w:tcPr>
            <w:tcW w:w="486" w:type="pct"/>
            <w:shd w:val="clear" w:color="auto" w:fill="auto"/>
            <w:vAlign w:val="center"/>
          </w:tcPr>
          <w:p w14:paraId="1B1F6BC3" w14:textId="7816ECC7"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HS</w:t>
            </w:r>
          </w:p>
        </w:tc>
        <w:tc>
          <w:tcPr>
            <w:tcW w:w="896" w:type="pct"/>
            <w:shd w:val="clear" w:color="auto" w:fill="auto"/>
            <w:vAlign w:val="center"/>
          </w:tcPr>
          <w:p w14:paraId="0EFA1043" w14:textId="0F9EE258" w:rsidR="00242D8A" w:rsidRPr="00781112" w:rsidRDefault="00242D8A" w:rsidP="00242D8A">
            <w:pPr>
              <w:jc w:val="center"/>
              <w:rPr>
                <w:rFonts w:cs="Arial"/>
                <w:color w:val="000000" w:themeColor="text1"/>
                <w:szCs w:val="16"/>
              </w:rPr>
            </w:pPr>
            <w:r w:rsidRPr="00781112">
              <w:rPr>
                <w:rFonts w:cs="Arial"/>
                <w:color w:val="000000" w:themeColor="text1"/>
                <w:szCs w:val="16"/>
              </w:rPr>
              <w:t>54</w:t>
            </w:r>
          </w:p>
        </w:tc>
        <w:tc>
          <w:tcPr>
            <w:tcW w:w="896" w:type="pct"/>
            <w:shd w:val="clear" w:color="auto" w:fill="auto"/>
            <w:vAlign w:val="center"/>
          </w:tcPr>
          <w:p w14:paraId="2A4E8BA5" w14:textId="01157060" w:rsidR="00242D8A" w:rsidRPr="00781112" w:rsidRDefault="00242D8A" w:rsidP="00242D8A">
            <w:pPr>
              <w:jc w:val="center"/>
              <w:rPr>
                <w:rFonts w:cs="Arial"/>
                <w:color w:val="000000" w:themeColor="text1"/>
                <w:szCs w:val="16"/>
              </w:rPr>
            </w:pPr>
            <w:r w:rsidRPr="00242D8A">
              <w:rPr>
                <w:rFonts w:cs="Arial"/>
                <w:color w:val="000000" w:themeColor="text1"/>
                <w:szCs w:val="16"/>
              </w:rPr>
              <w:t>2,327</w:t>
            </w:r>
          </w:p>
        </w:tc>
        <w:tc>
          <w:tcPr>
            <w:tcW w:w="500" w:type="pct"/>
            <w:shd w:val="clear" w:color="auto" w:fill="auto"/>
            <w:vAlign w:val="center"/>
          </w:tcPr>
          <w:p w14:paraId="2250005A" w14:textId="360EA34B" w:rsidR="00242D8A" w:rsidRPr="00781112" w:rsidRDefault="00242D8A" w:rsidP="00242D8A">
            <w:pPr>
              <w:jc w:val="center"/>
              <w:rPr>
                <w:rFonts w:cs="Arial"/>
                <w:color w:val="000000" w:themeColor="text1"/>
                <w:szCs w:val="16"/>
              </w:rPr>
            </w:pPr>
            <w:r w:rsidRPr="00781112">
              <w:rPr>
                <w:rFonts w:cs="Arial"/>
                <w:color w:val="000000" w:themeColor="text1"/>
                <w:szCs w:val="16"/>
              </w:rPr>
              <w:t>2.02%</w:t>
            </w:r>
          </w:p>
        </w:tc>
        <w:tc>
          <w:tcPr>
            <w:tcW w:w="500" w:type="pct"/>
            <w:shd w:val="clear" w:color="auto" w:fill="auto"/>
            <w:vAlign w:val="center"/>
          </w:tcPr>
          <w:p w14:paraId="722A3424" w14:textId="24478E1D" w:rsidR="00242D8A" w:rsidRPr="00781112" w:rsidRDefault="00242D8A" w:rsidP="00242D8A">
            <w:pPr>
              <w:jc w:val="center"/>
              <w:rPr>
                <w:rFonts w:cs="Arial"/>
                <w:color w:val="000000" w:themeColor="text1"/>
                <w:szCs w:val="16"/>
              </w:rPr>
            </w:pPr>
            <w:r w:rsidRPr="00781112">
              <w:rPr>
                <w:rFonts w:cs="Arial"/>
                <w:color w:val="000000" w:themeColor="text1"/>
                <w:szCs w:val="16"/>
              </w:rPr>
              <w:t>4.50%</w:t>
            </w:r>
          </w:p>
        </w:tc>
        <w:tc>
          <w:tcPr>
            <w:tcW w:w="500" w:type="pct"/>
            <w:shd w:val="clear" w:color="auto" w:fill="auto"/>
            <w:vAlign w:val="center"/>
          </w:tcPr>
          <w:p w14:paraId="581F32CD" w14:textId="4D615B60" w:rsidR="00242D8A" w:rsidRPr="00781112" w:rsidRDefault="00242D8A" w:rsidP="00242D8A">
            <w:pPr>
              <w:jc w:val="center"/>
              <w:rPr>
                <w:rFonts w:cs="Arial"/>
                <w:color w:val="000000" w:themeColor="text1"/>
                <w:szCs w:val="16"/>
              </w:rPr>
            </w:pPr>
            <w:r w:rsidRPr="00781112">
              <w:rPr>
                <w:rFonts w:cs="Arial"/>
                <w:color w:val="000000" w:themeColor="text1"/>
                <w:szCs w:val="16"/>
              </w:rPr>
              <w:t>2.32%</w:t>
            </w:r>
          </w:p>
        </w:tc>
        <w:tc>
          <w:tcPr>
            <w:tcW w:w="500" w:type="pct"/>
            <w:shd w:val="clear" w:color="auto" w:fill="auto"/>
            <w:vAlign w:val="center"/>
          </w:tcPr>
          <w:p w14:paraId="3FECC7B3" w14:textId="2C921A8F"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79B60713" w14:textId="20FD7180"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bl>
    <w:p w14:paraId="197C30C8" w14:textId="77777777" w:rsidR="00CF57A2" w:rsidRPr="00781112" w:rsidRDefault="00CF57A2" w:rsidP="00580134">
      <w:pPr>
        <w:rPr>
          <w:rFonts w:cs="Arial"/>
          <w:iCs/>
          <w:color w:val="000000" w:themeColor="text1"/>
          <w:szCs w:val="16"/>
        </w:rPr>
      </w:pPr>
    </w:p>
    <w:p w14:paraId="3D6382E8" w14:textId="3FF585D4" w:rsidR="00497DE4" w:rsidRPr="00781112" w:rsidRDefault="00497DE4" w:rsidP="004369B2">
      <w:pPr>
        <w:rPr>
          <w:color w:val="000000" w:themeColor="text1"/>
        </w:rPr>
      </w:pPr>
      <w:r w:rsidRPr="00781112">
        <w:rPr>
          <w:b/>
          <w:color w:val="000000" w:themeColor="text1"/>
        </w:rPr>
        <w:t>Regulatory Information</w:t>
      </w:r>
    </w:p>
    <w:p w14:paraId="3C6B4961" w14:textId="47AFDEDF" w:rsidR="00497DE4" w:rsidRPr="00781112" w:rsidRDefault="00A14B5D" w:rsidP="00552927">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00497DE4" w:rsidRPr="00781112">
        <w:rPr>
          <w:rFonts w:cs="Arial"/>
          <w:b/>
          <w:color w:val="000000" w:themeColor="text1"/>
          <w:szCs w:val="16"/>
          <w:shd w:val="clear" w:color="auto" w:fill="FFFFFF"/>
        </w:rPr>
        <w:t xml:space="preserve"> </w:t>
      </w:r>
    </w:p>
    <w:p w14:paraId="0071F535" w14:textId="77777777" w:rsidR="00585959" w:rsidRPr="00781112" w:rsidRDefault="00585959" w:rsidP="004369B2">
      <w:pPr>
        <w:rPr>
          <w:color w:val="000000" w:themeColor="text1"/>
        </w:rPr>
      </w:pPr>
    </w:p>
    <w:p w14:paraId="36CE185D" w14:textId="50CA6AD9" w:rsidR="000A5A2E" w:rsidRPr="00781112" w:rsidRDefault="000A5A2E" w:rsidP="004369B2">
      <w:pPr>
        <w:rPr>
          <w:color w:val="000000" w:themeColor="text1"/>
        </w:rPr>
      </w:pPr>
      <w:r w:rsidRPr="00781112">
        <w:rPr>
          <w:b/>
          <w:color w:val="000000" w:themeColor="text1"/>
        </w:rPr>
        <w:t>Public Reporting Information</w:t>
      </w:r>
    </w:p>
    <w:p w14:paraId="09EDA537" w14:textId="77777777" w:rsidR="00E539AB" w:rsidRPr="00781112" w:rsidRDefault="00E539AB" w:rsidP="00E539AB">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11DD1A5" w14:textId="0E809EBD" w:rsidR="00A869E9" w:rsidRPr="00781112" w:rsidRDefault="002B7490" w:rsidP="00E539AB">
      <w:pPr>
        <w:rPr>
          <w:rFonts w:cs="Arial"/>
          <w:color w:val="000000" w:themeColor="text1"/>
          <w:szCs w:val="16"/>
        </w:rPr>
      </w:pPr>
      <w:r w:rsidRPr="00781112">
        <w:rPr>
          <w:rFonts w:cs="Arial"/>
          <w:color w:val="000000" w:themeColor="text1"/>
          <w:szCs w:val="16"/>
        </w:rPr>
        <w:t>West Virginia uses the General Summative Assessment (GSA) to determine grade-level academic achievement standard proficiency in reading and math and the Alternate Summative Assessment (ASA) to determine alternate academic achievement standard proficiency in reading and math.</w:t>
      </w:r>
      <w:r w:rsidRPr="00781112">
        <w:rPr>
          <w:rFonts w:cs="Arial"/>
          <w:color w:val="000000" w:themeColor="text1"/>
          <w:szCs w:val="16"/>
        </w:rPr>
        <w:br/>
      </w:r>
      <w:r w:rsidRPr="00781112">
        <w:rPr>
          <w:rFonts w:cs="Arial"/>
          <w:color w:val="000000" w:themeColor="text1"/>
          <w:szCs w:val="16"/>
        </w:rPr>
        <w:br/>
        <w:t>PARTICIPATION AND PERFORMANCE – ALL STUDENTS – REGULAR ASSESSMENTS</w:t>
      </w:r>
      <w:r w:rsidRPr="00781112">
        <w:rPr>
          <w:rFonts w:cs="Arial"/>
          <w:color w:val="000000" w:themeColor="text1"/>
          <w:szCs w:val="16"/>
        </w:rPr>
        <w:br/>
        <w:t>— https://zoomwv.k12.wv.us/Dashboard/dashboard/7310</w:t>
      </w:r>
      <w:r w:rsidRPr="00781112">
        <w:rPr>
          <w:rFonts w:cs="Arial"/>
          <w:color w:val="000000" w:themeColor="text1"/>
          <w:szCs w:val="16"/>
        </w:rPr>
        <w:br/>
        <w:t>— From the ZoomWV homepage, use the breadcrumbs: ZoomWV &gt; State Assessment Results &gt; State Assessment Subgroups</w:t>
      </w:r>
      <w:r w:rsidRPr="00781112">
        <w:rPr>
          <w:rFonts w:cs="Arial"/>
          <w:color w:val="000000" w:themeColor="text1"/>
          <w:szCs w:val="16"/>
        </w:rPr>
        <w:br/>
        <w:t>Make sure the following filters are set:</w:t>
      </w:r>
      <w:r w:rsidRPr="00781112">
        <w:rPr>
          <w:rFonts w:cs="Arial"/>
          <w:color w:val="000000" w:themeColor="text1"/>
          <w:szCs w:val="16"/>
        </w:rPr>
        <w:br/>
        <w:t>—School Year – 2023-2024</w:t>
      </w:r>
      <w:r w:rsidRPr="00781112">
        <w:rPr>
          <w:rFonts w:cs="Arial"/>
          <w:color w:val="000000" w:themeColor="text1"/>
          <w:szCs w:val="16"/>
        </w:rPr>
        <w:br/>
        <w:t>—District/County – All Districts</w:t>
      </w:r>
      <w:r w:rsidRPr="00781112">
        <w:rPr>
          <w:rFonts w:cs="Arial"/>
          <w:color w:val="000000" w:themeColor="text1"/>
          <w:szCs w:val="16"/>
        </w:rPr>
        <w:br/>
        <w:t>—School – All Schools</w:t>
      </w:r>
      <w:r w:rsidRPr="00781112">
        <w:rPr>
          <w:rFonts w:cs="Arial"/>
          <w:color w:val="000000" w:themeColor="text1"/>
          <w:szCs w:val="16"/>
        </w:rPr>
        <w:br/>
        <w:t>—Grade Level – All grades (or set to check each grade that must be reported 4, 8, 11 separately)</w:t>
      </w:r>
      <w:r w:rsidRPr="00781112">
        <w:rPr>
          <w:rFonts w:cs="Arial"/>
          <w:color w:val="000000" w:themeColor="text1"/>
          <w:szCs w:val="16"/>
        </w:rPr>
        <w:br/>
        <w:t>—Population Group – Status</w:t>
      </w:r>
      <w:r w:rsidRPr="00781112">
        <w:rPr>
          <w:rFonts w:cs="Arial"/>
          <w:color w:val="000000" w:themeColor="text1"/>
          <w:szCs w:val="16"/>
        </w:rPr>
        <w:br/>
      </w:r>
      <w:r w:rsidRPr="00781112">
        <w:rPr>
          <w:rFonts w:cs="Arial"/>
          <w:color w:val="000000" w:themeColor="text1"/>
          <w:szCs w:val="16"/>
        </w:rPr>
        <w:br/>
        <w:t>PARTICIPATION AND PERFORMANCE – REGULAR AND ALTERNATE ASSESSMENTS</w:t>
      </w:r>
      <w:r w:rsidRPr="00781112">
        <w:rPr>
          <w:rFonts w:cs="Arial"/>
          <w:color w:val="000000" w:themeColor="text1"/>
          <w:szCs w:val="16"/>
        </w:rPr>
        <w:br/>
        <w:t>—https://zoomwv.k12.wv.us/Dashboard/dashboard/6161</w:t>
      </w:r>
      <w:r w:rsidRPr="00781112">
        <w:rPr>
          <w:rFonts w:cs="Arial"/>
          <w:color w:val="000000" w:themeColor="text1"/>
          <w:szCs w:val="16"/>
        </w:rPr>
        <w:br/>
        <w:t>—From the ZoomWV homepage, use the breadcrumbs: ZoomWV &gt; Special Education &gt; Assessment Participation and Performance</w:t>
      </w:r>
      <w:r w:rsidRPr="00781112">
        <w:rPr>
          <w:rFonts w:cs="Arial"/>
          <w:color w:val="000000" w:themeColor="text1"/>
          <w:szCs w:val="16"/>
        </w:rPr>
        <w:br/>
        <w:t>Make sure the following filters are set:</w:t>
      </w:r>
      <w:r w:rsidRPr="00781112">
        <w:rPr>
          <w:rFonts w:cs="Arial"/>
          <w:color w:val="000000" w:themeColor="text1"/>
          <w:szCs w:val="16"/>
        </w:rPr>
        <w:br/>
        <w:t>—School Year – 2023-2024</w:t>
      </w:r>
      <w:r w:rsidRPr="00781112">
        <w:rPr>
          <w:rFonts w:cs="Arial"/>
          <w:color w:val="000000" w:themeColor="text1"/>
          <w:szCs w:val="16"/>
        </w:rPr>
        <w:br/>
        <w:t>—District/County – (999) State Reporting</w:t>
      </w:r>
      <w:r w:rsidRPr="00781112">
        <w:rPr>
          <w:rFonts w:cs="Arial"/>
          <w:color w:val="000000" w:themeColor="text1"/>
          <w:szCs w:val="16"/>
        </w:rPr>
        <w:br/>
        <w:t>—School – All Schools</w:t>
      </w:r>
      <w:r w:rsidRPr="00781112">
        <w:rPr>
          <w:rFonts w:cs="Arial"/>
          <w:color w:val="000000" w:themeColor="text1"/>
          <w:szCs w:val="16"/>
        </w:rPr>
        <w:br/>
      </w:r>
      <w:r w:rsidRPr="00781112">
        <w:rPr>
          <w:rFonts w:cs="Arial"/>
          <w:color w:val="000000" w:themeColor="text1"/>
          <w:szCs w:val="16"/>
        </w:rPr>
        <w:br/>
        <w:t>PERFORMANCE BY CLASS/SUBGROUP – ALTERNATE ASSESSMENTS</w:t>
      </w:r>
      <w:r w:rsidRPr="00781112">
        <w:rPr>
          <w:rFonts w:cs="Arial"/>
          <w:color w:val="000000" w:themeColor="text1"/>
          <w:szCs w:val="16"/>
        </w:rPr>
        <w:br/>
        <w:t>—https://zoomwv.k12.wv.us/Dashboard/dashboard/28307</w:t>
      </w:r>
      <w:r w:rsidRPr="00781112">
        <w:rPr>
          <w:rFonts w:cs="Arial"/>
          <w:color w:val="000000" w:themeColor="text1"/>
          <w:szCs w:val="16"/>
        </w:rPr>
        <w:br/>
        <w:t>—From the ZoomWV homepage, use the breadcrumbs: ZoomWV &gt; Special Education &gt; Alternate Assessment Results</w:t>
      </w:r>
      <w:r w:rsidRPr="00781112">
        <w:rPr>
          <w:rFonts w:cs="Arial"/>
          <w:color w:val="000000" w:themeColor="text1"/>
          <w:szCs w:val="16"/>
        </w:rPr>
        <w:br/>
        <w:t>Data may be filtered by school year.</w:t>
      </w:r>
      <w:r w:rsidRPr="00781112">
        <w:rPr>
          <w:rFonts w:cs="Arial"/>
          <w:color w:val="000000" w:themeColor="text1"/>
          <w:szCs w:val="16"/>
        </w:rPr>
        <w:br/>
      </w:r>
      <w:r w:rsidRPr="00781112">
        <w:rPr>
          <w:rFonts w:cs="Arial"/>
          <w:color w:val="000000" w:themeColor="text1"/>
          <w:szCs w:val="16"/>
        </w:rPr>
        <w:br/>
        <w:t>PARTICIPATION RATES – WITH and WITHOUT ACCOMMODATIONS</w:t>
      </w:r>
      <w:r w:rsidRPr="00781112">
        <w:rPr>
          <w:rFonts w:cs="Arial"/>
          <w:color w:val="000000" w:themeColor="text1"/>
          <w:szCs w:val="16"/>
        </w:rPr>
        <w:br/>
        <w:t>The participation rates for students with and without accommodations in WV are available on the ZoomWV page by using the following breadcrumbs: ZoomWV &gt; Special Education &gt; Links &gt; IDEA Section 618 Public Reporting 2023-2024</w:t>
      </w:r>
      <w:r w:rsidRPr="00781112">
        <w:rPr>
          <w:rFonts w:cs="Arial"/>
          <w:color w:val="000000" w:themeColor="text1"/>
          <w:szCs w:val="16"/>
        </w:rPr>
        <w:br/>
      </w:r>
      <w:r w:rsidRPr="00781112">
        <w:rPr>
          <w:rFonts w:cs="Arial"/>
          <w:color w:val="000000" w:themeColor="text1"/>
          <w:szCs w:val="16"/>
        </w:rPr>
        <w:lastRenderedPageBreak/>
        <w:t>—Participation and proficiency rates of students with IEPs and without IEPs (504 plans) using accommodations and not using accommodations are located under the assessment tab in the IDEA Section 618 Public Reporting 2023-2024 file.</w:t>
      </w:r>
      <w:r w:rsidRPr="00781112">
        <w:rPr>
          <w:rFonts w:cs="Arial"/>
          <w:color w:val="000000" w:themeColor="text1"/>
          <w:szCs w:val="16"/>
        </w:rPr>
        <w:br/>
      </w:r>
      <w:r w:rsidRPr="00781112">
        <w:rPr>
          <w:rFonts w:cs="Arial"/>
          <w:color w:val="000000" w:themeColor="text1"/>
          <w:szCs w:val="16"/>
        </w:rPr>
        <w:br/>
        <w:t>PERFORMANCE BY DISABILITY CATEGORY – REGULAR AND ALTERNATE ASSESSMENTS</w:t>
      </w:r>
      <w:r w:rsidRPr="00781112">
        <w:rPr>
          <w:rFonts w:cs="Arial"/>
          <w:color w:val="000000" w:themeColor="text1"/>
          <w:szCs w:val="16"/>
        </w:rPr>
        <w:br/>
        <w:t>— https://zoomwv.k12.wv.us/Dashboard/dashboard/28285</w:t>
      </w:r>
      <w:r w:rsidRPr="00781112">
        <w:rPr>
          <w:rFonts w:cs="Arial"/>
          <w:color w:val="000000" w:themeColor="text1"/>
          <w:szCs w:val="16"/>
        </w:rPr>
        <w:br/>
        <w:t>From the ZoomWV homepage, use the breadcrumbs: ZoomWV &gt; Special Education &gt; Assessment Results by Student Disabilities</w:t>
      </w:r>
      <w:r w:rsidRPr="00781112">
        <w:rPr>
          <w:rFonts w:cs="Arial"/>
          <w:color w:val="000000" w:themeColor="text1"/>
          <w:szCs w:val="16"/>
        </w:rPr>
        <w:br/>
        <w:t>Data may be filtered by school year and by LEA.</w:t>
      </w:r>
    </w:p>
    <w:p w14:paraId="2BE473B4" w14:textId="77777777" w:rsidR="00053391" w:rsidRPr="00781112" w:rsidRDefault="00053391" w:rsidP="004369B2">
      <w:pPr>
        <w:rPr>
          <w:b/>
          <w:color w:val="000000" w:themeColor="text1"/>
        </w:rPr>
      </w:pPr>
      <w:bookmarkStart w:id="15" w:name="_Toc382082367"/>
      <w:bookmarkStart w:id="16" w:name="_Toc392159276"/>
      <w:r w:rsidRPr="00781112">
        <w:rPr>
          <w:b/>
          <w:color w:val="000000" w:themeColor="text1"/>
        </w:rPr>
        <w:t>Provide additional information about this indicator (optional)</w:t>
      </w:r>
    </w:p>
    <w:p w14:paraId="3E9E8793" w14:textId="126D5C73" w:rsidR="00A869E9" w:rsidRPr="00781112" w:rsidRDefault="00A869E9" w:rsidP="000E33D0">
      <w:pPr>
        <w:rPr>
          <w:rFonts w:cs="Arial"/>
          <w:color w:val="000000" w:themeColor="text1"/>
          <w:szCs w:val="16"/>
        </w:rPr>
      </w:pPr>
    </w:p>
    <w:p w14:paraId="7E90E47A" w14:textId="1FCF2660" w:rsidR="000A2C83" w:rsidRPr="00781112" w:rsidRDefault="00573F6C" w:rsidP="008645AD">
      <w:pPr>
        <w:pStyle w:val="Heading2"/>
      </w:pPr>
      <w:r w:rsidRPr="00781112">
        <w:t>3B</w:t>
      </w:r>
      <w:r w:rsidR="00BB4FD7" w:rsidRPr="00781112">
        <w:t xml:space="preserve"> </w:t>
      </w:r>
      <w:r w:rsidRPr="00781112">
        <w:t xml:space="preserve">- </w:t>
      </w:r>
      <w:r w:rsidR="000A2C83" w:rsidRPr="00781112">
        <w:t>Prior FFY Required Actions</w:t>
      </w:r>
    </w:p>
    <w:p w14:paraId="020116A7" w14:textId="30989224" w:rsidR="00CA1E5A" w:rsidRPr="00781112" w:rsidRDefault="002B7490" w:rsidP="000A2C83">
      <w:pPr>
        <w:rPr>
          <w:rFonts w:cs="Arial"/>
          <w:color w:val="000000" w:themeColor="text1"/>
          <w:szCs w:val="16"/>
        </w:rPr>
      </w:pPr>
      <w:r w:rsidRPr="00781112">
        <w:rPr>
          <w:rFonts w:cs="Arial"/>
          <w:color w:val="000000" w:themeColor="text1"/>
          <w:szCs w:val="16"/>
        </w:rPr>
        <w:t>None</w:t>
      </w:r>
    </w:p>
    <w:p w14:paraId="40E83F51" w14:textId="68FFF50F" w:rsidR="00053391" w:rsidRPr="00781112" w:rsidRDefault="00573F6C" w:rsidP="008645AD">
      <w:pPr>
        <w:pStyle w:val="Heading2"/>
      </w:pPr>
      <w:r w:rsidRPr="00781112">
        <w:t>3B - OSEP Response</w:t>
      </w:r>
    </w:p>
    <w:p w14:paraId="3ED35024" w14:textId="0A8D2725" w:rsidR="00A869E9" w:rsidRPr="00781112" w:rsidRDefault="00A869E9" w:rsidP="001F692C">
      <w:pPr>
        <w:rPr>
          <w:rFonts w:cs="Arial"/>
          <w:color w:val="000000" w:themeColor="text1"/>
          <w:szCs w:val="16"/>
        </w:rPr>
      </w:pPr>
    </w:p>
    <w:p w14:paraId="4E98DE68" w14:textId="3E692587" w:rsidR="00053391" w:rsidRPr="00781112" w:rsidRDefault="00573F6C" w:rsidP="008645AD">
      <w:pPr>
        <w:pStyle w:val="Heading2"/>
      </w:pPr>
      <w:r w:rsidRPr="00781112">
        <w:t>3B - Required Actions</w:t>
      </w:r>
    </w:p>
    <w:p w14:paraId="54E3AE73" w14:textId="681577C9" w:rsidR="00A869E9" w:rsidRPr="00781112" w:rsidRDefault="00A869E9" w:rsidP="001F692C">
      <w:pPr>
        <w:rPr>
          <w:rFonts w:cs="Arial"/>
          <w:color w:val="000000" w:themeColor="text1"/>
          <w:szCs w:val="16"/>
        </w:rPr>
      </w:pPr>
    </w:p>
    <w:p w14:paraId="4DBC1CB9"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62E86A4" w14:textId="6BD07048" w:rsidR="009D378C" w:rsidRPr="00781112" w:rsidRDefault="009D378C">
      <w:pPr>
        <w:pStyle w:val="Heading1"/>
        <w:rPr>
          <w:color w:val="000000" w:themeColor="text1"/>
          <w:sz w:val="22"/>
        </w:rPr>
      </w:pPr>
      <w:r w:rsidRPr="00781112">
        <w:rPr>
          <w:color w:val="000000" w:themeColor="text1"/>
          <w:sz w:val="22"/>
        </w:rPr>
        <w:lastRenderedPageBreak/>
        <w:t>Indicator 3C: Proficiency for Children with IEPs (Alternate Academic Achievement Standards)</w:t>
      </w:r>
      <w:bookmarkEnd w:id="15"/>
      <w:bookmarkEnd w:id="16"/>
    </w:p>
    <w:p w14:paraId="52EFBCBE" w14:textId="631E98F3" w:rsidR="008878CC" w:rsidRPr="002C274F" w:rsidRDefault="008878CC" w:rsidP="002C274F">
      <w:pPr>
        <w:rPr>
          <w:b/>
          <w:bCs/>
          <w:sz w:val="20"/>
          <w:szCs w:val="20"/>
        </w:rPr>
      </w:pPr>
      <w:r w:rsidRPr="002C274F">
        <w:rPr>
          <w:b/>
          <w:bCs/>
          <w:sz w:val="20"/>
          <w:szCs w:val="20"/>
        </w:rPr>
        <w:t xml:space="preserve">Instructions and Measurement </w:t>
      </w:r>
    </w:p>
    <w:p w14:paraId="241F1C78" w14:textId="77777777" w:rsidR="000A5A2E" w:rsidRPr="00781112" w:rsidRDefault="000A5A2E" w:rsidP="004369B2">
      <w:pPr>
        <w:rPr>
          <w:color w:val="000000" w:themeColor="text1"/>
        </w:rPr>
      </w:pPr>
      <w:bookmarkStart w:id="17" w:name="_Toc384383330"/>
      <w:bookmarkStart w:id="18" w:name="_Toc392159282"/>
      <w:bookmarkStart w:id="19" w:name="_Toc382082372"/>
      <w:r w:rsidRPr="00781112">
        <w:rPr>
          <w:b/>
          <w:color w:val="000000" w:themeColor="text1"/>
        </w:rPr>
        <w:t xml:space="preserve">Monitoring Priority: </w:t>
      </w:r>
      <w:r w:rsidRPr="00781112">
        <w:rPr>
          <w:color w:val="000000" w:themeColor="text1"/>
        </w:rPr>
        <w:t>FAPE in the LRE</w:t>
      </w:r>
    </w:p>
    <w:p w14:paraId="40B194E0" w14:textId="1AA1580D" w:rsidR="000A5A2E" w:rsidRPr="00781112" w:rsidRDefault="000A5A2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Participation and performance </w:t>
      </w:r>
      <w:r w:rsidR="00DA7FAE" w:rsidRPr="00781112">
        <w:rPr>
          <w:rFonts w:cs="Arial"/>
          <w:color w:val="000000" w:themeColor="text1"/>
          <w:szCs w:val="16"/>
        </w:rPr>
        <w:t xml:space="preserve">of </w:t>
      </w:r>
      <w:r w:rsidRPr="00781112">
        <w:rPr>
          <w:rFonts w:cs="Arial"/>
          <w:color w:val="000000" w:themeColor="text1"/>
          <w:szCs w:val="16"/>
        </w:rPr>
        <w:t>children with IEPs on statewide assessments:</w:t>
      </w:r>
    </w:p>
    <w:p w14:paraId="7F5EE1F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A. Participation rate for children with IEPs.</w:t>
      </w:r>
    </w:p>
    <w:p w14:paraId="76102D80"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65AE871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7381D72B"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57288DF2" w14:textId="77777777" w:rsidR="00385214" w:rsidRPr="00781112" w:rsidRDefault="00385214" w:rsidP="00385214">
      <w:pPr>
        <w:rPr>
          <w:rFonts w:cs="Arial"/>
          <w:color w:val="000000" w:themeColor="text1"/>
          <w:szCs w:val="16"/>
        </w:rPr>
      </w:pPr>
      <w:r w:rsidRPr="00781112">
        <w:rPr>
          <w:rFonts w:cs="Arial"/>
          <w:color w:val="000000" w:themeColor="text1"/>
          <w:szCs w:val="16"/>
        </w:rPr>
        <w:t>(20 U.S.C. 1416 (a)(3)(A))</w:t>
      </w:r>
    </w:p>
    <w:p w14:paraId="363AAB3C" w14:textId="77777777" w:rsidR="000A5A2E" w:rsidRPr="00781112" w:rsidRDefault="000A5A2E" w:rsidP="004369B2">
      <w:pPr>
        <w:rPr>
          <w:color w:val="000000" w:themeColor="text1"/>
        </w:rPr>
      </w:pPr>
      <w:r w:rsidRPr="00781112">
        <w:rPr>
          <w:b/>
          <w:color w:val="000000" w:themeColor="text1"/>
        </w:rPr>
        <w:t>Data Source</w:t>
      </w:r>
    </w:p>
    <w:p w14:paraId="274B140A" w14:textId="3ABBB221" w:rsidR="000A5A2E" w:rsidRPr="00781112" w:rsidRDefault="000A5A2E" w:rsidP="00552927">
      <w:pPr>
        <w:rPr>
          <w:rFonts w:cs="Arial"/>
          <w:color w:val="000000" w:themeColor="text1"/>
          <w:szCs w:val="16"/>
        </w:rPr>
      </w:pPr>
      <w:r w:rsidRPr="00781112">
        <w:rPr>
          <w:rFonts w:cs="Arial"/>
          <w:color w:val="000000" w:themeColor="text1"/>
          <w:szCs w:val="16"/>
        </w:rPr>
        <w:t>3C.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FS175 and 178.</w:t>
      </w:r>
    </w:p>
    <w:p w14:paraId="064C7F6E" w14:textId="77777777" w:rsidR="000A5A2E" w:rsidRPr="00781112" w:rsidRDefault="000A5A2E" w:rsidP="004369B2">
      <w:pPr>
        <w:rPr>
          <w:color w:val="000000" w:themeColor="text1"/>
        </w:rPr>
      </w:pPr>
      <w:r w:rsidRPr="00781112">
        <w:rPr>
          <w:b/>
          <w:color w:val="000000" w:themeColor="text1"/>
        </w:rPr>
        <w:t>Measurement</w:t>
      </w:r>
    </w:p>
    <w:p w14:paraId="7639A7B8" w14:textId="3FA30447" w:rsidR="000A5A2E" w:rsidRPr="00781112" w:rsidRDefault="000A5A2E" w:rsidP="00552927">
      <w:pPr>
        <w:rPr>
          <w:rFonts w:cs="Arial"/>
          <w:color w:val="000000" w:themeColor="text1"/>
          <w:szCs w:val="16"/>
        </w:rPr>
      </w:pPr>
      <w:r w:rsidRPr="00781112">
        <w:rPr>
          <w:rFonts w:cs="Arial"/>
          <w:color w:val="000000" w:themeColor="text1"/>
          <w:szCs w:val="16"/>
        </w:rPr>
        <w:t xml:space="preserve">C. </w:t>
      </w:r>
      <w:r w:rsidR="00385214" w:rsidRPr="00781112">
        <w:rPr>
          <w:rFonts w:cs="Arial"/>
          <w:szCs w:val="16"/>
        </w:rPr>
        <w:t>Proficiency rate percent = [(# of children with IEPs scoring at or above proficient against alternate academic achievement standards) divided by the (total # of children with IEPs who received a valid score and for whom a proficiency level was assigned for the alternate assessment)]. Calculate separately for reading and math</w:t>
      </w:r>
      <w:r w:rsidR="00857A31" w:rsidRPr="00781112">
        <w:rPr>
          <w:rFonts w:cs="Arial"/>
          <w:szCs w:val="16"/>
        </w:rPr>
        <w:t xml:space="preserve">. </w:t>
      </w:r>
      <w:r w:rsidR="00385214" w:rsidRPr="00781112">
        <w:rPr>
          <w:rFonts w:cs="Arial"/>
          <w:szCs w:val="16"/>
        </w:rPr>
        <w:t>Calculate separately for grades 4, 8, and high school. The proficiency rate includes both children with IEPs enrolled for a full academic year and those not enrolled for a full academic year.</w:t>
      </w:r>
    </w:p>
    <w:p w14:paraId="1CE435A8" w14:textId="77777777" w:rsidR="000A5A2E" w:rsidRPr="00781112" w:rsidRDefault="000A5A2E" w:rsidP="004369B2">
      <w:pPr>
        <w:rPr>
          <w:color w:val="000000" w:themeColor="text1"/>
        </w:rPr>
      </w:pPr>
      <w:r w:rsidRPr="00781112">
        <w:rPr>
          <w:b/>
          <w:color w:val="000000" w:themeColor="text1"/>
        </w:rPr>
        <w:t>Instructions</w:t>
      </w:r>
    </w:p>
    <w:p w14:paraId="79EB3296" w14:textId="77777777" w:rsidR="000A5A2E" w:rsidRPr="00781112" w:rsidRDefault="000A5A2E" w:rsidP="00552927">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4F00AC69" w14:textId="77777777" w:rsidR="000A5A2E" w:rsidRPr="00781112" w:rsidRDefault="000A5A2E" w:rsidP="00552927">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04E96BDA" w14:textId="77777777" w:rsidR="00385214" w:rsidRPr="00781112" w:rsidRDefault="000A5A2E" w:rsidP="00385214">
      <w:pPr>
        <w:rPr>
          <w:rFonts w:cs="Arial"/>
          <w:szCs w:val="16"/>
        </w:rPr>
      </w:pPr>
      <w:r w:rsidRPr="00781112">
        <w:rPr>
          <w:rFonts w:cs="Arial"/>
          <w:color w:val="000000" w:themeColor="text1"/>
          <w:szCs w:val="16"/>
        </w:rPr>
        <w:t xml:space="preserve">Indicator 3C: </w:t>
      </w:r>
      <w:r w:rsidR="00385214" w:rsidRPr="00781112">
        <w:rPr>
          <w:rFonts w:cs="Arial"/>
          <w:szCs w:val="16"/>
        </w:rPr>
        <w:t>Proficiency calculations in this SPP/APR must result in proficiency rates for children with IEPs on the alternate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w:t>
      </w:r>
    </w:p>
    <w:p w14:paraId="1015A11D" w14:textId="071607C2" w:rsidR="000A5A2E" w:rsidRPr="00781112" w:rsidRDefault="00385214" w:rsidP="00385214">
      <w:pPr>
        <w:rPr>
          <w:rFonts w:cs="Arial"/>
          <w:color w:val="000000" w:themeColor="text1"/>
          <w:szCs w:val="16"/>
        </w:rPr>
      </w:pPr>
      <w:r w:rsidRPr="00781112">
        <w:rPr>
          <w:rFonts w:cs="Arial"/>
          <w:szCs w:val="16"/>
        </w:rPr>
        <w:t>of testing.</w:t>
      </w:r>
    </w:p>
    <w:p w14:paraId="7CE600A3" w14:textId="62D18727" w:rsidR="001B5210" w:rsidRPr="00781112" w:rsidRDefault="00573F6C" w:rsidP="008645AD">
      <w:pPr>
        <w:pStyle w:val="Heading2"/>
      </w:pPr>
      <w:r w:rsidRPr="00781112">
        <w:t>3C</w:t>
      </w:r>
      <w:r w:rsidR="00BB4FD7" w:rsidRPr="00781112">
        <w:t xml:space="preserve"> </w:t>
      </w:r>
      <w:r w:rsidRPr="00781112">
        <w:t xml:space="preserve">- </w:t>
      </w:r>
      <w:r w:rsidR="001B5210" w:rsidRPr="00781112">
        <w:t>Indicator Data</w:t>
      </w:r>
    </w:p>
    <w:p w14:paraId="0B1C0DD7" w14:textId="51BE70AF" w:rsidR="00A10323" w:rsidRPr="00781112" w:rsidRDefault="00A10323">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HISTDATA"/>
      </w:tblPr>
      <w:tblGrid>
        <w:gridCol w:w="1588"/>
        <w:gridCol w:w="1588"/>
        <w:gridCol w:w="2538"/>
        <w:gridCol w:w="2538"/>
        <w:gridCol w:w="2538"/>
      </w:tblGrid>
      <w:tr w:rsidR="00537221" w:rsidRPr="00781112" w14:paraId="5299B4E6" w14:textId="77777777" w:rsidTr="009725F4">
        <w:trPr>
          <w:trHeight w:val="368"/>
          <w:tblHeader/>
        </w:trPr>
        <w:tc>
          <w:tcPr>
            <w:tcW w:w="736" w:type="pct"/>
            <w:tcBorders>
              <w:top w:val="single" w:sz="4" w:space="0" w:color="auto"/>
            </w:tcBorders>
            <w:vAlign w:val="center"/>
          </w:tcPr>
          <w:p w14:paraId="43B0649B"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611078A1"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4FF0AF06"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5F7760A7"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01C3E0F4"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Baseline Data</w:t>
            </w:r>
          </w:p>
        </w:tc>
      </w:tr>
      <w:tr w:rsidR="00537221" w:rsidRPr="00781112" w14:paraId="62CCD80E" w14:textId="77777777" w:rsidTr="00827FF4">
        <w:trPr>
          <w:trHeight w:val="368"/>
        </w:trPr>
        <w:tc>
          <w:tcPr>
            <w:tcW w:w="736" w:type="pct"/>
            <w:vAlign w:val="center"/>
          </w:tcPr>
          <w:p w14:paraId="6DBDC79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49F4CF1"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0E5785E8" w14:textId="11F5BAE0" w:rsidR="00537221" w:rsidRPr="00781112" w:rsidRDefault="00537221"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4EB8CC47" w14:textId="1B0ED9ED" w:rsidR="00537221" w:rsidRPr="00781112" w:rsidRDefault="00537221"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2281A612" w14:textId="23CB1591" w:rsidR="00537221" w:rsidRPr="00781112" w:rsidRDefault="00537221" w:rsidP="00827FF4">
            <w:pPr>
              <w:spacing w:before="0" w:after="0"/>
              <w:jc w:val="center"/>
              <w:rPr>
                <w:color w:val="000000" w:themeColor="text1"/>
              </w:rPr>
            </w:pPr>
            <w:r w:rsidRPr="00781112">
              <w:rPr>
                <w:rFonts w:cs="Arial"/>
                <w:color w:val="000000" w:themeColor="text1"/>
                <w:szCs w:val="16"/>
              </w:rPr>
              <w:t>18.48%</w:t>
            </w:r>
          </w:p>
        </w:tc>
      </w:tr>
      <w:tr w:rsidR="00537221" w:rsidRPr="00781112" w14:paraId="1C24E702" w14:textId="77777777" w:rsidTr="00827FF4">
        <w:trPr>
          <w:trHeight w:val="368"/>
        </w:trPr>
        <w:tc>
          <w:tcPr>
            <w:tcW w:w="736" w:type="pct"/>
            <w:vAlign w:val="center"/>
          </w:tcPr>
          <w:p w14:paraId="678970EB"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1EBDCD6D"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727E9135" w14:textId="4107258E"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C958A72" w14:textId="4A38962C" w:rsidR="00537221" w:rsidRPr="00781112" w:rsidRDefault="00537221"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0FED42B6" w14:textId="77E5EAC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32.67%</w:t>
            </w:r>
          </w:p>
        </w:tc>
      </w:tr>
      <w:tr w:rsidR="00537221" w:rsidRPr="00781112" w14:paraId="59B71803" w14:textId="77777777" w:rsidTr="00827FF4">
        <w:trPr>
          <w:trHeight w:val="368"/>
        </w:trPr>
        <w:tc>
          <w:tcPr>
            <w:tcW w:w="736" w:type="pct"/>
            <w:vAlign w:val="center"/>
          </w:tcPr>
          <w:p w14:paraId="4EBEF59E"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EE18997"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7D681B80" w14:textId="4A6DABFD" w:rsidR="00537221" w:rsidRPr="00781112" w:rsidRDefault="00537221"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1DF3FFCD" w14:textId="6C6BE9F1" w:rsidR="00537221" w:rsidRPr="00781112" w:rsidRDefault="00537221"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34A93084" w14:textId="02FAA503"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36.21%</w:t>
            </w:r>
          </w:p>
        </w:tc>
      </w:tr>
      <w:tr w:rsidR="00537221" w:rsidRPr="00781112" w14:paraId="05A06BC9" w14:textId="77777777" w:rsidTr="00827FF4">
        <w:trPr>
          <w:trHeight w:val="368"/>
        </w:trPr>
        <w:tc>
          <w:tcPr>
            <w:tcW w:w="736" w:type="pct"/>
            <w:vAlign w:val="center"/>
          </w:tcPr>
          <w:p w14:paraId="6020FFAF"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CFDB92F"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5CB62D65" w14:textId="5E527C8F"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F85621" w14:textId="1D815BA8" w:rsidR="00537221" w:rsidRPr="00781112" w:rsidRDefault="00537221"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790D130A" w14:textId="06A6107B"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26.54%</w:t>
            </w:r>
          </w:p>
        </w:tc>
      </w:tr>
      <w:tr w:rsidR="00537221" w:rsidRPr="00781112" w14:paraId="086B388C" w14:textId="77777777" w:rsidTr="00827FF4">
        <w:trPr>
          <w:trHeight w:val="368"/>
        </w:trPr>
        <w:tc>
          <w:tcPr>
            <w:tcW w:w="736" w:type="pct"/>
            <w:vAlign w:val="center"/>
          </w:tcPr>
          <w:p w14:paraId="7653A8F3"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285758E"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4FB850D" w14:textId="54F493D6" w:rsidR="00537221" w:rsidRPr="00781112" w:rsidRDefault="00537221"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502C33F8" w14:textId="45D8525B" w:rsidR="00537221" w:rsidRPr="00781112" w:rsidRDefault="00537221"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4AD27F52" w14:textId="16DC50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7.17%</w:t>
            </w:r>
          </w:p>
        </w:tc>
      </w:tr>
      <w:tr w:rsidR="00537221" w:rsidRPr="00781112" w14:paraId="43D0DD14" w14:textId="77777777" w:rsidTr="00827FF4">
        <w:trPr>
          <w:trHeight w:val="368"/>
        </w:trPr>
        <w:tc>
          <w:tcPr>
            <w:tcW w:w="736" w:type="pct"/>
            <w:vAlign w:val="center"/>
          </w:tcPr>
          <w:p w14:paraId="1464F87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09D1AD8"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261B7EA0" w14:textId="1CFD27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07D595C6" w14:textId="36D54FE7" w:rsidR="00537221" w:rsidRPr="00781112" w:rsidRDefault="00537221"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27DF7D26" w14:textId="3067273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11.11%</w:t>
            </w:r>
          </w:p>
        </w:tc>
      </w:tr>
    </w:tbl>
    <w:p w14:paraId="4679A4B4" w14:textId="77777777" w:rsidR="00537221" w:rsidRPr="00781112" w:rsidRDefault="00537221">
      <w:pPr>
        <w:rPr>
          <w:b/>
          <w:color w:val="000000" w:themeColor="text1"/>
        </w:rPr>
      </w:pPr>
    </w:p>
    <w:p w14:paraId="764C016B" w14:textId="48180105" w:rsidR="00A10323" w:rsidRPr="00781112" w:rsidRDefault="00A10323" w:rsidP="004369B2">
      <w:pPr>
        <w:rPr>
          <w:b/>
          <w:color w:val="000000" w:themeColor="text1"/>
        </w:rPr>
      </w:pPr>
      <w:r w:rsidRPr="00781112">
        <w:rPr>
          <w:b/>
          <w:color w:val="000000" w:themeColor="text1"/>
        </w:rPr>
        <w:t>Targets</w:t>
      </w:r>
    </w:p>
    <w:tbl>
      <w:tblPr>
        <w:tblW w:w="3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TARGETS"/>
      </w:tblPr>
      <w:tblGrid>
        <w:gridCol w:w="812"/>
        <w:gridCol w:w="697"/>
        <w:gridCol w:w="1739"/>
        <w:gridCol w:w="1256"/>
        <w:gridCol w:w="1256"/>
        <w:gridCol w:w="1256"/>
      </w:tblGrid>
      <w:tr w:rsidR="0094481B" w:rsidRPr="00781112" w14:paraId="6FE97918" w14:textId="1BF8CF9D" w:rsidTr="00FE4611">
        <w:tc>
          <w:tcPr>
            <w:tcW w:w="579" w:type="pct"/>
            <w:tcBorders>
              <w:bottom w:val="single" w:sz="4" w:space="0" w:color="auto"/>
            </w:tcBorders>
            <w:shd w:val="clear" w:color="auto" w:fill="auto"/>
          </w:tcPr>
          <w:p w14:paraId="5CDF6985" w14:textId="5342FC63" w:rsidR="0094481B" w:rsidRPr="00781112" w:rsidRDefault="0094481B" w:rsidP="00561042">
            <w:pPr>
              <w:jc w:val="center"/>
              <w:rPr>
                <w:b/>
                <w:color w:val="000000" w:themeColor="text1"/>
              </w:rPr>
            </w:pPr>
            <w:r w:rsidRPr="00781112">
              <w:rPr>
                <w:b/>
                <w:color w:val="000000" w:themeColor="text1"/>
              </w:rPr>
              <w:t>Subject</w:t>
            </w:r>
          </w:p>
        </w:tc>
        <w:tc>
          <w:tcPr>
            <w:tcW w:w="497" w:type="pct"/>
            <w:tcBorders>
              <w:bottom w:val="single" w:sz="4" w:space="0" w:color="auto"/>
            </w:tcBorders>
            <w:shd w:val="clear" w:color="auto" w:fill="auto"/>
          </w:tcPr>
          <w:p w14:paraId="01DFF2B4" w14:textId="2094C240" w:rsidR="0094481B" w:rsidRPr="00781112" w:rsidRDefault="0094481B" w:rsidP="00561042">
            <w:pPr>
              <w:jc w:val="center"/>
              <w:rPr>
                <w:b/>
                <w:color w:val="000000" w:themeColor="text1"/>
              </w:rPr>
            </w:pPr>
            <w:r w:rsidRPr="00781112">
              <w:rPr>
                <w:b/>
                <w:color w:val="000000" w:themeColor="text1"/>
              </w:rPr>
              <w:t>Group</w:t>
            </w:r>
          </w:p>
        </w:tc>
        <w:tc>
          <w:tcPr>
            <w:tcW w:w="1239" w:type="pct"/>
            <w:shd w:val="clear" w:color="auto" w:fill="auto"/>
          </w:tcPr>
          <w:p w14:paraId="3976F221" w14:textId="32F28582" w:rsidR="0094481B" w:rsidRPr="00781112" w:rsidDel="008E7B87" w:rsidRDefault="0094481B" w:rsidP="00561042">
            <w:pPr>
              <w:jc w:val="center"/>
              <w:rPr>
                <w:b/>
                <w:color w:val="000000" w:themeColor="text1"/>
              </w:rPr>
            </w:pPr>
            <w:r w:rsidRPr="00781112">
              <w:rPr>
                <w:b/>
                <w:color w:val="000000" w:themeColor="text1"/>
              </w:rPr>
              <w:t>Group Name</w:t>
            </w:r>
          </w:p>
        </w:tc>
        <w:tc>
          <w:tcPr>
            <w:tcW w:w="895" w:type="pct"/>
            <w:shd w:val="clear" w:color="auto" w:fill="auto"/>
          </w:tcPr>
          <w:p w14:paraId="076E9FA3" w14:textId="2BDFEC53" w:rsidR="0094481B" w:rsidRPr="00781112" w:rsidRDefault="0094481B" w:rsidP="00561042">
            <w:pPr>
              <w:jc w:val="center"/>
              <w:rPr>
                <w:b/>
                <w:color w:val="000000" w:themeColor="text1"/>
              </w:rPr>
            </w:pPr>
            <w:r w:rsidRPr="00781112">
              <w:rPr>
                <w:b/>
                <w:color w:val="000000" w:themeColor="text1"/>
              </w:rPr>
              <w:t>2023</w:t>
            </w:r>
          </w:p>
        </w:tc>
        <w:tc>
          <w:tcPr>
            <w:tcW w:w="895" w:type="pct"/>
            <w:vAlign w:val="center"/>
          </w:tcPr>
          <w:p w14:paraId="2A95FA03" w14:textId="46828D1C" w:rsidR="0094481B" w:rsidRPr="00781112" w:rsidRDefault="0094481B" w:rsidP="00561042">
            <w:pPr>
              <w:jc w:val="center"/>
              <w:rPr>
                <w:b/>
                <w:color w:val="000000" w:themeColor="text1"/>
              </w:rPr>
            </w:pPr>
            <w:r w:rsidRPr="00781112">
              <w:rPr>
                <w:rFonts w:cs="Arial"/>
                <w:b/>
                <w:color w:val="000000" w:themeColor="text1"/>
                <w:szCs w:val="16"/>
              </w:rPr>
              <w:t>2024</w:t>
            </w:r>
          </w:p>
        </w:tc>
        <w:tc>
          <w:tcPr>
            <w:tcW w:w="895" w:type="pct"/>
            <w:vAlign w:val="center"/>
          </w:tcPr>
          <w:p w14:paraId="56A4FE1C" w14:textId="196C362E" w:rsidR="0094481B" w:rsidRPr="00781112" w:rsidRDefault="0094481B" w:rsidP="00561042">
            <w:pPr>
              <w:jc w:val="center"/>
              <w:rPr>
                <w:b/>
                <w:color w:val="000000" w:themeColor="text1"/>
              </w:rPr>
            </w:pPr>
            <w:r w:rsidRPr="00781112">
              <w:rPr>
                <w:rFonts w:cs="Arial"/>
                <w:b/>
                <w:color w:val="000000" w:themeColor="text1"/>
                <w:szCs w:val="16"/>
              </w:rPr>
              <w:t>2025</w:t>
            </w:r>
          </w:p>
        </w:tc>
      </w:tr>
      <w:tr w:rsidR="0094481B" w:rsidRPr="00781112" w14:paraId="24016D03" w14:textId="0FC0BA7B" w:rsidTr="00FE4611">
        <w:tc>
          <w:tcPr>
            <w:tcW w:w="579" w:type="pct"/>
            <w:shd w:val="clear" w:color="auto" w:fill="auto"/>
            <w:vAlign w:val="center"/>
          </w:tcPr>
          <w:p w14:paraId="6AD78348" w14:textId="77777777"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Reading</w:t>
            </w:r>
          </w:p>
        </w:tc>
        <w:tc>
          <w:tcPr>
            <w:tcW w:w="497" w:type="pct"/>
            <w:shd w:val="clear" w:color="auto" w:fill="auto"/>
            <w:vAlign w:val="center"/>
          </w:tcPr>
          <w:p w14:paraId="68D451C5" w14:textId="0D62DF33"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A &gt;=</w:t>
            </w:r>
          </w:p>
        </w:tc>
        <w:tc>
          <w:tcPr>
            <w:tcW w:w="1239" w:type="pct"/>
            <w:shd w:val="clear" w:color="auto" w:fill="auto"/>
            <w:vAlign w:val="center"/>
          </w:tcPr>
          <w:p w14:paraId="10A86524" w14:textId="5A63BB47"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4</w:t>
            </w:r>
          </w:p>
        </w:tc>
        <w:tc>
          <w:tcPr>
            <w:tcW w:w="895" w:type="pct"/>
            <w:shd w:val="clear" w:color="auto" w:fill="auto"/>
            <w:vAlign w:val="center"/>
          </w:tcPr>
          <w:p w14:paraId="3451F312" w14:textId="2295E6F6" w:rsidR="0094481B" w:rsidRPr="00781112" w:rsidRDefault="0094481B" w:rsidP="00D13592">
            <w:pPr>
              <w:jc w:val="center"/>
              <w:rPr>
                <w:rFonts w:cs="Arial"/>
                <w:color w:val="000000" w:themeColor="text1"/>
                <w:szCs w:val="16"/>
              </w:rPr>
            </w:pPr>
            <w:r w:rsidRPr="00781112">
              <w:rPr>
                <w:rFonts w:cs="Arial"/>
                <w:color w:val="000000" w:themeColor="text1"/>
                <w:szCs w:val="16"/>
              </w:rPr>
              <w:t>20.50%</w:t>
            </w:r>
          </w:p>
        </w:tc>
        <w:tc>
          <w:tcPr>
            <w:tcW w:w="895" w:type="pct"/>
            <w:vAlign w:val="center"/>
          </w:tcPr>
          <w:p w14:paraId="1A23D563" w14:textId="56F68959" w:rsidR="0094481B" w:rsidRPr="00781112" w:rsidRDefault="0094481B" w:rsidP="00D13592">
            <w:pPr>
              <w:jc w:val="center"/>
              <w:rPr>
                <w:rFonts w:cs="Arial"/>
                <w:color w:val="000000" w:themeColor="text1"/>
                <w:szCs w:val="16"/>
              </w:rPr>
            </w:pPr>
            <w:r w:rsidRPr="00781112">
              <w:rPr>
                <w:rFonts w:cs="Arial"/>
                <w:color w:val="000000" w:themeColor="text1"/>
                <w:szCs w:val="16"/>
              </w:rPr>
              <w:t>21.00%</w:t>
            </w:r>
          </w:p>
        </w:tc>
        <w:tc>
          <w:tcPr>
            <w:tcW w:w="895" w:type="pct"/>
            <w:vAlign w:val="center"/>
          </w:tcPr>
          <w:p w14:paraId="6BBDE651" w14:textId="47B65FE0" w:rsidR="0094481B" w:rsidRPr="00781112" w:rsidRDefault="0094481B" w:rsidP="00D13592">
            <w:pPr>
              <w:jc w:val="center"/>
              <w:rPr>
                <w:rFonts w:cs="Arial"/>
                <w:color w:val="000000" w:themeColor="text1"/>
                <w:szCs w:val="16"/>
              </w:rPr>
            </w:pPr>
            <w:r w:rsidRPr="00781112">
              <w:rPr>
                <w:rFonts w:cs="Arial"/>
                <w:color w:val="000000" w:themeColor="text1"/>
                <w:szCs w:val="16"/>
              </w:rPr>
              <w:t>21.50%</w:t>
            </w:r>
          </w:p>
        </w:tc>
      </w:tr>
      <w:tr w:rsidR="0094481B" w:rsidRPr="00781112" w14:paraId="4229AE62" w14:textId="33381C2A" w:rsidTr="00FE4611">
        <w:tc>
          <w:tcPr>
            <w:tcW w:w="579" w:type="pct"/>
            <w:shd w:val="clear" w:color="auto" w:fill="auto"/>
            <w:vAlign w:val="center"/>
          </w:tcPr>
          <w:p w14:paraId="65BFCE1A" w14:textId="0D697A5F"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Reading</w:t>
            </w:r>
          </w:p>
        </w:tc>
        <w:tc>
          <w:tcPr>
            <w:tcW w:w="497" w:type="pct"/>
            <w:shd w:val="clear" w:color="auto" w:fill="auto"/>
            <w:vAlign w:val="center"/>
          </w:tcPr>
          <w:p w14:paraId="0A529643" w14:textId="25196352"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B &gt;=</w:t>
            </w:r>
          </w:p>
        </w:tc>
        <w:tc>
          <w:tcPr>
            <w:tcW w:w="1239" w:type="pct"/>
            <w:shd w:val="clear" w:color="auto" w:fill="auto"/>
            <w:vAlign w:val="center"/>
          </w:tcPr>
          <w:p w14:paraId="62F8D3A7" w14:textId="0DE3112A"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8</w:t>
            </w:r>
          </w:p>
        </w:tc>
        <w:tc>
          <w:tcPr>
            <w:tcW w:w="895" w:type="pct"/>
            <w:shd w:val="clear" w:color="auto" w:fill="auto"/>
            <w:vAlign w:val="center"/>
          </w:tcPr>
          <w:p w14:paraId="1D5B4183" w14:textId="1238BC64" w:rsidR="0094481B" w:rsidRPr="00781112" w:rsidRDefault="0094481B" w:rsidP="00D13592">
            <w:pPr>
              <w:jc w:val="center"/>
              <w:rPr>
                <w:rFonts w:cs="Arial"/>
                <w:color w:val="000000" w:themeColor="text1"/>
                <w:szCs w:val="16"/>
              </w:rPr>
            </w:pPr>
            <w:r w:rsidRPr="00781112">
              <w:rPr>
                <w:rFonts w:cs="Arial"/>
                <w:color w:val="000000" w:themeColor="text1"/>
                <w:szCs w:val="16"/>
              </w:rPr>
              <w:t>34.50%</w:t>
            </w:r>
          </w:p>
        </w:tc>
        <w:tc>
          <w:tcPr>
            <w:tcW w:w="895" w:type="pct"/>
            <w:vAlign w:val="center"/>
          </w:tcPr>
          <w:p w14:paraId="200F306C" w14:textId="40F15380" w:rsidR="0094481B" w:rsidRPr="00781112" w:rsidRDefault="0094481B" w:rsidP="00D13592">
            <w:pPr>
              <w:jc w:val="center"/>
              <w:rPr>
                <w:rFonts w:cs="Arial"/>
                <w:color w:val="000000" w:themeColor="text1"/>
                <w:szCs w:val="16"/>
              </w:rPr>
            </w:pPr>
            <w:r w:rsidRPr="00781112">
              <w:rPr>
                <w:rFonts w:cs="Arial"/>
                <w:color w:val="000000" w:themeColor="text1"/>
                <w:szCs w:val="16"/>
              </w:rPr>
              <w:t>35.00%</w:t>
            </w:r>
          </w:p>
        </w:tc>
        <w:tc>
          <w:tcPr>
            <w:tcW w:w="895" w:type="pct"/>
            <w:vAlign w:val="center"/>
          </w:tcPr>
          <w:p w14:paraId="01C155DC" w14:textId="32FC3C15" w:rsidR="0094481B" w:rsidRPr="00781112" w:rsidRDefault="0094481B" w:rsidP="00D13592">
            <w:pPr>
              <w:jc w:val="center"/>
              <w:rPr>
                <w:rFonts w:cs="Arial"/>
                <w:color w:val="000000" w:themeColor="text1"/>
                <w:szCs w:val="16"/>
              </w:rPr>
            </w:pPr>
            <w:r w:rsidRPr="00781112">
              <w:rPr>
                <w:rFonts w:cs="Arial"/>
                <w:color w:val="000000" w:themeColor="text1"/>
                <w:szCs w:val="16"/>
              </w:rPr>
              <w:t>35.50%</w:t>
            </w:r>
          </w:p>
        </w:tc>
      </w:tr>
      <w:tr w:rsidR="0094481B" w:rsidRPr="00781112" w14:paraId="53D446D4" w14:textId="31EA6E11" w:rsidTr="00FE4611">
        <w:tc>
          <w:tcPr>
            <w:tcW w:w="579" w:type="pct"/>
            <w:shd w:val="clear" w:color="auto" w:fill="auto"/>
            <w:vAlign w:val="center"/>
          </w:tcPr>
          <w:p w14:paraId="5413BB65" w14:textId="22884284"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Reading</w:t>
            </w:r>
          </w:p>
        </w:tc>
        <w:tc>
          <w:tcPr>
            <w:tcW w:w="497" w:type="pct"/>
            <w:shd w:val="clear" w:color="auto" w:fill="auto"/>
            <w:vAlign w:val="center"/>
          </w:tcPr>
          <w:p w14:paraId="1408EAB6" w14:textId="5A0418AE"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C &gt;=</w:t>
            </w:r>
          </w:p>
        </w:tc>
        <w:tc>
          <w:tcPr>
            <w:tcW w:w="1239" w:type="pct"/>
            <w:shd w:val="clear" w:color="auto" w:fill="auto"/>
            <w:vAlign w:val="center"/>
          </w:tcPr>
          <w:p w14:paraId="6E4FCBFF" w14:textId="158A4AA0"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HS</w:t>
            </w:r>
          </w:p>
        </w:tc>
        <w:tc>
          <w:tcPr>
            <w:tcW w:w="895" w:type="pct"/>
            <w:shd w:val="clear" w:color="auto" w:fill="auto"/>
            <w:vAlign w:val="center"/>
          </w:tcPr>
          <w:p w14:paraId="3520F380" w14:textId="38C36219" w:rsidR="0094481B" w:rsidRPr="00781112" w:rsidRDefault="0094481B" w:rsidP="00D13592">
            <w:pPr>
              <w:jc w:val="center"/>
              <w:rPr>
                <w:rFonts w:cs="Arial"/>
                <w:color w:val="000000" w:themeColor="text1"/>
                <w:szCs w:val="16"/>
              </w:rPr>
            </w:pPr>
            <w:r w:rsidRPr="00781112">
              <w:rPr>
                <w:rFonts w:cs="Arial"/>
                <w:color w:val="000000" w:themeColor="text1"/>
                <w:szCs w:val="16"/>
              </w:rPr>
              <w:t>38.00%</w:t>
            </w:r>
          </w:p>
        </w:tc>
        <w:tc>
          <w:tcPr>
            <w:tcW w:w="895" w:type="pct"/>
            <w:vAlign w:val="center"/>
          </w:tcPr>
          <w:p w14:paraId="3305DD14" w14:textId="4DBBF69C" w:rsidR="0094481B" w:rsidRPr="00781112" w:rsidRDefault="0094481B" w:rsidP="00D13592">
            <w:pPr>
              <w:jc w:val="center"/>
              <w:rPr>
                <w:rFonts w:cs="Arial"/>
                <w:color w:val="000000" w:themeColor="text1"/>
                <w:szCs w:val="16"/>
              </w:rPr>
            </w:pPr>
            <w:r w:rsidRPr="00781112">
              <w:rPr>
                <w:rFonts w:cs="Arial"/>
                <w:color w:val="000000" w:themeColor="text1"/>
                <w:szCs w:val="16"/>
              </w:rPr>
              <w:t>38.50%</w:t>
            </w:r>
          </w:p>
        </w:tc>
        <w:tc>
          <w:tcPr>
            <w:tcW w:w="895" w:type="pct"/>
            <w:vAlign w:val="center"/>
          </w:tcPr>
          <w:p w14:paraId="02FF2601" w14:textId="545909AE" w:rsidR="0094481B" w:rsidRPr="00781112" w:rsidRDefault="0094481B" w:rsidP="00D13592">
            <w:pPr>
              <w:jc w:val="center"/>
              <w:rPr>
                <w:rFonts w:cs="Arial"/>
                <w:color w:val="000000" w:themeColor="text1"/>
                <w:szCs w:val="16"/>
              </w:rPr>
            </w:pPr>
            <w:r w:rsidRPr="00781112">
              <w:rPr>
                <w:rFonts w:cs="Arial"/>
                <w:color w:val="000000" w:themeColor="text1"/>
                <w:szCs w:val="16"/>
              </w:rPr>
              <w:t>39.00%</w:t>
            </w:r>
          </w:p>
        </w:tc>
      </w:tr>
      <w:tr w:rsidR="0094481B" w:rsidRPr="00781112" w14:paraId="4D7E1CB4" w14:textId="31C0C80F" w:rsidTr="00FE4611">
        <w:tc>
          <w:tcPr>
            <w:tcW w:w="579" w:type="pct"/>
            <w:shd w:val="clear" w:color="auto" w:fill="auto"/>
            <w:vAlign w:val="center"/>
          </w:tcPr>
          <w:p w14:paraId="3E17FC71" w14:textId="77777777"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Math</w:t>
            </w:r>
          </w:p>
        </w:tc>
        <w:tc>
          <w:tcPr>
            <w:tcW w:w="497" w:type="pct"/>
            <w:shd w:val="clear" w:color="auto" w:fill="auto"/>
            <w:vAlign w:val="center"/>
          </w:tcPr>
          <w:p w14:paraId="393C59D6" w14:textId="4FA6AC82"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A &gt;=</w:t>
            </w:r>
          </w:p>
        </w:tc>
        <w:tc>
          <w:tcPr>
            <w:tcW w:w="1239" w:type="pct"/>
            <w:shd w:val="clear" w:color="auto" w:fill="auto"/>
            <w:vAlign w:val="center"/>
          </w:tcPr>
          <w:p w14:paraId="06CBBAA1" w14:textId="25010E97"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4</w:t>
            </w:r>
          </w:p>
        </w:tc>
        <w:tc>
          <w:tcPr>
            <w:tcW w:w="895" w:type="pct"/>
            <w:shd w:val="clear" w:color="auto" w:fill="auto"/>
            <w:vAlign w:val="center"/>
          </w:tcPr>
          <w:p w14:paraId="5B4F37F7" w14:textId="0586B65B" w:rsidR="0094481B" w:rsidRPr="00781112" w:rsidRDefault="0094481B" w:rsidP="00D13592">
            <w:pPr>
              <w:jc w:val="center"/>
              <w:rPr>
                <w:rFonts w:cs="Arial"/>
                <w:color w:val="000000" w:themeColor="text1"/>
                <w:szCs w:val="16"/>
              </w:rPr>
            </w:pPr>
            <w:r w:rsidRPr="00781112">
              <w:rPr>
                <w:rFonts w:cs="Arial"/>
                <w:color w:val="000000" w:themeColor="text1"/>
                <w:szCs w:val="16"/>
              </w:rPr>
              <w:t>28.50%</w:t>
            </w:r>
          </w:p>
        </w:tc>
        <w:tc>
          <w:tcPr>
            <w:tcW w:w="895" w:type="pct"/>
            <w:vAlign w:val="center"/>
          </w:tcPr>
          <w:p w14:paraId="5BCC413B" w14:textId="09A05E02" w:rsidR="0094481B" w:rsidRPr="00781112" w:rsidRDefault="0094481B" w:rsidP="00D13592">
            <w:pPr>
              <w:jc w:val="center"/>
              <w:rPr>
                <w:rFonts w:cs="Arial"/>
                <w:color w:val="000000" w:themeColor="text1"/>
                <w:szCs w:val="16"/>
              </w:rPr>
            </w:pPr>
            <w:r w:rsidRPr="00781112">
              <w:rPr>
                <w:rFonts w:cs="Arial"/>
                <w:color w:val="000000" w:themeColor="text1"/>
                <w:szCs w:val="16"/>
              </w:rPr>
              <w:t>29.00%</w:t>
            </w:r>
          </w:p>
        </w:tc>
        <w:tc>
          <w:tcPr>
            <w:tcW w:w="895" w:type="pct"/>
            <w:vAlign w:val="center"/>
          </w:tcPr>
          <w:p w14:paraId="45EF5FCE" w14:textId="00D7D29B" w:rsidR="0094481B" w:rsidRPr="00781112" w:rsidRDefault="0094481B" w:rsidP="00D13592">
            <w:pPr>
              <w:jc w:val="center"/>
              <w:rPr>
                <w:rFonts w:cs="Arial"/>
                <w:color w:val="000000" w:themeColor="text1"/>
                <w:szCs w:val="16"/>
              </w:rPr>
            </w:pPr>
            <w:r w:rsidRPr="00781112">
              <w:rPr>
                <w:rFonts w:cs="Arial"/>
                <w:color w:val="000000" w:themeColor="text1"/>
                <w:szCs w:val="16"/>
              </w:rPr>
              <w:t>29.50%</w:t>
            </w:r>
          </w:p>
        </w:tc>
      </w:tr>
      <w:tr w:rsidR="0094481B" w:rsidRPr="00781112" w14:paraId="6A0B25C6" w14:textId="3CA923D5" w:rsidTr="00FE4611">
        <w:tc>
          <w:tcPr>
            <w:tcW w:w="579" w:type="pct"/>
            <w:shd w:val="clear" w:color="auto" w:fill="auto"/>
            <w:vAlign w:val="center"/>
          </w:tcPr>
          <w:p w14:paraId="7A201508" w14:textId="57E216ED"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Math</w:t>
            </w:r>
          </w:p>
        </w:tc>
        <w:tc>
          <w:tcPr>
            <w:tcW w:w="497" w:type="pct"/>
            <w:shd w:val="clear" w:color="auto" w:fill="auto"/>
            <w:vAlign w:val="center"/>
          </w:tcPr>
          <w:p w14:paraId="3BD3C679" w14:textId="4834DDCE"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B &gt;=</w:t>
            </w:r>
          </w:p>
        </w:tc>
        <w:tc>
          <w:tcPr>
            <w:tcW w:w="1239" w:type="pct"/>
            <w:shd w:val="clear" w:color="auto" w:fill="auto"/>
            <w:vAlign w:val="center"/>
          </w:tcPr>
          <w:p w14:paraId="75E8E6D8" w14:textId="7D040B60"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8</w:t>
            </w:r>
          </w:p>
        </w:tc>
        <w:tc>
          <w:tcPr>
            <w:tcW w:w="895" w:type="pct"/>
            <w:shd w:val="clear" w:color="auto" w:fill="auto"/>
            <w:vAlign w:val="center"/>
          </w:tcPr>
          <w:p w14:paraId="4671DF75" w14:textId="2CD78B1B" w:rsidR="0094481B" w:rsidRPr="00781112" w:rsidRDefault="0094481B" w:rsidP="00D13592">
            <w:pPr>
              <w:jc w:val="center"/>
              <w:rPr>
                <w:rFonts w:cs="Arial"/>
                <w:color w:val="000000" w:themeColor="text1"/>
                <w:szCs w:val="16"/>
              </w:rPr>
            </w:pPr>
            <w:r w:rsidRPr="00781112">
              <w:rPr>
                <w:rFonts w:cs="Arial"/>
                <w:color w:val="000000" w:themeColor="text1"/>
                <w:szCs w:val="16"/>
              </w:rPr>
              <w:t>9.00%</w:t>
            </w:r>
          </w:p>
        </w:tc>
        <w:tc>
          <w:tcPr>
            <w:tcW w:w="895" w:type="pct"/>
            <w:vAlign w:val="center"/>
          </w:tcPr>
          <w:p w14:paraId="0BF63C58" w14:textId="72F24C80" w:rsidR="0094481B" w:rsidRPr="00781112" w:rsidRDefault="0094481B" w:rsidP="00D13592">
            <w:pPr>
              <w:jc w:val="center"/>
              <w:rPr>
                <w:rFonts w:cs="Arial"/>
                <w:color w:val="000000" w:themeColor="text1"/>
                <w:szCs w:val="16"/>
              </w:rPr>
            </w:pPr>
            <w:r w:rsidRPr="00781112">
              <w:rPr>
                <w:rFonts w:cs="Arial"/>
                <w:color w:val="000000" w:themeColor="text1"/>
                <w:szCs w:val="16"/>
              </w:rPr>
              <w:t>9.50%</w:t>
            </w:r>
          </w:p>
        </w:tc>
        <w:tc>
          <w:tcPr>
            <w:tcW w:w="895" w:type="pct"/>
            <w:vAlign w:val="center"/>
          </w:tcPr>
          <w:p w14:paraId="0075BBBD" w14:textId="7AFABF25" w:rsidR="0094481B" w:rsidRPr="00781112" w:rsidRDefault="0094481B" w:rsidP="00D13592">
            <w:pPr>
              <w:jc w:val="center"/>
              <w:rPr>
                <w:rFonts w:cs="Arial"/>
                <w:color w:val="000000" w:themeColor="text1"/>
                <w:szCs w:val="16"/>
              </w:rPr>
            </w:pPr>
            <w:r w:rsidRPr="00781112">
              <w:rPr>
                <w:rFonts w:cs="Arial"/>
                <w:color w:val="000000" w:themeColor="text1"/>
                <w:szCs w:val="16"/>
              </w:rPr>
              <w:t>10.00%</w:t>
            </w:r>
          </w:p>
        </w:tc>
      </w:tr>
      <w:tr w:rsidR="0094481B" w:rsidRPr="00781112" w14:paraId="72653908" w14:textId="04D938F0" w:rsidTr="00FE4611">
        <w:tc>
          <w:tcPr>
            <w:tcW w:w="579" w:type="pct"/>
            <w:shd w:val="clear" w:color="auto" w:fill="auto"/>
            <w:vAlign w:val="center"/>
          </w:tcPr>
          <w:p w14:paraId="48B507DA" w14:textId="179672F1"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Math</w:t>
            </w:r>
          </w:p>
        </w:tc>
        <w:tc>
          <w:tcPr>
            <w:tcW w:w="497" w:type="pct"/>
            <w:shd w:val="clear" w:color="auto" w:fill="auto"/>
            <w:vAlign w:val="center"/>
          </w:tcPr>
          <w:p w14:paraId="63FB17C0" w14:textId="2F2DF4DD"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C &gt;=</w:t>
            </w:r>
          </w:p>
        </w:tc>
        <w:tc>
          <w:tcPr>
            <w:tcW w:w="1239" w:type="pct"/>
            <w:shd w:val="clear" w:color="auto" w:fill="auto"/>
            <w:vAlign w:val="center"/>
          </w:tcPr>
          <w:p w14:paraId="54F8A2F9" w14:textId="5C3A3F72"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HS</w:t>
            </w:r>
          </w:p>
        </w:tc>
        <w:tc>
          <w:tcPr>
            <w:tcW w:w="895" w:type="pct"/>
            <w:shd w:val="clear" w:color="auto" w:fill="auto"/>
            <w:vAlign w:val="center"/>
          </w:tcPr>
          <w:p w14:paraId="32CB0D9F" w14:textId="65605481" w:rsidR="0094481B" w:rsidRPr="00781112" w:rsidRDefault="0094481B" w:rsidP="00D13592">
            <w:pPr>
              <w:jc w:val="center"/>
              <w:rPr>
                <w:rFonts w:cs="Arial"/>
                <w:color w:val="000000" w:themeColor="text1"/>
                <w:szCs w:val="16"/>
              </w:rPr>
            </w:pPr>
            <w:r w:rsidRPr="00781112">
              <w:rPr>
                <w:rFonts w:cs="Arial"/>
                <w:color w:val="000000" w:themeColor="text1"/>
                <w:szCs w:val="16"/>
              </w:rPr>
              <w:t>13.50%</w:t>
            </w:r>
          </w:p>
        </w:tc>
        <w:tc>
          <w:tcPr>
            <w:tcW w:w="895" w:type="pct"/>
            <w:vAlign w:val="center"/>
          </w:tcPr>
          <w:p w14:paraId="72012D7E" w14:textId="10B8E7BA" w:rsidR="0094481B" w:rsidRPr="00781112" w:rsidRDefault="0094481B" w:rsidP="00D13592">
            <w:pPr>
              <w:jc w:val="center"/>
              <w:rPr>
                <w:rFonts w:cs="Arial"/>
                <w:color w:val="000000" w:themeColor="text1"/>
                <w:szCs w:val="16"/>
              </w:rPr>
            </w:pPr>
            <w:r w:rsidRPr="00781112">
              <w:rPr>
                <w:rFonts w:cs="Arial"/>
                <w:color w:val="000000" w:themeColor="text1"/>
                <w:szCs w:val="16"/>
              </w:rPr>
              <w:t>14.00%</w:t>
            </w:r>
          </w:p>
        </w:tc>
        <w:tc>
          <w:tcPr>
            <w:tcW w:w="895" w:type="pct"/>
            <w:vAlign w:val="center"/>
          </w:tcPr>
          <w:p w14:paraId="323B3F79" w14:textId="5FA94A39" w:rsidR="0094481B" w:rsidRPr="00781112" w:rsidRDefault="0094481B" w:rsidP="00D13592">
            <w:pPr>
              <w:jc w:val="center"/>
              <w:rPr>
                <w:rFonts w:cs="Arial"/>
                <w:color w:val="000000" w:themeColor="text1"/>
                <w:szCs w:val="16"/>
              </w:rPr>
            </w:pPr>
            <w:r w:rsidRPr="00781112">
              <w:rPr>
                <w:rFonts w:cs="Arial"/>
                <w:color w:val="000000" w:themeColor="text1"/>
                <w:szCs w:val="16"/>
              </w:rPr>
              <w:t>14.50%</w:t>
            </w:r>
          </w:p>
        </w:tc>
      </w:tr>
    </w:tbl>
    <w:p w14:paraId="113C15D2" w14:textId="6B630C8A" w:rsidR="00140972" w:rsidRDefault="00140972">
      <w:pPr>
        <w:spacing w:before="0" w:after="200" w:line="276" w:lineRule="auto"/>
        <w:rPr>
          <w:b/>
          <w:color w:val="000000" w:themeColor="text1"/>
        </w:rPr>
      </w:pPr>
    </w:p>
    <w:p w14:paraId="0A08A514" w14:textId="090EA0D1" w:rsidR="002D145D" w:rsidRPr="00781112" w:rsidRDefault="002D145D" w:rsidP="004369B2">
      <w:pPr>
        <w:rPr>
          <w:b/>
          <w:color w:val="000000" w:themeColor="text1"/>
        </w:rPr>
      </w:pPr>
      <w:r w:rsidRPr="00781112">
        <w:rPr>
          <w:b/>
          <w:color w:val="000000" w:themeColor="text1"/>
        </w:rPr>
        <w:t xml:space="preserve">Targets: Description of Stakeholder Input </w:t>
      </w:r>
    </w:p>
    <w:p w14:paraId="2261CE05" w14:textId="31E113F2" w:rsidR="002D145D" w:rsidRPr="00781112" w:rsidRDefault="002B7490" w:rsidP="002D145D">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w:t>
      </w:r>
      <w:r w:rsidRPr="00781112">
        <w:rPr>
          <w:rFonts w:cs="Arial"/>
          <w:color w:val="000000" w:themeColor="text1"/>
          <w:szCs w:val="16"/>
        </w:rPr>
        <w:lastRenderedPageBreak/>
        <w:t xml:space="preserve">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The baseline for this indicator was presented to stakeholders and updated based on the most current year of data that was not impacted by COVID-19 in order to get the most accurate picture of the current performance level of children with disabilities on the current statewide assessments. The targets were set to show improvement each year from FFY 2020 through 2025. The stakeholders indicated acceptance of these baselines and targets.</w:t>
      </w:r>
      <w:r w:rsidRPr="00781112">
        <w:rPr>
          <w:rFonts w:cs="Arial"/>
          <w:color w:val="000000" w:themeColor="text1"/>
          <w:szCs w:val="16"/>
        </w:rPr>
        <w:br/>
      </w:r>
      <w:r w:rsidRPr="00781112">
        <w:rPr>
          <w:rFonts w:cs="Arial"/>
          <w:color w:val="000000" w:themeColor="text1"/>
          <w:szCs w:val="16"/>
        </w:rPr>
        <w:br/>
        <w:t>FFY 2023</w:t>
      </w:r>
      <w:r w:rsidRPr="00781112">
        <w:rPr>
          <w:rFonts w:cs="Arial"/>
          <w:color w:val="000000" w:themeColor="text1"/>
          <w:szCs w:val="16"/>
        </w:rPr>
        <w:br/>
        <w:t>Stakeholders did not express interest in revising the Assessment Proficiency (alternate standards) targets during any meetings throughout the reporting period; however, WVDE/OSE is receptive to any potential concerns or recommendations that stakeholders may have regarding these targets.</w:t>
      </w:r>
    </w:p>
    <w:p w14:paraId="4A15E54A" w14:textId="77777777" w:rsidR="00B8751C" w:rsidRPr="00781112" w:rsidRDefault="00B8751C">
      <w:pPr>
        <w:rPr>
          <w:b/>
          <w:color w:val="000000" w:themeColor="text1"/>
        </w:rPr>
      </w:pPr>
    </w:p>
    <w:p w14:paraId="01651096" w14:textId="6BE7E08C" w:rsidR="000A5A2E" w:rsidRPr="00781112" w:rsidRDefault="00FA33C9">
      <w:pPr>
        <w:rPr>
          <w:b/>
          <w:color w:val="000000" w:themeColor="text1"/>
        </w:rPr>
      </w:pPr>
      <w:r>
        <w:rPr>
          <w:b/>
          <w:color w:val="000000" w:themeColor="text1"/>
        </w:rPr>
        <w:t>FFY 2023 Data Disaggregation from ED</w:t>
      </w:r>
      <w:r w:rsidRPr="00BA3DBE">
        <w:rPr>
          <w:b/>
          <w:i/>
          <w:iCs/>
          <w:color w:val="000000" w:themeColor="text1"/>
        </w:rPr>
        <w:t>Facts</w:t>
      </w:r>
    </w:p>
    <w:p w14:paraId="42AECFE6"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Data Source: </w:t>
      </w:r>
    </w:p>
    <w:p w14:paraId="4E62FCFE" w14:textId="0B9900E2" w:rsidR="00A10323" w:rsidRPr="00781112" w:rsidRDefault="002B7490" w:rsidP="00286BDF">
      <w:pPr>
        <w:rPr>
          <w:rFonts w:cs="Arial"/>
          <w:color w:val="000000" w:themeColor="text1"/>
          <w:szCs w:val="16"/>
        </w:rPr>
      </w:pPr>
      <w:r w:rsidRPr="00781112">
        <w:rPr>
          <w:rFonts w:cs="Arial"/>
          <w:color w:val="000000" w:themeColor="text1"/>
          <w:szCs w:val="16"/>
        </w:rPr>
        <w:t>SY 2023-24 Assessment Data Groups - Reading (EDFacts file spec FS178; Data Group: 584)</w:t>
      </w:r>
    </w:p>
    <w:p w14:paraId="5E404A07"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Date: </w:t>
      </w:r>
    </w:p>
    <w:p w14:paraId="7A786FF9" w14:textId="7A834053" w:rsidR="00A63347" w:rsidRPr="00781112" w:rsidRDefault="002B7490">
      <w:pPr>
        <w:rPr>
          <w:b/>
          <w:color w:val="000000" w:themeColor="text1"/>
        </w:rPr>
      </w:pPr>
      <w:r w:rsidRPr="00781112">
        <w:rPr>
          <w:rFonts w:cs="Arial"/>
          <w:color w:val="000000" w:themeColor="text1"/>
          <w:szCs w:val="16"/>
        </w:rPr>
        <w:t>01/08/2025</w:t>
      </w:r>
    </w:p>
    <w:p w14:paraId="603FD8CB" w14:textId="05C9185C" w:rsidR="00162F4A" w:rsidRPr="00781112" w:rsidRDefault="00162F4A">
      <w:pPr>
        <w:rPr>
          <w:b/>
          <w:color w:val="000000" w:themeColor="text1"/>
        </w:rPr>
      </w:pPr>
      <w:r w:rsidRPr="00781112">
        <w:rPr>
          <w:b/>
          <w:color w:val="000000" w:themeColor="text1"/>
        </w:rPr>
        <w:t>Reading Assessment Proficiency Data by Grade</w:t>
      </w:r>
    </w:p>
    <w:tbl>
      <w:tblPr>
        <w:tblStyle w:val="TableGrid"/>
        <w:tblW w:w="10795" w:type="dxa"/>
        <w:tblLayout w:type="fixed"/>
        <w:tblLook w:val="04A0" w:firstRow="1" w:lastRow="0" w:firstColumn="1" w:lastColumn="0" w:noHBand="0" w:noVBand="1"/>
        <w:tblCaption w:val="B03CASSPARTDATABYGRDRLA"/>
      </w:tblPr>
      <w:tblGrid>
        <w:gridCol w:w="2695"/>
        <w:gridCol w:w="2700"/>
        <w:gridCol w:w="2700"/>
        <w:gridCol w:w="2700"/>
      </w:tblGrid>
      <w:tr w:rsidR="003403B4" w:rsidRPr="00781112" w14:paraId="428FB0F7" w14:textId="08DAAE1B" w:rsidTr="00E95FBF">
        <w:tc>
          <w:tcPr>
            <w:tcW w:w="2695" w:type="dxa"/>
            <w:shd w:val="clear" w:color="auto" w:fill="auto"/>
          </w:tcPr>
          <w:p w14:paraId="3C2A5B11" w14:textId="73EE4867" w:rsidR="003403B4" w:rsidRPr="00781112" w:rsidRDefault="00835EAD" w:rsidP="003403B4">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3FF46CFF" w14:textId="175C9EF7" w:rsidR="003403B4" w:rsidRPr="00781112" w:rsidRDefault="003403B4" w:rsidP="00196CE6">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1F0659F7" w14:textId="574B33D5" w:rsidR="003403B4" w:rsidRPr="00781112" w:rsidRDefault="003403B4" w:rsidP="00315E88">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51B61EB6" w14:textId="7B1064DE" w:rsidR="003403B4" w:rsidRPr="00781112" w:rsidRDefault="003403B4" w:rsidP="00E14CF0">
            <w:pPr>
              <w:jc w:val="center"/>
              <w:rPr>
                <w:b/>
                <w:color w:val="000000" w:themeColor="text1"/>
              </w:rPr>
            </w:pPr>
            <w:r w:rsidRPr="00781112">
              <w:rPr>
                <w:rFonts w:cs="Arial"/>
                <w:b/>
                <w:bCs/>
                <w:color w:val="000000" w:themeColor="text1"/>
                <w:szCs w:val="16"/>
              </w:rPr>
              <w:t>Grade HS</w:t>
            </w:r>
          </w:p>
        </w:tc>
      </w:tr>
      <w:tr w:rsidR="005A486A" w:rsidRPr="00781112" w14:paraId="15C4E2F5" w14:textId="23A18F5A" w:rsidTr="00E95FBF">
        <w:tc>
          <w:tcPr>
            <w:tcW w:w="2695" w:type="dxa"/>
            <w:shd w:val="clear" w:color="auto" w:fill="auto"/>
          </w:tcPr>
          <w:p w14:paraId="1D84B931" w14:textId="3EFA8778" w:rsidR="005A486A" w:rsidRPr="00781112" w:rsidRDefault="005A486A" w:rsidP="005A486A">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07C14EE4" w14:textId="28486B47" w:rsidR="005A486A" w:rsidRPr="00781112" w:rsidRDefault="005A486A" w:rsidP="00360DD6">
            <w:pPr>
              <w:jc w:val="center"/>
              <w:rPr>
                <w:b/>
                <w:color w:val="000000" w:themeColor="text1"/>
              </w:rPr>
            </w:pPr>
            <w:r w:rsidRPr="00781112">
              <w:rPr>
                <w:color w:val="000000" w:themeColor="text1"/>
              </w:rPr>
              <w:t>203</w:t>
            </w:r>
          </w:p>
        </w:tc>
        <w:tc>
          <w:tcPr>
            <w:tcW w:w="2700" w:type="dxa"/>
            <w:shd w:val="clear" w:color="auto" w:fill="auto"/>
            <w:vAlign w:val="center"/>
          </w:tcPr>
          <w:p w14:paraId="1DFC3C40" w14:textId="5833F145" w:rsidR="005A486A" w:rsidRPr="00781112" w:rsidRDefault="005A486A" w:rsidP="00360DD6">
            <w:pPr>
              <w:jc w:val="center"/>
              <w:rPr>
                <w:b/>
                <w:color w:val="000000" w:themeColor="text1"/>
              </w:rPr>
            </w:pPr>
            <w:r w:rsidRPr="00781112">
              <w:rPr>
                <w:color w:val="000000" w:themeColor="text1"/>
              </w:rPr>
              <w:t>194</w:t>
            </w:r>
          </w:p>
        </w:tc>
        <w:tc>
          <w:tcPr>
            <w:tcW w:w="2700" w:type="dxa"/>
            <w:shd w:val="clear" w:color="auto" w:fill="auto"/>
            <w:vAlign w:val="center"/>
          </w:tcPr>
          <w:p w14:paraId="70A0184C" w14:textId="4D57349B" w:rsidR="005A486A" w:rsidRPr="00781112" w:rsidRDefault="005A486A" w:rsidP="00360DD6">
            <w:pPr>
              <w:jc w:val="center"/>
              <w:rPr>
                <w:b/>
                <w:color w:val="000000" w:themeColor="text1"/>
              </w:rPr>
            </w:pPr>
            <w:r w:rsidRPr="00781112">
              <w:rPr>
                <w:color w:val="000000" w:themeColor="text1"/>
              </w:rPr>
              <w:t>174</w:t>
            </w:r>
          </w:p>
        </w:tc>
      </w:tr>
      <w:tr w:rsidR="005A486A" w:rsidRPr="00781112" w14:paraId="3BE009FE" w14:textId="48A19AF7" w:rsidTr="00E95FBF">
        <w:tc>
          <w:tcPr>
            <w:tcW w:w="2695" w:type="dxa"/>
            <w:shd w:val="clear" w:color="auto" w:fill="auto"/>
          </w:tcPr>
          <w:p w14:paraId="3D43994F" w14:textId="3B46415A" w:rsidR="005A486A" w:rsidRPr="00781112" w:rsidRDefault="003403B4" w:rsidP="005A486A">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55D5067" w14:textId="45460D4D" w:rsidR="005A486A" w:rsidRPr="00781112" w:rsidRDefault="005A486A" w:rsidP="00360DD6">
            <w:pPr>
              <w:jc w:val="center"/>
              <w:rPr>
                <w:b/>
                <w:color w:val="000000" w:themeColor="text1"/>
              </w:rPr>
            </w:pPr>
            <w:r w:rsidRPr="00781112">
              <w:rPr>
                <w:color w:val="000000" w:themeColor="text1"/>
              </w:rPr>
              <w:t>39</w:t>
            </w:r>
          </w:p>
        </w:tc>
        <w:tc>
          <w:tcPr>
            <w:tcW w:w="2700" w:type="dxa"/>
            <w:shd w:val="clear" w:color="auto" w:fill="auto"/>
            <w:vAlign w:val="center"/>
          </w:tcPr>
          <w:p w14:paraId="47E25E0D" w14:textId="60D76349" w:rsidR="005A486A" w:rsidRPr="00781112" w:rsidRDefault="005A486A" w:rsidP="00360DD6">
            <w:pPr>
              <w:jc w:val="center"/>
              <w:rPr>
                <w:b/>
                <w:color w:val="000000" w:themeColor="text1"/>
              </w:rPr>
            </w:pPr>
            <w:r w:rsidRPr="00781112">
              <w:rPr>
                <w:color w:val="000000" w:themeColor="text1"/>
              </w:rPr>
              <w:t>54</w:t>
            </w:r>
          </w:p>
        </w:tc>
        <w:tc>
          <w:tcPr>
            <w:tcW w:w="2700" w:type="dxa"/>
            <w:shd w:val="clear" w:color="auto" w:fill="auto"/>
            <w:vAlign w:val="center"/>
          </w:tcPr>
          <w:p w14:paraId="523F025F" w14:textId="6533B4FD" w:rsidR="005A486A" w:rsidRPr="00781112" w:rsidRDefault="005A486A" w:rsidP="00360DD6">
            <w:pPr>
              <w:jc w:val="center"/>
              <w:rPr>
                <w:b/>
                <w:color w:val="000000" w:themeColor="text1"/>
              </w:rPr>
            </w:pPr>
            <w:r w:rsidRPr="00781112">
              <w:rPr>
                <w:color w:val="000000" w:themeColor="text1"/>
              </w:rPr>
              <w:t>61</w:t>
            </w:r>
          </w:p>
        </w:tc>
      </w:tr>
    </w:tbl>
    <w:p w14:paraId="55B8A812" w14:textId="77777777" w:rsidR="00461A3D" w:rsidRDefault="00461A3D" w:rsidP="00286BDF">
      <w:pPr>
        <w:rPr>
          <w:rFonts w:cs="Arial"/>
          <w:b/>
          <w:color w:val="000000" w:themeColor="text1"/>
          <w:szCs w:val="16"/>
        </w:rPr>
      </w:pPr>
    </w:p>
    <w:p w14:paraId="31899BDA" w14:textId="7FD2D169" w:rsidR="00F41DFF" w:rsidRPr="00781112" w:rsidRDefault="00BD7229" w:rsidP="00286BDF">
      <w:pPr>
        <w:rPr>
          <w:rFonts w:cs="Arial"/>
          <w:b/>
          <w:color w:val="000000" w:themeColor="text1"/>
          <w:szCs w:val="16"/>
        </w:rPr>
      </w:pPr>
      <w:r w:rsidRPr="00781112">
        <w:rPr>
          <w:rFonts w:cs="Arial"/>
          <w:b/>
          <w:color w:val="000000" w:themeColor="text1"/>
          <w:szCs w:val="16"/>
        </w:rPr>
        <w:t xml:space="preserve">Data Source:  </w:t>
      </w:r>
    </w:p>
    <w:p w14:paraId="6AEE1AE1" w14:textId="785594EB" w:rsidR="00BD7229" w:rsidRPr="00781112" w:rsidRDefault="002B7490" w:rsidP="00286BDF">
      <w:pPr>
        <w:rPr>
          <w:rFonts w:cs="Arial"/>
          <w:color w:val="000000" w:themeColor="text1"/>
          <w:szCs w:val="16"/>
        </w:rPr>
      </w:pPr>
      <w:r w:rsidRPr="00781112">
        <w:rPr>
          <w:rFonts w:cs="Arial"/>
          <w:color w:val="000000" w:themeColor="text1"/>
          <w:szCs w:val="16"/>
        </w:rPr>
        <w:t>SY 2023-24 Assessment Data Groups - Math (EDFacts file spec FS175; Data Group: 583)</w:t>
      </w:r>
    </w:p>
    <w:p w14:paraId="59F25B6E"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Date: </w:t>
      </w:r>
    </w:p>
    <w:p w14:paraId="4B8A206D" w14:textId="36B0E5E5" w:rsidR="00BD7229" w:rsidRPr="00781112" w:rsidRDefault="002B7490" w:rsidP="00286BDF">
      <w:pPr>
        <w:rPr>
          <w:rFonts w:cs="Arial"/>
          <w:color w:val="000000" w:themeColor="text1"/>
          <w:szCs w:val="16"/>
        </w:rPr>
      </w:pPr>
      <w:r w:rsidRPr="00781112">
        <w:rPr>
          <w:rFonts w:cs="Arial"/>
          <w:color w:val="000000" w:themeColor="text1"/>
          <w:szCs w:val="16"/>
        </w:rPr>
        <w:t>01/08/2025</w:t>
      </w:r>
    </w:p>
    <w:p w14:paraId="3365AF3D" w14:textId="2AFA5758" w:rsidR="00162F4A" w:rsidRPr="00781112" w:rsidRDefault="00162F4A">
      <w:pPr>
        <w:rPr>
          <w:b/>
          <w:color w:val="000000" w:themeColor="text1"/>
        </w:rPr>
      </w:pPr>
      <w:r w:rsidRPr="00781112">
        <w:rPr>
          <w:b/>
          <w:color w:val="000000" w:themeColor="text1"/>
        </w:rPr>
        <w:t>Math Assessment Proficiency Data by Grade</w:t>
      </w:r>
    </w:p>
    <w:tbl>
      <w:tblPr>
        <w:tblStyle w:val="TableGrid"/>
        <w:tblW w:w="10795" w:type="dxa"/>
        <w:tblLayout w:type="fixed"/>
        <w:tblLook w:val="04A0" w:firstRow="1" w:lastRow="0" w:firstColumn="1" w:lastColumn="0" w:noHBand="0" w:noVBand="1"/>
        <w:tblCaption w:val="B03CASSPARTDATABYGRDMATH"/>
      </w:tblPr>
      <w:tblGrid>
        <w:gridCol w:w="2695"/>
        <w:gridCol w:w="2700"/>
        <w:gridCol w:w="2700"/>
        <w:gridCol w:w="2700"/>
      </w:tblGrid>
      <w:tr w:rsidR="0084736E" w:rsidRPr="00781112" w14:paraId="62DE1B1F" w14:textId="77777777" w:rsidTr="00E95FBF">
        <w:tc>
          <w:tcPr>
            <w:tcW w:w="2695" w:type="dxa"/>
            <w:shd w:val="clear" w:color="auto" w:fill="auto"/>
          </w:tcPr>
          <w:p w14:paraId="190C09EE" w14:textId="0BB3377D" w:rsidR="0084736E" w:rsidRPr="00781112" w:rsidRDefault="00835EAD" w:rsidP="0084736E">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7DE5B404" w14:textId="75646743" w:rsidR="0084736E" w:rsidRPr="00781112" w:rsidRDefault="0084736E" w:rsidP="0084736E">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7038055F" w14:textId="27DA5FAA" w:rsidR="0084736E" w:rsidRPr="00781112" w:rsidRDefault="0084736E" w:rsidP="0084736E">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3032FA89" w14:textId="7F94CD01" w:rsidR="0084736E" w:rsidRPr="00781112" w:rsidRDefault="0084736E" w:rsidP="0084736E">
            <w:pPr>
              <w:jc w:val="center"/>
              <w:rPr>
                <w:b/>
                <w:color w:val="000000" w:themeColor="text1"/>
              </w:rPr>
            </w:pPr>
            <w:r w:rsidRPr="00781112">
              <w:rPr>
                <w:rFonts w:cs="Arial"/>
                <w:b/>
                <w:bCs/>
                <w:color w:val="000000" w:themeColor="text1"/>
                <w:szCs w:val="16"/>
              </w:rPr>
              <w:t>Grade HS</w:t>
            </w:r>
          </w:p>
        </w:tc>
      </w:tr>
      <w:tr w:rsidR="00660173" w:rsidRPr="00781112" w14:paraId="33333988" w14:textId="77777777" w:rsidTr="00E95FBF">
        <w:tc>
          <w:tcPr>
            <w:tcW w:w="2695" w:type="dxa"/>
            <w:shd w:val="clear" w:color="auto" w:fill="auto"/>
          </w:tcPr>
          <w:p w14:paraId="7DC36ACB" w14:textId="0A898DD0" w:rsidR="00660173" w:rsidRPr="00781112" w:rsidRDefault="00660173" w:rsidP="00660173">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4CE4FB96" w14:textId="01B59A61" w:rsidR="00660173" w:rsidRPr="00781112" w:rsidRDefault="00660173" w:rsidP="00360DD6">
            <w:pPr>
              <w:jc w:val="center"/>
              <w:rPr>
                <w:b/>
                <w:color w:val="000000" w:themeColor="text1"/>
              </w:rPr>
            </w:pPr>
            <w:r w:rsidRPr="00781112">
              <w:rPr>
                <w:color w:val="000000" w:themeColor="text1"/>
              </w:rPr>
              <w:t>203</w:t>
            </w:r>
          </w:p>
        </w:tc>
        <w:tc>
          <w:tcPr>
            <w:tcW w:w="2700" w:type="dxa"/>
            <w:shd w:val="clear" w:color="auto" w:fill="auto"/>
            <w:vAlign w:val="center"/>
          </w:tcPr>
          <w:p w14:paraId="07947D7E" w14:textId="50342908" w:rsidR="00660173" w:rsidRPr="00781112" w:rsidRDefault="00660173" w:rsidP="00360DD6">
            <w:pPr>
              <w:jc w:val="center"/>
              <w:rPr>
                <w:b/>
                <w:color w:val="000000" w:themeColor="text1"/>
              </w:rPr>
            </w:pPr>
            <w:r w:rsidRPr="00781112">
              <w:rPr>
                <w:color w:val="000000" w:themeColor="text1"/>
              </w:rPr>
              <w:t>194</w:t>
            </w:r>
          </w:p>
        </w:tc>
        <w:tc>
          <w:tcPr>
            <w:tcW w:w="2700" w:type="dxa"/>
            <w:shd w:val="clear" w:color="auto" w:fill="auto"/>
            <w:vAlign w:val="center"/>
          </w:tcPr>
          <w:p w14:paraId="669EEFA3" w14:textId="194786E9" w:rsidR="00660173" w:rsidRPr="00781112" w:rsidRDefault="00660173" w:rsidP="00360DD6">
            <w:pPr>
              <w:jc w:val="center"/>
              <w:rPr>
                <w:b/>
                <w:color w:val="000000" w:themeColor="text1"/>
              </w:rPr>
            </w:pPr>
            <w:r w:rsidRPr="00781112">
              <w:rPr>
                <w:color w:val="000000" w:themeColor="text1"/>
              </w:rPr>
              <w:t>174</w:t>
            </w:r>
          </w:p>
        </w:tc>
      </w:tr>
      <w:tr w:rsidR="00660173" w:rsidRPr="00781112" w14:paraId="7E58498F" w14:textId="77777777" w:rsidTr="00E95FBF">
        <w:tc>
          <w:tcPr>
            <w:tcW w:w="2695" w:type="dxa"/>
            <w:shd w:val="clear" w:color="auto" w:fill="auto"/>
          </w:tcPr>
          <w:p w14:paraId="4F32E0BC" w14:textId="3249207F" w:rsidR="00660173" w:rsidRPr="00781112" w:rsidRDefault="00660173" w:rsidP="00660173">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DE46D54" w14:textId="09C11F4A" w:rsidR="00660173" w:rsidRPr="00781112" w:rsidRDefault="00660173" w:rsidP="00360DD6">
            <w:pPr>
              <w:jc w:val="center"/>
              <w:rPr>
                <w:b/>
                <w:color w:val="000000" w:themeColor="text1"/>
              </w:rPr>
            </w:pPr>
            <w:r w:rsidRPr="00781112">
              <w:rPr>
                <w:color w:val="000000" w:themeColor="text1"/>
              </w:rPr>
              <w:t>78</w:t>
            </w:r>
          </w:p>
        </w:tc>
        <w:tc>
          <w:tcPr>
            <w:tcW w:w="2700" w:type="dxa"/>
            <w:shd w:val="clear" w:color="auto" w:fill="auto"/>
            <w:vAlign w:val="center"/>
          </w:tcPr>
          <w:p w14:paraId="6F4311F8" w14:textId="57481F37" w:rsidR="00660173" w:rsidRPr="00781112" w:rsidRDefault="00660173" w:rsidP="00360DD6">
            <w:pPr>
              <w:jc w:val="center"/>
              <w:rPr>
                <w:b/>
                <w:color w:val="000000" w:themeColor="text1"/>
              </w:rPr>
            </w:pPr>
            <w:r w:rsidRPr="00781112">
              <w:rPr>
                <w:color w:val="000000" w:themeColor="text1"/>
              </w:rPr>
              <w:t>21</w:t>
            </w:r>
          </w:p>
        </w:tc>
        <w:tc>
          <w:tcPr>
            <w:tcW w:w="2700" w:type="dxa"/>
            <w:shd w:val="clear" w:color="auto" w:fill="auto"/>
            <w:vAlign w:val="center"/>
          </w:tcPr>
          <w:p w14:paraId="7B154B01" w14:textId="7C106CF5" w:rsidR="00660173" w:rsidRPr="00781112" w:rsidRDefault="00660173" w:rsidP="00360DD6">
            <w:pPr>
              <w:jc w:val="center"/>
              <w:rPr>
                <w:b/>
                <w:color w:val="000000" w:themeColor="text1"/>
              </w:rPr>
            </w:pPr>
            <w:r w:rsidRPr="00781112">
              <w:rPr>
                <w:color w:val="000000" w:themeColor="text1"/>
              </w:rPr>
              <w:t>52</w:t>
            </w:r>
          </w:p>
        </w:tc>
      </w:tr>
    </w:tbl>
    <w:p w14:paraId="56C37F05" w14:textId="77777777" w:rsidR="00241BD0" w:rsidRPr="00781112" w:rsidRDefault="00241BD0" w:rsidP="004369B2">
      <w:pPr>
        <w:rPr>
          <w:color w:val="000000" w:themeColor="text1"/>
        </w:rPr>
      </w:pPr>
    </w:p>
    <w:p w14:paraId="0E0A129D" w14:textId="399E4303" w:rsidR="00BD7229" w:rsidRPr="00781112" w:rsidRDefault="0047313F" w:rsidP="004369B2">
      <w:pPr>
        <w:rPr>
          <w:b/>
          <w:color w:val="000000" w:themeColor="text1"/>
        </w:rPr>
      </w:pPr>
      <w:r>
        <w:rPr>
          <w:b/>
          <w:color w:val="000000" w:themeColor="text1"/>
        </w:rPr>
        <w:t>FFY 2023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RLA"/>
      </w:tblPr>
      <w:tblGrid>
        <w:gridCol w:w="696"/>
        <w:gridCol w:w="1178"/>
        <w:gridCol w:w="1245"/>
        <w:gridCol w:w="1373"/>
        <w:gridCol w:w="1140"/>
        <w:gridCol w:w="1600"/>
        <w:gridCol w:w="1050"/>
        <w:gridCol w:w="1270"/>
        <w:gridCol w:w="1238"/>
      </w:tblGrid>
      <w:tr w:rsidR="00FA33C9" w:rsidRPr="00781112" w14:paraId="73241F59" w14:textId="77777777" w:rsidTr="00140972">
        <w:trPr>
          <w:tblHeader/>
        </w:trPr>
        <w:tc>
          <w:tcPr>
            <w:tcW w:w="221" w:type="pct"/>
            <w:shd w:val="clear" w:color="auto" w:fill="auto"/>
            <w:vAlign w:val="bottom"/>
          </w:tcPr>
          <w:p w14:paraId="3378C689" w14:textId="77777777" w:rsidR="00FA33C9" w:rsidRPr="00781112" w:rsidRDefault="00FA33C9" w:rsidP="00FA33C9">
            <w:pPr>
              <w:jc w:val="center"/>
              <w:rPr>
                <w:b/>
                <w:color w:val="000000" w:themeColor="text1"/>
              </w:rPr>
            </w:pPr>
            <w:r w:rsidRPr="00781112">
              <w:rPr>
                <w:b/>
                <w:color w:val="000000" w:themeColor="text1"/>
              </w:rPr>
              <w:t>Group</w:t>
            </w:r>
          </w:p>
        </w:tc>
        <w:tc>
          <w:tcPr>
            <w:tcW w:w="559" w:type="pct"/>
            <w:shd w:val="clear" w:color="auto" w:fill="auto"/>
            <w:vAlign w:val="bottom"/>
          </w:tcPr>
          <w:p w14:paraId="34B96D6C" w14:textId="2E1BB35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3B6543C5" w14:textId="7737694B" w:rsidR="00FA33C9" w:rsidRPr="00781112" w:rsidRDefault="00FA33C9" w:rsidP="00FA33C9">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9" w:type="pct"/>
            <w:shd w:val="clear" w:color="auto" w:fill="auto"/>
            <w:vAlign w:val="bottom"/>
          </w:tcPr>
          <w:p w14:paraId="36E5B9C7" w14:textId="23CF68D2"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2614DFA3" w14:textId="077D9027" w:rsidR="00FA33C9" w:rsidRPr="00073BD7" w:rsidRDefault="00FA33C9" w:rsidP="00FA33C9">
            <w:pPr>
              <w:jc w:val="center"/>
              <w:rPr>
                <w:b/>
                <w:bCs/>
                <w:color w:val="000000" w:themeColor="text1"/>
              </w:rPr>
            </w:pPr>
            <w:r w:rsidRPr="00073BD7">
              <w:rPr>
                <w:b/>
                <w:bCs/>
              </w:rPr>
              <w:t>FFY 2022 Data</w:t>
            </w:r>
          </w:p>
        </w:tc>
        <w:tc>
          <w:tcPr>
            <w:tcW w:w="754" w:type="pct"/>
            <w:shd w:val="clear" w:color="auto" w:fill="auto"/>
            <w:vAlign w:val="bottom"/>
          </w:tcPr>
          <w:p w14:paraId="09D4299D" w14:textId="770FD546" w:rsidR="00FA33C9" w:rsidRPr="00073BD7" w:rsidRDefault="00FA33C9" w:rsidP="00FA33C9">
            <w:pPr>
              <w:jc w:val="center"/>
              <w:rPr>
                <w:b/>
                <w:bCs/>
                <w:color w:val="000000" w:themeColor="text1"/>
              </w:rPr>
            </w:pPr>
            <w:r w:rsidRPr="00073BD7">
              <w:rPr>
                <w:b/>
                <w:bCs/>
              </w:rPr>
              <w:t>FFY 2023 Target</w:t>
            </w:r>
          </w:p>
        </w:tc>
        <w:tc>
          <w:tcPr>
            <w:tcW w:w="499" w:type="pct"/>
            <w:shd w:val="clear" w:color="auto" w:fill="auto"/>
            <w:vAlign w:val="bottom"/>
          </w:tcPr>
          <w:p w14:paraId="2B4D24C2" w14:textId="3575C59B" w:rsidR="00FA33C9" w:rsidRPr="00073BD7" w:rsidRDefault="00FA33C9" w:rsidP="00FA33C9">
            <w:pPr>
              <w:jc w:val="center"/>
              <w:rPr>
                <w:b/>
                <w:bCs/>
                <w:color w:val="000000" w:themeColor="text1"/>
              </w:rPr>
            </w:pPr>
            <w:r w:rsidRPr="00073BD7">
              <w:rPr>
                <w:b/>
                <w:bCs/>
              </w:rPr>
              <w:t>FFY 2023 Data</w:t>
            </w:r>
          </w:p>
        </w:tc>
        <w:tc>
          <w:tcPr>
            <w:tcW w:w="601" w:type="pct"/>
            <w:shd w:val="clear" w:color="auto" w:fill="auto"/>
            <w:vAlign w:val="bottom"/>
          </w:tcPr>
          <w:p w14:paraId="4987ED35"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7EA3F612" w14:textId="77777777" w:rsidR="00FA33C9" w:rsidRPr="00781112" w:rsidRDefault="00FA33C9" w:rsidP="00FA33C9">
            <w:pPr>
              <w:jc w:val="center"/>
              <w:rPr>
                <w:b/>
                <w:color w:val="000000" w:themeColor="text1"/>
              </w:rPr>
            </w:pPr>
            <w:r w:rsidRPr="00781112">
              <w:rPr>
                <w:b/>
                <w:color w:val="000000" w:themeColor="text1"/>
              </w:rPr>
              <w:t>Slippage</w:t>
            </w:r>
          </w:p>
        </w:tc>
      </w:tr>
      <w:tr w:rsidR="00566725" w:rsidRPr="00781112" w14:paraId="318B8AAD" w14:textId="77777777" w:rsidTr="00140972">
        <w:tc>
          <w:tcPr>
            <w:tcW w:w="221" w:type="pct"/>
            <w:shd w:val="clear" w:color="auto" w:fill="auto"/>
            <w:vAlign w:val="center"/>
          </w:tcPr>
          <w:p w14:paraId="4BD3A1A0"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A</w:t>
            </w:r>
          </w:p>
        </w:tc>
        <w:tc>
          <w:tcPr>
            <w:tcW w:w="559" w:type="pct"/>
            <w:shd w:val="clear" w:color="auto" w:fill="auto"/>
          </w:tcPr>
          <w:p w14:paraId="2D59B69E" w14:textId="71850FD0"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tcPr>
          <w:p w14:paraId="10EC608D" w14:textId="576E5156" w:rsidR="00566725" w:rsidRPr="00781112" w:rsidRDefault="00566725" w:rsidP="00566725">
            <w:pPr>
              <w:jc w:val="center"/>
              <w:rPr>
                <w:rFonts w:cs="Arial"/>
                <w:color w:val="000000" w:themeColor="text1"/>
                <w:szCs w:val="16"/>
              </w:rPr>
            </w:pPr>
            <w:r w:rsidRPr="00781112">
              <w:rPr>
                <w:rFonts w:cs="Arial"/>
                <w:color w:val="000000" w:themeColor="text1"/>
                <w:szCs w:val="16"/>
              </w:rPr>
              <w:t>39</w:t>
            </w:r>
          </w:p>
        </w:tc>
        <w:tc>
          <w:tcPr>
            <w:tcW w:w="649" w:type="pct"/>
            <w:shd w:val="clear" w:color="auto" w:fill="auto"/>
          </w:tcPr>
          <w:p w14:paraId="5740CA80" w14:textId="7FBF02A9" w:rsidR="00566725" w:rsidRPr="00781112" w:rsidRDefault="00566725" w:rsidP="00566725">
            <w:pPr>
              <w:jc w:val="center"/>
              <w:rPr>
                <w:rFonts w:cs="Arial"/>
                <w:color w:val="000000" w:themeColor="text1"/>
                <w:szCs w:val="16"/>
              </w:rPr>
            </w:pPr>
            <w:r>
              <w:rPr>
                <w:rFonts w:cs="Arial"/>
                <w:color w:val="000000"/>
                <w:szCs w:val="16"/>
              </w:rPr>
              <w:t>203</w:t>
            </w:r>
          </w:p>
        </w:tc>
        <w:tc>
          <w:tcPr>
            <w:tcW w:w="541" w:type="pct"/>
            <w:shd w:val="clear" w:color="auto" w:fill="auto"/>
          </w:tcPr>
          <w:p w14:paraId="6BA58310" w14:textId="391F367C" w:rsidR="00566725" w:rsidRPr="00781112" w:rsidRDefault="00566725" w:rsidP="00566725">
            <w:pPr>
              <w:jc w:val="center"/>
              <w:rPr>
                <w:rFonts w:cs="Arial"/>
                <w:color w:val="000000" w:themeColor="text1"/>
                <w:szCs w:val="16"/>
              </w:rPr>
            </w:pPr>
            <w:r w:rsidRPr="00781112">
              <w:rPr>
                <w:rFonts w:cs="Arial"/>
                <w:color w:val="000000" w:themeColor="text1"/>
                <w:szCs w:val="16"/>
              </w:rPr>
              <w:t>16.00%</w:t>
            </w:r>
          </w:p>
        </w:tc>
        <w:tc>
          <w:tcPr>
            <w:tcW w:w="754" w:type="pct"/>
            <w:shd w:val="clear" w:color="auto" w:fill="auto"/>
          </w:tcPr>
          <w:p w14:paraId="47A1F29A" w14:textId="0E923F64" w:rsidR="00566725" w:rsidRPr="00781112" w:rsidRDefault="00566725" w:rsidP="00566725">
            <w:pPr>
              <w:jc w:val="center"/>
              <w:rPr>
                <w:rFonts w:cs="Arial"/>
                <w:color w:val="000000" w:themeColor="text1"/>
                <w:szCs w:val="16"/>
              </w:rPr>
            </w:pPr>
            <w:r w:rsidRPr="00781112">
              <w:rPr>
                <w:rFonts w:cs="Arial"/>
                <w:color w:val="000000" w:themeColor="text1"/>
                <w:szCs w:val="16"/>
              </w:rPr>
              <w:t>20.50%</w:t>
            </w:r>
          </w:p>
        </w:tc>
        <w:tc>
          <w:tcPr>
            <w:tcW w:w="499" w:type="pct"/>
            <w:shd w:val="clear" w:color="auto" w:fill="auto"/>
          </w:tcPr>
          <w:p w14:paraId="2AE4C61A" w14:textId="12BE6FDD" w:rsidR="00566725" w:rsidRPr="00781112" w:rsidRDefault="00566725" w:rsidP="00566725">
            <w:pPr>
              <w:jc w:val="center"/>
              <w:rPr>
                <w:rFonts w:cs="Arial"/>
                <w:color w:val="000000" w:themeColor="text1"/>
                <w:szCs w:val="16"/>
              </w:rPr>
            </w:pPr>
            <w:r w:rsidRPr="00781112">
              <w:rPr>
                <w:rFonts w:cs="Arial"/>
                <w:color w:val="000000" w:themeColor="text1"/>
                <w:szCs w:val="16"/>
              </w:rPr>
              <w:t>19.21%</w:t>
            </w:r>
          </w:p>
        </w:tc>
        <w:tc>
          <w:tcPr>
            <w:tcW w:w="601" w:type="pct"/>
            <w:shd w:val="clear" w:color="auto" w:fill="auto"/>
          </w:tcPr>
          <w:p w14:paraId="2590AA37" w14:textId="2B2E3DAE"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39DEC07F" w14:textId="70B28667" w:rsidR="00566725" w:rsidRPr="00781112" w:rsidRDefault="00566725" w:rsidP="00566725">
            <w:pPr>
              <w:jc w:val="center"/>
              <w:rPr>
                <w:rFonts w:cs="Arial"/>
                <w:color w:val="000000" w:themeColor="text1"/>
                <w:szCs w:val="16"/>
              </w:rPr>
            </w:pPr>
            <w:r w:rsidRPr="00781112">
              <w:rPr>
                <w:rFonts w:cs="Arial"/>
                <w:color w:val="000000" w:themeColor="text1"/>
                <w:szCs w:val="16"/>
              </w:rPr>
              <w:t>No Slippage</w:t>
            </w:r>
          </w:p>
        </w:tc>
      </w:tr>
      <w:tr w:rsidR="00566725" w:rsidRPr="00781112" w14:paraId="52B173E5" w14:textId="77777777" w:rsidTr="00140972">
        <w:tc>
          <w:tcPr>
            <w:tcW w:w="221" w:type="pct"/>
            <w:shd w:val="clear" w:color="auto" w:fill="auto"/>
            <w:vAlign w:val="center"/>
          </w:tcPr>
          <w:p w14:paraId="5153CDB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B</w:t>
            </w:r>
          </w:p>
        </w:tc>
        <w:tc>
          <w:tcPr>
            <w:tcW w:w="559" w:type="pct"/>
            <w:shd w:val="clear" w:color="auto" w:fill="auto"/>
          </w:tcPr>
          <w:p w14:paraId="137CEDF6" w14:textId="15D625F4"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tcPr>
          <w:p w14:paraId="1707A82B" w14:textId="3E333A0B" w:rsidR="00566725" w:rsidRPr="00781112" w:rsidRDefault="00566725" w:rsidP="00566725">
            <w:pPr>
              <w:jc w:val="center"/>
              <w:rPr>
                <w:rFonts w:cs="Arial"/>
                <w:color w:val="000000" w:themeColor="text1"/>
                <w:szCs w:val="16"/>
              </w:rPr>
            </w:pPr>
            <w:r w:rsidRPr="00781112">
              <w:rPr>
                <w:rFonts w:cs="Arial"/>
                <w:color w:val="000000" w:themeColor="text1"/>
                <w:szCs w:val="16"/>
              </w:rPr>
              <w:t>54</w:t>
            </w:r>
          </w:p>
        </w:tc>
        <w:tc>
          <w:tcPr>
            <w:tcW w:w="649" w:type="pct"/>
            <w:shd w:val="clear" w:color="auto" w:fill="auto"/>
          </w:tcPr>
          <w:p w14:paraId="1BCB466D" w14:textId="5DD60E0B" w:rsidR="00566725" w:rsidRPr="00781112" w:rsidRDefault="00566725" w:rsidP="00566725">
            <w:pPr>
              <w:jc w:val="center"/>
              <w:rPr>
                <w:rFonts w:cs="Arial"/>
                <w:color w:val="000000" w:themeColor="text1"/>
                <w:szCs w:val="16"/>
              </w:rPr>
            </w:pPr>
            <w:r>
              <w:rPr>
                <w:rFonts w:cs="Arial"/>
                <w:color w:val="000000"/>
                <w:szCs w:val="16"/>
              </w:rPr>
              <w:t>194</w:t>
            </w:r>
          </w:p>
        </w:tc>
        <w:tc>
          <w:tcPr>
            <w:tcW w:w="541" w:type="pct"/>
            <w:shd w:val="clear" w:color="auto" w:fill="auto"/>
          </w:tcPr>
          <w:p w14:paraId="60597E0A" w14:textId="4D673C7B" w:rsidR="00566725" w:rsidRPr="00781112" w:rsidRDefault="00566725" w:rsidP="00566725">
            <w:pPr>
              <w:jc w:val="center"/>
              <w:rPr>
                <w:rFonts w:cs="Arial"/>
                <w:color w:val="000000" w:themeColor="text1"/>
                <w:szCs w:val="16"/>
              </w:rPr>
            </w:pPr>
            <w:r w:rsidRPr="00781112">
              <w:rPr>
                <w:rFonts w:cs="Arial"/>
                <w:color w:val="000000" w:themeColor="text1"/>
                <w:szCs w:val="16"/>
              </w:rPr>
              <w:t>21.40%</w:t>
            </w:r>
          </w:p>
        </w:tc>
        <w:tc>
          <w:tcPr>
            <w:tcW w:w="754" w:type="pct"/>
            <w:shd w:val="clear" w:color="auto" w:fill="auto"/>
          </w:tcPr>
          <w:p w14:paraId="6445398C" w14:textId="393A6DFD" w:rsidR="00566725" w:rsidRPr="00781112" w:rsidRDefault="00566725" w:rsidP="00566725">
            <w:pPr>
              <w:jc w:val="center"/>
              <w:rPr>
                <w:rFonts w:cs="Arial"/>
                <w:color w:val="000000" w:themeColor="text1"/>
                <w:szCs w:val="16"/>
              </w:rPr>
            </w:pPr>
            <w:r w:rsidRPr="00781112">
              <w:rPr>
                <w:rFonts w:cs="Arial"/>
                <w:color w:val="000000" w:themeColor="text1"/>
                <w:szCs w:val="16"/>
              </w:rPr>
              <w:t>34.50%</w:t>
            </w:r>
          </w:p>
        </w:tc>
        <w:tc>
          <w:tcPr>
            <w:tcW w:w="499" w:type="pct"/>
            <w:shd w:val="clear" w:color="auto" w:fill="auto"/>
          </w:tcPr>
          <w:p w14:paraId="4EBD899F" w14:textId="57918237" w:rsidR="00566725" w:rsidRPr="00781112" w:rsidRDefault="00566725" w:rsidP="00566725">
            <w:pPr>
              <w:jc w:val="center"/>
              <w:rPr>
                <w:rFonts w:cs="Arial"/>
                <w:color w:val="000000" w:themeColor="text1"/>
                <w:szCs w:val="16"/>
              </w:rPr>
            </w:pPr>
            <w:r w:rsidRPr="00781112">
              <w:rPr>
                <w:rFonts w:cs="Arial"/>
                <w:color w:val="000000" w:themeColor="text1"/>
                <w:szCs w:val="16"/>
              </w:rPr>
              <w:t>27.84%</w:t>
            </w:r>
          </w:p>
        </w:tc>
        <w:tc>
          <w:tcPr>
            <w:tcW w:w="601" w:type="pct"/>
            <w:shd w:val="clear" w:color="auto" w:fill="auto"/>
          </w:tcPr>
          <w:p w14:paraId="585589D4" w14:textId="6C3ED8A0"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64956786" w14:textId="4047CECE" w:rsidR="00566725" w:rsidRPr="00781112" w:rsidRDefault="00566725" w:rsidP="00566725">
            <w:pPr>
              <w:jc w:val="center"/>
              <w:rPr>
                <w:rFonts w:cs="Arial"/>
                <w:color w:val="000000" w:themeColor="text1"/>
                <w:szCs w:val="16"/>
              </w:rPr>
            </w:pPr>
            <w:r w:rsidRPr="00781112">
              <w:rPr>
                <w:rFonts w:cs="Arial"/>
                <w:color w:val="000000" w:themeColor="text1"/>
                <w:szCs w:val="16"/>
              </w:rPr>
              <w:t>No Slippage</w:t>
            </w:r>
          </w:p>
        </w:tc>
      </w:tr>
      <w:tr w:rsidR="00566725" w:rsidRPr="00781112" w14:paraId="3EA2EA1E" w14:textId="77777777" w:rsidTr="00140972">
        <w:tc>
          <w:tcPr>
            <w:tcW w:w="221" w:type="pct"/>
            <w:shd w:val="clear" w:color="auto" w:fill="auto"/>
            <w:vAlign w:val="center"/>
          </w:tcPr>
          <w:p w14:paraId="7CB7E77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C</w:t>
            </w:r>
          </w:p>
        </w:tc>
        <w:tc>
          <w:tcPr>
            <w:tcW w:w="559" w:type="pct"/>
            <w:shd w:val="clear" w:color="auto" w:fill="auto"/>
          </w:tcPr>
          <w:p w14:paraId="260DAFBC" w14:textId="292387CD"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tcPr>
          <w:p w14:paraId="3637A0D0" w14:textId="4E467DC1" w:rsidR="00566725" w:rsidRPr="00781112" w:rsidRDefault="00566725" w:rsidP="00566725">
            <w:pPr>
              <w:jc w:val="center"/>
              <w:rPr>
                <w:rFonts w:cs="Arial"/>
                <w:color w:val="000000" w:themeColor="text1"/>
                <w:szCs w:val="16"/>
              </w:rPr>
            </w:pPr>
            <w:r w:rsidRPr="00781112">
              <w:rPr>
                <w:rFonts w:cs="Arial"/>
                <w:color w:val="000000" w:themeColor="text1"/>
                <w:szCs w:val="16"/>
              </w:rPr>
              <w:t>61</w:t>
            </w:r>
          </w:p>
        </w:tc>
        <w:tc>
          <w:tcPr>
            <w:tcW w:w="649" w:type="pct"/>
            <w:shd w:val="clear" w:color="auto" w:fill="auto"/>
          </w:tcPr>
          <w:p w14:paraId="0F212AA6" w14:textId="77E5B78D" w:rsidR="00566725" w:rsidRPr="00781112" w:rsidRDefault="00566725" w:rsidP="00566725">
            <w:pPr>
              <w:jc w:val="center"/>
              <w:rPr>
                <w:rFonts w:cs="Arial"/>
                <w:color w:val="000000" w:themeColor="text1"/>
                <w:szCs w:val="16"/>
              </w:rPr>
            </w:pPr>
            <w:r>
              <w:rPr>
                <w:rFonts w:cs="Arial"/>
                <w:color w:val="000000"/>
                <w:szCs w:val="16"/>
              </w:rPr>
              <w:t>174</w:t>
            </w:r>
          </w:p>
        </w:tc>
        <w:tc>
          <w:tcPr>
            <w:tcW w:w="541" w:type="pct"/>
            <w:shd w:val="clear" w:color="auto" w:fill="auto"/>
          </w:tcPr>
          <w:p w14:paraId="066DE90A" w14:textId="5EE6838D" w:rsidR="00566725" w:rsidRPr="00781112" w:rsidRDefault="00566725" w:rsidP="00566725">
            <w:pPr>
              <w:jc w:val="center"/>
              <w:rPr>
                <w:rFonts w:cs="Arial"/>
                <w:color w:val="000000" w:themeColor="text1"/>
                <w:szCs w:val="16"/>
              </w:rPr>
            </w:pPr>
            <w:r w:rsidRPr="00781112">
              <w:rPr>
                <w:rFonts w:cs="Arial"/>
                <w:color w:val="000000" w:themeColor="text1"/>
                <w:szCs w:val="16"/>
              </w:rPr>
              <w:t>33.17%</w:t>
            </w:r>
          </w:p>
        </w:tc>
        <w:tc>
          <w:tcPr>
            <w:tcW w:w="754" w:type="pct"/>
            <w:shd w:val="clear" w:color="auto" w:fill="auto"/>
          </w:tcPr>
          <w:p w14:paraId="4191EA17" w14:textId="17F82057" w:rsidR="00566725" w:rsidRPr="00781112" w:rsidRDefault="00566725" w:rsidP="00566725">
            <w:pPr>
              <w:jc w:val="center"/>
              <w:rPr>
                <w:rFonts w:cs="Arial"/>
                <w:color w:val="000000" w:themeColor="text1"/>
                <w:szCs w:val="16"/>
              </w:rPr>
            </w:pPr>
            <w:r w:rsidRPr="00781112">
              <w:rPr>
                <w:rFonts w:cs="Arial"/>
                <w:color w:val="000000" w:themeColor="text1"/>
                <w:szCs w:val="16"/>
              </w:rPr>
              <w:t>38.00%</w:t>
            </w:r>
          </w:p>
        </w:tc>
        <w:tc>
          <w:tcPr>
            <w:tcW w:w="499" w:type="pct"/>
            <w:shd w:val="clear" w:color="auto" w:fill="auto"/>
          </w:tcPr>
          <w:p w14:paraId="15CE5CCF" w14:textId="00F68E62" w:rsidR="00566725" w:rsidRPr="00781112" w:rsidRDefault="00566725" w:rsidP="00566725">
            <w:pPr>
              <w:jc w:val="center"/>
              <w:rPr>
                <w:rFonts w:cs="Arial"/>
                <w:color w:val="000000" w:themeColor="text1"/>
                <w:szCs w:val="16"/>
              </w:rPr>
            </w:pPr>
            <w:r w:rsidRPr="00781112">
              <w:rPr>
                <w:rFonts w:cs="Arial"/>
                <w:color w:val="000000" w:themeColor="text1"/>
                <w:szCs w:val="16"/>
              </w:rPr>
              <w:t>35.06%</w:t>
            </w:r>
          </w:p>
        </w:tc>
        <w:tc>
          <w:tcPr>
            <w:tcW w:w="601" w:type="pct"/>
            <w:shd w:val="clear" w:color="auto" w:fill="auto"/>
          </w:tcPr>
          <w:p w14:paraId="28CB2C9E" w14:textId="4F0EF91A"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157B84D0" w14:textId="0B58E631" w:rsidR="00566725" w:rsidRPr="00781112" w:rsidRDefault="00566725" w:rsidP="00566725">
            <w:pPr>
              <w:jc w:val="center"/>
              <w:rPr>
                <w:rFonts w:cs="Arial"/>
                <w:color w:val="000000" w:themeColor="text1"/>
                <w:szCs w:val="16"/>
              </w:rPr>
            </w:pPr>
            <w:r w:rsidRPr="00781112">
              <w:rPr>
                <w:rFonts w:cs="Arial"/>
                <w:color w:val="000000" w:themeColor="text1"/>
                <w:szCs w:val="16"/>
              </w:rPr>
              <w:t>No Slippage</w:t>
            </w:r>
          </w:p>
        </w:tc>
      </w:tr>
    </w:tbl>
    <w:p w14:paraId="493A373E" w14:textId="77777777" w:rsidR="00445640" w:rsidRPr="00781112" w:rsidRDefault="00445640" w:rsidP="000C3A20">
      <w:pPr>
        <w:rPr>
          <w:color w:val="000000" w:themeColor="text1"/>
        </w:rPr>
      </w:pPr>
    </w:p>
    <w:p w14:paraId="73E73F7F" w14:textId="022AA9CC" w:rsidR="00BD7229" w:rsidRPr="00781112" w:rsidRDefault="0047313F" w:rsidP="004369B2">
      <w:pPr>
        <w:rPr>
          <w:b/>
          <w:color w:val="000000" w:themeColor="text1"/>
        </w:rPr>
      </w:pPr>
      <w:r>
        <w:rPr>
          <w:b/>
          <w:color w:val="000000" w:themeColor="text1"/>
        </w:rPr>
        <w:lastRenderedPageBreak/>
        <w:t>FFY 2023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MATHASS"/>
      </w:tblPr>
      <w:tblGrid>
        <w:gridCol w:w="696"/>
        <w:gridCol w:w="1187"/>
        <w:gridCol w:w="1245"/>
        <w:gridCol w:w="1370"/>
        <w:gridCol w:w="1139"/>
        <w:gridCol w:w="1595"/>
        <w:gridCol w:w="1050"/>
        <w:gridCol w:w="1270"/>
        <w:gridCol w:w="1238"/>
      </w:tblGrid>
      <w:tr w:rsidR="00FA33C9" w:rsidRPr="00781112" w14:paraId="2361B602" w14:textId="77777777" w:rsidTr="00140972">
        <w:trPr>
          <w:tblHeader/>
        </w:trPr>
        <w:tc>
          <w:tcPr>
            <w:tcW w:w="220" w:type="pct"/>
            <w:shd w:val="clear" w:color="auto" w:fill="auto"/>
            <w:vAlign w:val="bottom"/>
          </w:tcPr>
          <w:p w14:paraId="097BD4DD" w14:textId="77777777" w:rsidR="00FA33C9" w:rsidRPr="00781112" w:rsidRDefault="00FA33C9" w:rsidP="00FA33C9">
            <w:pPr>
              <w:jc w:val="center"/>
              <w:rPr>
                <w:b/>
                <w:color w:val="000000" w:themeColor="text1"/>
              </w:rPr>
            </w:pPr>
            <w:r w:rsidRPr="00781112">
              <w:rPr>
                <w:b/>
                <w:color w:val="000000" w:themeColor="text1"/>
              </w:rPr>
              <w:t>Group</w:t>
            </w:r>
          </w:p>
        </w:tc>
        <w:tc>
          <w:tcPr>
            <w:tcW w:w="563" w:type="pct"/>
            <w:shd w:val="clear" w:color="auto" w:fill="auto"/>
            <w:vAlign w:val="bottom"/>
          </w:tcPr>
          <w:p w14:paraId="221D62AE" w14:textId="46B1DC1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6EA1E126" w14:textId="66F4FC74" w:rsidR="00FA33C9" w:rsidRPr="00781112" w:rsidRDefault="00FA33C9" w:rsidP="00FA33C9">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8" w:type="pct"/>
            <w:shd w:val="clear" w:color="auto" w:fill="auto"/>
            <w:vAlign w:val="bottom"/>
          </w:tcPr>
          <w:p w14:paraId="534757DA" w14:textId="5F85E8DF"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73023982" w14:textId="39C0AC76" w:rsidR="00FA33C9" w:rsidRPr="00073BD7" w:rsidRDefault="00FA33C9" w:rsidP="00FA33C9">
            <w:pPr>
              <w:jc w:val="center"/>
              <w:rPr>
                <w:b/>
                <w:bCs/>
                <w:color w:val="000000" w:themeColor="text1"/>
              </w:rPr>
            </w:pPr>
            <w:r w:rsidRPr="00073BD7">
              <w:rPr>
                <w:b/>
                <w:bCs/>
              </w:rPr>
              <w:t>FFY 2022 Data</w:t>
            </w:r>
          </w:p>
        </w:tc>
        <w:tc>
          <w:tcPr>
            <w:tcW w:w="752" w:type="pct"/>
            <w:shd w:val="clear" w:color="auto" w:fill="auto"/>
            <w:vAlign w:val="bottom"/>
          </w:tcPr>
          <w:p w14:paraId="37651EF9" w14:textId="2FA4EAEF" w:rsidR="00FA33C9" w:rsidRPr="00073BD7" w:rsidRDefault="00FA33C9" w:rsidP="00FA33C9">
            <w:pPr>
              <w:jc w:val="center"/>
              <w:rPr>
                <w:b/>
                <w:bCs/>
                <w:color w:val="000000" w:themeColor="text1"/>
              </w:rPr>
            </w:pPr>
            <w:r w:rsidRPr="00073BD7">
              <w:rPr>
                <w:b/>
                <w:bCs/>
              </w:rPr>
              <w:t>FFY 2023 Target</w:t>
            </w:r>
          </w:p>
        </w:tc>
        <w:tc>
          <w:tcPr>
            <w:tcW w:w="499" w:type="pct"/>
            <w:shd w:val="clear" w:color="auto" w:fill="auto"/>
            <w:vAlign w:val="bottom"/>
          </w:tcPr>
          <w:p w14:paraId="3D61FBEB" w14:textId="64D5A8EA" w:rsidR="00FA33C9" w:rsidRPr="00073BD7" w:rsidRDefault="00FA33C9" w:rsidP="00FA33C9">
            <w:pPr>
              <w:jc w:val="center"/>
              <w:rPr>
                <w:b/>
                <w:bCs/>
                <w:color w:val="000000" w:themeColor="text1"/>
              </w:rPr>
            </w:pPr>
            <w:r w:rsidRPr="00073BD7">
              <w:rPr>
                <w:b/>
                <w:bCs/>
              </w:rPr>
              <w:t>FFY 2023 Data</w:t>
            </w:r>
          </w:p>
        </w:tc>
        <w:tc>
          <w:tcPr>
            <w:tcW w:w="601" w:type="pct"/>
            <w:shd w:val="clear" w:color="auto" w:fill="auto"/>
            <w:vAlign w:val="bottom"/>
          </w:tcPr>
          <w:p w14:paraId="730A2874"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67BEF249" w14:textId="77777777" w:rsidR="00FA33C9" w:rsidRPr="00781112" w:rsidRDefault="00FA33C9" w:rsidP="00FA33C9">
            <w:pPr>
              <w:jc w:val="center"/>
              <w:rPr>
                <w:b/>
                <w:color w:val="000000" w:themeColor="text1"/>
              </w:rPr>
            </w:pPr>
            <w:r w:rsidRPr="00781112">
              <w:rPr>
                <w:b/>
                <w:color w:val="000000" w:themeColor="text1"/>
              </w:rPr>
              <w:t>Slippage</w:t>
            </w:r>
          </w:p>
        </w:tc>
      </w:tr>
      <w:tr w:rsidR="00A31E8A" w:rsidRPr="00781112" w14:paraId="08D65837" w14:textId="77777777" w:rsidTr="00140972">
        <w:tc>
          <w:tcPr>
            <w:tcW w:w="220" w:type="pct"/>
            <w:shd w:val="clear" w:color="auto" w:fill="auto"/>
            <w:vAlign w:val="center"/>
          </w:tcPr>
          <w:p w14:paraId="76903C3F" w14:textId="77777777" w:rsidR="00A31E8A" w:rsidRPr="00781112" w:rsidRDefault="00A31E8A" w:rsidP="00A31E8A">
            <w:pPr>
              <w:pStyle w:val="Default"/>
              <w:jc w:val="center"/>
              <w:rPr>
                <w:b/>
                <w:color w:val="000000" w:themeColor="text1"/>
                <w:sz w:val="16"/>
                <w:szCs w:val="16"/>
              </w:rPr>
            </w:pPr>
            <w:r w:rsidRPr="00781112">
              <w:rPr>
                <w:rFonts w:eastAsiaTheme="minorHAnsi"/>
                <w:b/>
                <w:color w:val="000000" w:themeColor="text1"/>
                <w:sz w:val="16"/>
                <w:szCs w:val="16"/>
              </w:rPr>
              <w:t>A</w:t>
            </w:r>
          </w:p>
        </w:tc>
        <w:tc>
          <w:tcPr>
            <w:tcW w:w="563" w:type="pct"/>
            <w:shd w:val="clear" w:color="auto" w:fill="auto"/>
            <w:vAlign w:val="center"/>
          </w:tcPr>
          <w:p w14:paraId="02026CDE" w14:textId="2E1566AE"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vAlign w:val="center"/>
          </w:tcPr>
          <w:p w14:paraId="16642EB5" w14:textId="2F43A115" w:rsidR="00A31E8A" w:rsidRPr="00781112" w:rsidRDefault="00A31E8A" w:rsidP="00A31E8A">
            <w:pPr>
              <w:jc w:val="center"/>
              <w:rPr>
                <w:rFonts w:cs="Arial"/>
                <w:color w:val="000000" w:themeColor="text1"/>
                <w:szCs w:val="16"/>
              </w:rPr>
            </w:pPr>
            <w:r w:rsidRPr="00781112">
              <w:rPr>
                <w:rFonts w:cs="Arial"/>
                <w:color w:val="000000" w:themeColor="text1"/>
                <w:szCs w:val="16"/>
              </w:rPr>
              <w:t>78</w:t>
            </w:r>
          </w:p>
        </w:tc>
        <w:tc>
          <w:tcPr>
            <w:tcW w:w="648" w:type="pct"/>
            <w:shd w:val="clear" w:color="auto" w:fill="auto"/>
          </w:tcPr>
          <w:p w14:paraId="1C6085EF" w14:textId="508775F3" w:rsidR="00A31E8A" w:rsidRPr="00781112" w:rsidRDefault="00A31E8A" w:rsidP="00A31E8A">
            <w:pPr>
              <w:jc w:val="center"/>
              <w:rPr>
                <w:rFonts w:cs="Arial"/>
                <w:color w:val="000000" w:themeColor="text1"/>
                <w:szCs w:val="16"/>
              </w:rPr>
            </w:pPr>
            <w:r>
              <w:rPr>
                <w:rFonts w:cs="Arial"/>
                <w:color w:val="000000"/>
                <w:szCs w:val="16"/>
              </w:rPr>
              <w:t>203</w:t>
            </w:r>
          </w:p>
        </w:tc>
        <w:tc>
          <w:tcPr>
            <w:tcW w:w="541" w:type="pct"/>
            <w:shd w:val="clear" w:color="auto" w:fill="auto"/>
            <w:vAlign w:val="center"/>
          </w:tcPr>
          <w:p w14:paraId="3DFEF3CC" w14:textId="273D8D28" w:rsidR="00A31E8A" w:rsidRPr="00781112" w:rsidRDefault="00A31E8A" w:rsidP="00A31E8A">
            <w:pPr>
              <w:jc w:val="center"/>
              <w:rPr>
                <w:rFonts w:cs="Arial"/>
                <w:color w:val="000000" w:themeColor="text1"/>
                <w:szCs w:val="16"/>
              </w:rPr>
            </w:pPr>
            <w:r w:rsidRPr="00781112">
              <w:rPr>
                <w:rFonts w:cs="Arial"/>
                <w:color w:val="000000" w:themeColor="text1"/>
                <w:szCs w:val="16"/>
              </w:rPr>
              <w:t>37.00%</w:t>
            </w:r>
          </w:p>
        </w:tc>
        <w:tc>
          <w:tcPr>
            <w:tcW w:w="752" w:type="pct"/>
            <w:shd w:val="clear" w:color="auto" w:fill="auto"/>
            <w:vAlign w:val="center"/>
          </w:tcPr>
          <w:p w14:paraId="78DBA801" w14:textId="0BA3B321" w:rsidR="00A31E8A" w:rsidRPr="00781112" w:rsidRDefault="00A31E8A" w:rsidP="00A31E8A">
            <w:pPr>
              <w:jc w:val="center"/>
              <w:rPr>
                <w:rFonts w:cs="Arial"/>
                <w:color w:val="000000" w:themeColor="text1"/>
                <w:szCs w:val="16"/>
              </w:rPr>
            </w:pPr>
            <w:r w:rsidRPr="00781112">
              <w:rPr>
                <w:rFonts w:cs="Arial"/>
                <w:color w:val="000000" w:themeColor="text1"/>
                <w:szCs w:val="16"/>
              </w:rPr>
              <w:t>28.50%</w:t>
            </w:r>
          </w:p>
        </w:tc>
        <w:tc>
          <w:tcPr>
            <w:tcW w:w="499" w:type="pct"/>
            <w:shd w:val="clear" w:color="auto" w:fill="auto"/>
            <w:vAlign w:val="center"/>
          </w:tcPr>
          <w:p w14:paraId="1DC938D5" w14:textId="450CB901" w:rsidR="00A31E8A" w:rsidRPr="00781112" w:rsidRDefault="00A31E8A" w:rsidP="00A31E8A">
            <w:pPr>
              <w:jc w:val="center"/>
              <w:rPr>
                <w:rFonts w:cs="Arial"/>
                <w:color w:val="000000" w:themeColor="text1"/>
                <w:szCs w:val="16"/>
              </w:rPr>
            </w:pPr>
            <w:r w:rsidRPr="00781112">
              <w:rPr>
                <w:rFonts w:cs="Arial"/>
                <w:color w:val="000000" w:themeColor="text1"/>
                <w:szCs w:val="16"/>
              </w:rPr>
              <w:t>38.42%</w:t>
            </w:r>
          </w:p>
        </w:tc>
        <w:tc>
          <w:tcPr>
            <w:tcW w:w="601" w:type="pct"/>
            <w:shd w:val="clear" w:color="auto" w:fill="auto"/>
            <w:vAlign w:val="center"/>
          </w:tcPr>
          <w:p w14:paraId="4B9610A1" w14:textId="71C9791E" w:rsidR="00A31E8A" w:rsidRPr="00781112" w:rsidRDefault="00A31E8A" w:rsidP="00A31E8A">
            <w:pPr>
              <w:jc w:val="center"/>
              <w:rPr>
                <w:rFonts w:cs="Arial"/>
                <w:color w:val="000000" w:themeColor="text1"/>
                <w:szCs w:val="16"/>
              </w:rPr>
            </w:pPr>
            <w:r w:rsidRPr="00781112">
              <w:rPr>
                <w:rFonts w:cs="Arial"/>
                <w:color w:val="000000" w:themeColor="text1"/>
                <w:szCs w:val="16"/>
              </w:rPr>
              <w:t>Met target</w:t>
            </w:r>
          </w:p>
        </w:tc>
        <w:tc>
          <w:tcPr>
            <w:tcW w:w="586" w:type="pct"/>
            <w:shd w:val="clear" w:color="auto" w:fill="auto"/>
            <w:vAlign w:val="center"/>
          </w:tcPr>
          <w:p w14:paraId="5708D4BE" w14:textId="328B6097"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r w:rsidR="00A31E8A" w:rsidRPr="00781112" w14:paraId="5E0D5724" w14:textId="77777777" w:rsidTr="00140972">
        <w:tc>
          <w:tcPr>
            <w:tcW w:w="220" w:type="pct"/>
            <w:shd w:val="clear" w:color="auto" w:fill="auto"/>
            <w:vAlign w:val="center"/>
          </w:tcPr>
          <w:p w14:paraId="2202EBA2" w14:textId="77777777" w:rsidR="00A31E8A" w:rsidRPr="00781112" w:rsidRDefault="00A31E8A" w:rsidP="00A31E8A">
            <w:pPr>
              <w:pStyle w:val="Default"/>
              <w:jc w:val="center"/>
              <w:rPr>
                <w:b/>
                <w:color w:val="000000" w:themeColor="text1"/>
                <w:sz w:val="16"/>
                <w:szCs w:val="16"/>
              </w:rPr>
            </w:pPr>
            <w:r w:rsidRPr="00781112">
              <w:rPr>
                <w:b/>
                <w:color w:val="000000" w:themeColor="text1"/>
                <w:sz w:val="16"/>
                <w:szCs w:val="16"/>
              </w:rPr>
              <w:t>B</w:t>
            </w:r>
          </w:p>
        </w:tc>
        <w:tc>
          <w:tcPr>
            <w:tcW w:w="563" w:type="pct"/>
            <w:shd w:val="clear" w:color="auto" w:fill="auto"/>
            <w:vAlign w:val="center"/>
          </w:tcPr>
          <w:p w14:paraId="2BE28CC3" w14:textId="5462148F"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vAlign w:val="center"/>
          </w:tcPr>
          <w:p w14:paraId="65165B6C" w14:textId="77C4C484" w:rsidR="00A31E8A" w:rsidRPr="00781112" w:rsidRDefault="00A31E8A" w:rsidP="00A31E8A">
            <w:pPr>
              <w:jc w:val="center"/>
              <w:rPr>
                <w:rFonts w:cs="Arial"/>
                <w:color w:val="000000" w:themeColor="text1"/>
                <w:szCs w:val="16"/>
              </w:rPr>
            </w:pPr>
            <w:r w:rsidRPr="00781112">
              <w:rPr>
                <w:rFonts w:cs="Arial"/>
                <w:color w:val="000000" w:themeColor="text1"/>
                <w:szCs w:val="16"/>
              </w:rPr>
              <w:t>21</w:t>
            </w:r>
          </w:p>
        </w:tc>
        <w:tc>
          <w:tcPr>
            <w:tcW w:w="648" w:type="pct"/>
            <w:shd w:val="clear" w:color="auto" w:fill="auto"/>
          </w:tcPr>
          <w:p w14:paraId="25BE3991" w14:textId="52B3E29B" w:rsidR="00A31E8A" w:rsidRPr="00781112" w:rsidRDefault="00A31E8A" w:rsidP="00A31E8A">
            <w:pPr>
              <w:jc w:val="center"/>
              <w:rPr>
                <w:rFonts w:cs="Arial"/>
                <w:color w:val="000000" w:themeColor="text1"/>
                <w:szCs w:val="16"/>
              </w:rPr>
            </w:pPr>
            <w:r>
              <w:rPr>
                <w:rFonts w:cs="Arial"/>
                <w:color w:val="000000"/>
                <w:szCs w:val="16"/>
              </w:rPr>
              <w:t>194</w:t>
            </w:r>
          </w:p>
        </w:tc>
        <w:tc>
          <w:tcPr>
            <w:tcW w:w="541" w:type="pct"/>
            <w:shd w:val="clear" w:color="auto" w:fill="auto"/>
            <w:vAlign w:val="center"/>
          </w:tcPr>
          <w:p w14:paraId="0DB348C5" w14:textId="2F8A4588" w:rsidR="00A31E8A" w:rsidRPr="00781112" w:rsidRDefault="00A31E8A" w:rsidP="00A31E8A">
            <w:pPr>
              <w:jc w:val="center"/>
              <w:rPr>
                <w:rFonts w:cs="Arial"/>
                <w:color w:val="000000" w:themeColor="text1"/>
                <w:szCs w:val="16"/>
              </w:rPr>
            </w:pPr>
            <w:r w:rsidRPr="00781112">
              <w:rPr>
                <w:rFonts w:cs="Arial"/>
                <w:color w:val="000000" w:themeColor="text1"/>
                <w:szCs w:val="16"/>
              </w:rPr>
              <w:t>5.79%</w:t>
            </w:r>
          </w:p>
        </w:tc>
        <w:tc>
          <w:tcPr>
            <w:tcW w:w="752" w:type="pct"/>
            <w:shd w:val="clear" w:color="auto" w:fill="auto"/>
            <w:vAlign w:val="center"/>
          </w:tcPr>
          <w:p w14:paraId="31FB5FEB" w14:textId="4BF20A90" w:rsidR="00A31E8A" w:rsidRPr="00781112" w:rsidRDefault="00A31E8A" w:rsidP="00A31E8A">
            <w:pPr>
              <w:jc w:val="center"/>
              <w:rPr>
                <w:rFonts w:cs="Arial"/>
                <w:color w:val="000000" w:themeColor="text1"/>
                <w:szCs w:val="16"/>
              </w:rPr>
            </w:pPr>
            <w:r w:rsidRPr="00781112">
              <w:rPr>
                <w:rFonts w:cs="Arial"/>
                <w:color w:val="000000" w:themeColor="text1"/>
                <w:szCs w:val="16"/>
              </w:rPr>
              <w:t>9.00%</w:t>
            </w:r>
          </w:p>
        </w:tc>
        <w:tc>
          <w:tcPr>
            <w:tcW w:w="499" w:type="pct"/>
            <w:shd w:val="clear" w:color="auto" w:fill="auto"/>
            <w:vAlign w:val="center"/>
          </w:tcPr>
          <w:p w14:paraId="139B969C" w14:textId="619F4507" w:rsidR="00A31E8A" w:rsidRPr="00781112" w:rsidRDefault="00A31E8A" w:rsidP="00A31E8A">
            <w:pPr>
              <w:jc w:val="center"/>
              <w:rPr>
                <w:rFonts w:cs="Arial"/>
                <w:color w:val="000000" w:themeColor="text1"/>
                <w:szCs w:val="16"/>
              </w:rPr>
            </w:pPr>
            <w:r w:rsidRPr="00781112">
              <w:rPr>
                <w:rFonts w:cs="Arial"/>
                <w:color w:val="000000" w:themeColor="text1"/>
                <w:szCs w:val="16"/>
              </w:rPr>
              <w:t>10.82%</w:t>
            </w:r>
          </w:p>
        </w:tc>
        <w:tc>
          <w:tcPr>
            <w:tcW w:w="601" w:type="pct"/>
            <w:shd w:val="clear" w:color="auto" w:fill="auto"/>
            <w:vAlign w:val="center"/>
          </w:tcPr>
          <w:p w14:paraId="52EDA926" w14:textId="7B797DBA" w:rsidR="00A31E8A" w:rsidRPr="00781112" w:rsidRDefault="00A31E8A" w:rsidP="00A31E8A">
            <w:pPr>
              <w:jc w:val="center"/>
              <w:rPr>
                <w:rFonts w:cs="Arial"/>
                <w:color w:val="000000" w:themeColor="text1"/>
                <w:szCs w:val="16"/>
              </w:rPr>
            </w:pPr>
            <w:r w:rsidRPr="00781112">
              <w:rPr>
                <w:rFonts w:cs="Arial"/>
                <w:color w:val="000000" w:themeColor="text1"/>
                <w:szCs w:val="16"/>
              </w:rPr>
              <w:t>Met target</w:t>
            </w:r>
          </w:p>
        </w:tc>
        <w:tc>
          <w:tcPr>
            <w:tcW w:w="586" w:type="pct"/>
            <w:shd w:val="clear" w:color="auto" w:fill="auto"/>
            <w:vAlign w:val="center"/>
          </w:tcPr>
          <w:p w14:paraId="027F05C7" w14:textId="42C60C06"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r w:rsidR="00A31E8A" w:rsidRPr="00781112" w14:paraId="6F15E001" w14:textId="77777777" w:rsidTr="00140972">
        <w:tc>
          <w:tcPr>
            <w:tcW w:w="220" w:type="pct"/>
            <w:shd w:val="clear" w:color="auto" w:fill="auto"/>
            <w:vAlign w:val="center"/>
          </w:tcPr>
          <w:p w14:paraId="40D4F498" w14:textId="77777777" w:rsidR="00A31E8A" w:rsidRPr="00781112" w:rsidRDefault="00A31E8A" w:rsidP="00A31E8A">
            <w:pPr>
              <w:pStyle w:val="Default"/>
              <w:jc w:val="center"/>
              <w:rPr>
                <w:rFonts w:eastAsiaTheme="minorHAnsi"/>
                <w:color w:val="000000" w:themeColor="text1"/>
                <w:sz w:val="16"/>
                <w:szCs w:val="16"/>
              </w:rPr>
            </w:pPr>
            <w:r w:rsidRPr="00781112">
              <w:rPr>
                <w:b/>
                <w:color w:val="000000" w:themeColor="text1"/>
                <w:sz w:val="16"/>
                <w:szCs w:val="16"/>
              </w:rPr>
              <w:t>C</w:t>
            </w:r>
          </w:p>
        </w:tc>
        <w:tc>
          <w:tcPr>
            <w:tcW w:w="563" w:type="pct"/>
            <w:shd w:val="clear" w:color="auto" w:fill="auto"/>
            <w:vAlign w:val="center"/>
          </w:tcPr>
          <w:p w14:paraId="200262C5" w14:textId="22AC7908"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vAlign w:val="center"/>
          </w:tcPr>
          <w:p w14:paraId="44B84702" w14:textId="5A092874" w:rsidR="00A31E8A" w:rsidRPr="00781112" w:rsidRDefault="00A31E8A" w:rsidP="00A31E8A">
            <w:pPr>
              <w:jc w:val="center"/>
              <w:rPr>
                <w:rFonts w:cs="Arial"/>
                <w:color w:val="000000" w:themeColor="text1"/>
                <w:szCs w:val="16"/>
              </w:rPr>
            </w:pPr>
            <w:r w:rsidRPr="00781112">
              <w:rPr>
                <w:rFonts w:cs="Arial"/>
                <w:color w:val="000000" w:themeColor="text1"/>
                <w:szCs w:val="16"/>
              </w:rPr>
              <w:t>52</w:t>
            </w:r>
          </w:p>
        </w:tc>
        <w:tc>
          <w:tcPr>
            <w:tcW w:w="648" w:type="pct"/>
            <w:shd w:val="clear" w:color="auto" w:fill="auto"/>
          </w:tcPr>
          <w:p w14:paraId="6C88DEC2" w14:textId="2C61C34F" w:rsidR="00A31E8A" w:rsidRPr="00781112" w:rsidRDefault="00A31E8A" w:rsidP="00A31E8A">
            <w:pPr>
              <w:jc w:val="center"/>
              <w:rPr>
                <w:rFonts w:cs="Arial"/>
                <w:color w:val="000000" w:themeColor="text1"/>
                <w:szCs w:val="16"/>
              </w:rPr>
            </w:pPr>
            <w:r>
              <w:rPr>
                <w:rFonts w:cs="Arial"/>
                <w:color w:val="000000"/>
                <w:szCs w:val="16"/>
              </w:rPr>
              <w:t>174</w:t>
            </w:r>
          </w:p>
        </w:tc>
        <w:tc>
          <w:tcPr>
            <w:tcW w:w="541" w:type="pct"/>
            <w:shd w:val="clear" w:color="auto" w:fill="auto"/>
            <w:vAlign w:val="center"/>
          </w:tcPr>
          <w:p w14:paraId="59D699CF" w14:textId="460A79FA" w:rsidR="00A31E8A" w:rsidRPr="00781112" w:rsidRDefault="00A31E8A" w:rsidP="00A31E8A">
            <w:pPr>
              <w:jc w:val="center"/>
              <w:rPr>
                <w:rFonts w:cs="Arial"/>
                <w:color w:val="000000" w:themeColor="text1"/>
                <w:szCs w:val="16"/>
              </w:rPr>
            </w:pPr>
            <w:r w:rsidRPr="00781112">
              <w:rPr>
                <w:rFonts w:cs="Arial"/>
                <w:color w:val="000000" w:themeColor="text1"/>
                <w:szCs w:val="16"/>
              </w:rPr>
              <w:t>24.12%</w:t>
            </w:r>
          </w:p>
        </w:tc>
        <w:tc>
          <w:tcPr>
            <w:tcW w:w="752" w:type="pct"/>
            <w:shd w:val="clear" w:color="auto" w:fill="auto"/>
            <w:vAlign w:val="center"/>
          </w:tcPr>
          <w:p w14:paraId="18D7723E" w14:textId="7A443B62" w:rsidR="00A31E8A" w:rsidRPr="00781112" w:rsidRDefault="00A31E8A" w:rsidP="00A31E8A">
            <w:pPr>
              <w:jc w:val="center"/>
              <w:rPr>
                <w:rFonts w:cs="Arial"/>
                <w:color w:val="000000" w:themeColor="text1"/>
                <w:szCs w:val="16"/>
              </w:rPr>
            </w:pPr>
            <w:r w:rsidRPr="00781112">
              <w:rPr>
                <w:rFonts w:cs="Arial"/>
                <w:color w:val="000000" w:themeColor="text1"/>
                <w:szCs w:val="16"/>
              </w:rPr>
              <w:t>13.50%</w:t>
            </w:r>
          </w:p>
        </w:tc>
        <w:tc>
          <w:tcPr>
            <w:tcW w:w="499" w:type="pct"/>
            <w:shd w:val="clear" w:color="auto" w:fill="auto"/>
            <w:vAlign w:val="center"/>
          </w:tcPr>
          <w:p w14:paraId="1C467869" w14:textId="36566B3C" w:rsidR="00A31E8A" w:rsidRPr="00781112" w:rsidRDefault="00A31E8A" w:rsidP="00A31E8A">
            <w:pPr>
              <w:jc w:val="center"/>
              <w:rPr>
                <w:rFonts w:cs="Arial"/>
                <w:color w:val="000000" w:themeColor="text1"/>
                <w:szCs w:val="16"/>
              </w:rPr>
            </w:pPr>
            <w:r w:rsidRPr="00781112">
              <w:rPr>
                <w:rFonts w:cs="Arial"/>
                <w:color w:val="000000" w:themeColor="text1"/>
                <w:szCs w:val="16"/>
              </w:rPr>
              <w:t>29.89%</w:t>
            </w:r>
          </w:p>
        </w:tc>
        <w:tc>
          <w:tcPr>
            <w:tcW w:w="601" w:type="pct"/>
            <w:shd w:val="clear" w:color="auto" w:fill="auto"/>
            <w:vAlign w:val="center"/>
          </w:tcPr>
          <w:p w14:paraId="56861D59" w14:textId="0856E80D" w:rsidR="00A31E8A" w:rsidRPr="00781112" w:rsidRDefault="00A31E8A" w:rsidP="00A31E8A">
            <w:pPr>
              <w:jc w:val="center"/>
              <w:rPr>
                <w:rFonts w:cs="Arial"/>
                <w:color w:val="000000" w:themeColor="text1"/>
                <w:szCs w:val="16"/>
              </w:rPr>
            </w:pPr>
            <w:r w:rsidRPr="00781112">
              <w:rPr>
                <w:rFonts w:cs="Arial"/>
                <w:color w:val="000000" w:themeColor="text1"/>
                <w:szCs w:val="16"/>
              </w:rPr>
              <w:t>Met target</w:t>
            </w:r>
          </w:p>
        </w:tc>
        <w:tc>
          <w:tcPr>
            <w:tcW w:w="586" w:type="pct"/>
            <w:shd w:val="clear" w:color="auto" w:fill="auto"/>
            <w:vAlign w:val="center"/>
          </w:tcPr>
          <w:p w14:paraId="7220CAED" w14:textId="6484F1AC"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bl>
    <w:p w14:paraId="5EB0A206" w14:textId="77777777" w:rsidR="00445640" w:rsidRPr="00781112" w:rsidRDefault="00445640" w:rsidP="000C3A20">
      <w:pPr>
        <w:rPr>
          <w:color w:val="000000" w:themeColor="text1"/>
        </w:rPr>
      </w:pPr>
    </w:p>
    <w:p w14:paraId="4F8B3B70" w14:textId="05453045" w:rsidR="000A5A2E" w:rsidRPr="00781112" w:rsidRDefault="000A5A2E" w:rsidP="004369B2">
      <w:pPr>
        <w:rPr>
          <w:color w:val="000000" w:themeColor="text1"/>
        </w:rPr>
      </w:pPr>
      <w:r w:rsidRPr="00781112">
        <w:rPr>
          <w:b/>
          <w:color w:val="000000" w:themeColor="text1"/>
        </w:rPr>
        <w:t>Regulatory Information</w:t>
      </w:r>
    </w:p>
    <w:p w14:paraId="2B741846" w14:textId="30EBAA23" w:rsidR="000A5A2E" w:rsidRPr="00781112" w:rsidRDefault="00A14B5D" w:rsidP="00286BDF">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p>
    <w:p w14:paraId="7C3B3355" w14:textId="77777777" w:rsidR="00241BD0" w:rsidRPr="00781112" w:rsidRDefault="00241BD0" w:rsidP="004369B2">
      <w:pPr>
        <w:rPr>
          <w:color w:val="000000" w:themeColor="text1"/>
        </w:rPr>
      </w:pPr>
    </w:p>
    <w:p w14:paraId="1FD3EE14" w14:textId="6446691C" w:rsidR="000A5A2E" w:rsidRPr="00781112" w:rsidRDefault="000A5A2E" w:rsidP="004369B2">
      <w:pPr>
        <w:rPr>
          <w:color w:val="000000" w:themeColor="text1"/>
        </w:rPr>
      </w:pPr>
      <w:r w:rsidRPr="00781112">
        <w:rPr>
          <w:b/>
          <w:color w:val="000000" w:themeColor="text1"/>
        </w:rPr>
        <w:t>Public Reporting Information</w:t>
      </w:r>
    </w:p>
    <w:p w14:paraId="20613508" w14:textId="77777777" w:rsidR="000A5A2E" w:rsidRPr="00781112" w:rsidRDefault="000A5A2E" w:rsidP="000A5A2E">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F0C4C7F" w14:textId="52384A95" w:rsidR="00A869E9" w:rsidRPr="00781112" w:rsidRDefault="00DD3719" w:rsidP="009C613A">
      <w:pPr>
        <w:rPr>
          <w:rFonts w:cs="Arial"/>
          <w:color w:val="000000" w:themeColor="text1"/>
          <w:szCs w:val="16"/>
        </w:rPr>
      </w:pPr>
      <w:r w:rsidRPr="00781112">
        <w:rPr>
          <w:rFonts w:cs="Arial"/>
          <w:color w:val="000000" w:themeColor="text1"/>
          <w:szCs w:val="16"/>
          <w:shd w:val="clear" w:color="auto" w:fill="FFFFFF"/>
        </w:rPr>
        <w:t>West Virginia uses the General Summative Assessment (GSA) to determine grade-level academic achievement standard proficiency in reading and math and the Alternate Summative Assessment (ASA) to determine alternate academic achievement standard proficiency in reading and math.</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PARTICIPATION AND PERFORMANCE – ALL STUDENTS – REGULAR ASSESSMENTS</w:t>
      </w:r>
      <w:r w:rsidRPr="00781112">
        <w:rPr>
          <w:rFonts w:cs="Arial"/>
          <w:color w:val="000000" w:themeColor="text1"/>
          <w:szCs w:val="16"/>
          <w:shd w:val="clear" w:color="auto" w:fill="FFFFFF"/>
        </w:rPr>
        <w:br/>
        <w:t>— https://zoomwv.k12.wv.us/Dashboard/dashboard/7310</w:t>
      </w:r>
      <w:r w:rsidRPr="00781112">
        <w:rPr>
          <w:rFonts w:cs="Arial"/>
          <w:color w:val="000000" w:themeColor="text1"/>
          <w:szCs w:val="16"/>
          <w:shd w:val="clear" w:color="auto" w:fill="FFFFFF"/>
        </w:rPr>
        <w:br/>
        <w:t>— From the ZoomWV homepage, use the breadcrumbs: ZoomWV &gt; State Assessment Results &gt; State Assessment Subgroups</w:t>
      </w:r>
      <w:r w:rsidRPr="00781112">
        <w:rPr>
          <w:rFonts w:cs="Arial"/>
          <w:color w:val="000000" w:themeColor="text1"/>
          <w:szCs w:val="16"/>
          <w:shd w:val="clear" w:color="auto" w:fill="FFFFFF"/>
        </w:rPr>
        <w:br/>
        <w:t>Make sure the following filters are set:</w:t>
      </w:r>
      <w:r w:rsidRPr="00781112">
        <w:rPr>
          <w:rFonts w:cs="Arial"/>
          <w:color w:val="000000" w:themeColor="text1"/>
          <w:szCs w:val="16"/>
          <w:shd w:val="clear" w:color="auto" w:fill="FFFFFF"/>
        </w:rPr>
        <w:br/>
        <w:t>—School Year – 2023-2024</w:t>
      </w:r>
      <w:r w:rsidRPr="00781112">
        <w:rPr>
          <w:rFonts w:cs="Arial"/>
          <w:color w:val="000000" w:themeColor="text1"/>
          <w:szCs w:val="16"/>
          <w:shd w:val="clear" w:color="auto" w:fill="FFFFFF"/>
        </w:rPr>
        <w:br/>
        <w:t>—District/County – All Districts</w:t>
      </w:r>
      <w:r w:rsidRPr="00781112">
        <w:rPr>
          <w:rFonts w:cs="Arial"/>
          <w:color w:val="000000" w:themeColor="text1"/>
          <w:szCs w:val="16"/>
          <w:shd w:val="clear" w:color="auto" w:fill="FFFFFF"/>
        </w:rPr>
        <w:br/>
        <w:t>—School – All Schools</w:t>
      </w:r>
      <w:r w:rsidRPr="00781112">
        <w:rPr>
          <w:rFonts w:cs="Arial"/>
          <w:color w:val="000000" w:themeColor="text1"/>
          <w:szCs w:val="16"/>
          <w:shd w:val="clear" w:color="auto" w:fill="FFFFFF"/>
        </w:rPr>
        <w:br/>
        <w:t>—Grade Level – All grades (or set to check each grade that must be reported 4, 8, 11 separately)</w:t>
      </w:r>
      <w:r w:rsidRPr="00781112">
        <w:rPr>
          <w:rFonts w:cs="Arial"/>
          <w:color w:val="000000" w:themeColor="text1"/>
          <w:szCs w:val="16"/>
          <w:shd w:val="clear" w:color="auto" w:fill="FFFFFF"/>
        </w:rPr>
        <w:br/>
        <w:t>—Population Group – Status</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PARTICIPATION AND PERFORMANCE – REGULAR AND ALTERNATE ASSESSMENTS</w:t>
      </w:r>
      <w:r w:rsidRPr="00781112">
        <w:rPr>
          <w:rFonts w:cs="Arial"/>
          <w:color w:val="000000" w:themeColor="text1"/>
          <w:szCs w:val="16"/>
          <w:shd w:val="clear" w:color="auto" w:fill="FFFFFF"/>
        </w:rPr>
        <w:br/>
        <w:t>—https://zoomwv.k12.wv.us/Dashboard/dashboard/6161</w:t>
      </w:r>
      <w:r w:rsidRPr="00781112">
        <w:rPr>
          <w:rFonts w:cs="Arial"/>
          <w:color w:val="000000" w:themeColor="text1"/>
          <w:szCs w:val="16"/>
          <w:shd w:val="clear" w:color="auto" w:fill="FFFFFF"/>
        </w:rPr>
        <w:br/>
        <w:t>—From the ZoomWV homepage, use the breadcrumbs: ZoomWV &gt; Special Education &gt; Assessment Participation and Performance</w:t>
      </w:r>
      <w:r w:rsidRPr="00781112">
        <w:rPr>
          <w:rFonts w:cs="Arial"/>
          <w:color w:val="000000" w:themeColor="text1"/>
          <w:szCs w:val="16"/>
          <w:shd w:val="clear" w:color="auto" w:fill="FFFFFF"/>
        </w:rPr>
        <w:br/>
        <w:t>Make sure the following filters are set:</w:t>
      </w:r>
      <w:r w:rsidRPr="00781112">
        <w:rPr>
          <w:rFonts w:cs="Arial"/>
          <w:color w:val="000000" w:themeColor="text1"/>
          <w:szCs w:val="16"/>
          <w:shd w:val="clear" w:color="auto" w:fill="FFFFFF"/>
        </w:rPr>
        <w:br/>
        <w:t>—School Year – 2023-2024</w:t>
      </w:r>
      <w:r w:rsidRPr="00781112">
        <w:rPr>
          <w:rFonts w:cs="Arial"/>
          <w:color w:val="000000" w:themeColor="text1"/>
          <w:szCs w:val="16"/>
          <w:shd w:val="clear" w:color="auto" w:fill="FFFFFF"/>
        </w:rPr>
        <w:br/>
        <w:t>—District/County – (999) State Reporting</w:t>
      </w:r>
      <w:r w:rsidRPr="00781112">
        <w:rPr>
          <w:rFonts w:cs="Arial"/>
          <w:color w:val="000000" w:themeColor="text1"/>
          <w:szCs w:val="16"/>
          <w:shd w:val="clear" w:color="auto" w:fill="FFFFFF"/>
        </w:rPr>
        <w:br/>
        <w:t>—School – All Schools</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PERFORMANCE BY CLASS/SUBGROUP – ALTERNATE ASSESSMENTS</w:t>
      </w:r>
      <w:r w:rsidRPr="00781112">
        <w:rPr>
          <w:rFonts w:cs="Arial"/>
          <w:color w:val="000000" w:themeColor="text1"/>
          <w:szCs w:val="16"/>
          <w:shd w:val="clear" w:color="auto" w:fill="FFFFFF"/>
        </w:rPr>
        <w:br/>
        <w:t>—https://zoomwv.k12.wv.us/Dashboard/dashboard/28307</w:t>
      </w:r>
      <w:r w:rsidRPr="00781112">
        <w:rPr>
          <w:rFonts w:cs="Arial"/>
          <w:color w:val="000000" w:themeColor="text1"/>
          <w:szCs w:val="16"/>
          <w:shd w:val="clear" w:color="auto" w:fill="FFFFFF"/>
        </w:rPr>
        <w:br/>
        <w:t>—From the ZoomWV homepage, use the breadcrumbs: ZoomWV &gt; Special Education &gt; Alternate Assessment Results</w:t>
      </w:r>
      <w:r w:rsidRPr="00781112">
        <w:rPr>
          <w:rFonts w:cs="Arial"/>
          <w:color w:val="000000" w:themeColor="text1"/>
          <w:szCs w:val="16"/>
          <w:shd w:val="clear" w:color="auto" w:fill="FFFFFF"/>
        </w:rPr>
        <w:br/>
        <w:t>Data may be filtered by school year.</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PARTICIPATION RATES – WITH and WITHOUT ACCOMMODATIONS</w:t>
      </w:r>
      <w:r w:rsidRPr="00781112">
        <w:rPr>
          <w:rFonts w:cs="Arial"/>
          <w:color w:val="000000" w:themeColor="text1"/>
          <w:szCs w:val="16"/>
          <w:shd w:val="clear" w:color="auto" w:fill="FFFFFF"/>
        </w:rPr>
        <w:br/>
        <w:t>The participation rates for students with and without accommodations in WV are available on the ZoomWV page by using the following breadcrumbs: ZoomWV &gt; Special Education &gt; Links &gt; IDEA Section 618 Public Reporting 2023-2024</w:t>
      </w:r>
      <w:r w:rsidRPr="00781112">
        <w:rPr>
          <w:rFonts w:cs="Arial"/>
          <w:color w:val="000000" w:themeColor="text1"/>
          <w:szCs w:val="16"/>
          <w:shd w:val="clear" w:color="auto" w:fill="FFFFFF"/>
        </w:rPr>
        <w:br/>
        <w:t>—Participation and proficiency rates of students with IEPs and without IEPs (504 plans) using accommodations and not using accommodations are located under the assessment tab in the IDEA Section 618 Public Reporting 2023-2024 file.</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PERFORMANCE BY DISABILITY CATEGORY – REGULAR AND ALTERNATE ASSESSMENTS</w:t>
      </w:r>
      <w:r w:rsidRPr="00781112">
        <w:rPr>
          <w:rFonts w:cs="Arial"/>
          <w:color w:val="000000" w:themeColor="text1"/>
          <w:szCs w:val="16"/>
          <w:shd w:val="clear" w:color="auto" w:fill="FFFFFF"/>
        </w:rPr>
        <w:br/>
        <w:t>— https://zoomwv.k12.wv.us/Dashboard/dashboard/28285</w:t>
      </w:r>
      <w:r w:rsidRPr="00781112">
        <w:rPr>
          <w:rFonts w:cs="Arial"/>
          <w:color w:val="000000" w:themeColor="text1"/>
          <w:szCs w:val="16"/>
          <w:shd w:val="clear" w:color="auto" w:fill="FFFFFF"/>
        </w:rPr>
        <w:br/>
        <w:t>From the ZoomWV homepage, use the breadcrumbs: ZoomWV &gt; Special Education &gt; Assessment Results by Student Disabilities</w:t>
      </w:r>
      <w:r w:rsidRPr="00781112">
        <w:rPr>
          <w:rFonts w:cs="Arial"/>
          <w:color w:val="000000" w:themeColor="text1"/>
          <w:szCs w:val="16"/>
          <w:shd w:val="clear" w:color="auto" w:fill="FFFFFF"/>
        </w:rPr>
        <w:br/>
        <w:t>Data may be filtered by school year and by LEA.</w:t>
      </w:r>
    </w:p>
    <w:p w14:paraId="32BCE51B" w14:textId="77777777" w:rsidR="00796DC0" w:rsidRPr="00781112" w:rsidRDefault="00796DC0" w:rsidP="004369B2">
      <w:pPr>
        <w:rPr>
          <w:b/>
          <w:color w:val="000000" w:themeColor="text1"/>
        </w:rPr>
      </w:pPr>
      <w:r w:rsidRPr="00781112">
        <w:rPr>
          <w:b/>
          <w:color w:val="000000" w:themeColor="text1"/>
        </w:rPr>
        <w:t>Provide additional information about this indicator (optional)</w:t>
      </w:r>
    </w:p>
    <w:p w14:paraId="19728EE3" w14:textId="7FE6C853" w:rsidR="00A869E9" w:rsidRPr="00781112" w:rsidRDefault="00A869E9" w:rsidP="000E33D0">
      <w:pPr>
        <w:rPr>
          <w:rFonts w:cs="Arial"/>
          <w:color w:val="000000" w:themeColor="text1"/>
          <w:szCs w:val="16"/>
        </w:rPr>
      </w:pPr>
    </w:p>
    <w:p w14:paraId="1C326C48" w14:textId="1B3ADE94" w:rsidR="000A2C83" w:rsidRPr="00781112" w:rsidRDefault="00573F6C" w:rsidP="008645AD">
      <w:pPr>
        <w:pStyle w:val="Heading2"/>
      </w:pPr>
      <w:r w:rsidRPr="00781112">
        <w:t>3C</w:t>
      </w:r>
      <w:r w:rsidR="00BB4FD7" w:rsidRPr="00781112">
        <w:t xml:space="preserve"> </w:t>
      </w:r>
      <w:r w:rsidRPr="00781112">
        <w:t xml:space="preserve">- </w:t>
      </w:r>
      <w:r w:rsidR="000A2C83" w:rsidRPr="00781112">
        <w:t>Prior FFY Required Actions</w:t>
      </w:r>
    </w:p>
    <w:p w14:paraId="5570C94B" w14:textId="51EF4ED4" w:rsidR="000A2C83" w:rsidRPr="00781112" w:rsidRDefault="002B7490" w:rsidP="000A2C83">
      <w:pPr>
        <w:rPr>
          <w:rFonts w:cs="Arial"/>
          <w:color w:val="000000" w:themeColor="text1"/>
          <w:szCs w:val="16"/>
        </w:rPr>
      </w:pPr>
      <w:r w:rsidRPr="00781112">
        <w:rPr>
          <w:rFonts w:cs="Arial"/>
          <w:color w:val="000000" w:themeColor="text1"/>
          <w:szCs w:val="16"/>
        </w:rPr>
        <w:t>None</w:t>
      </w:r>
    </w:p>
    <w:p w14:paraId="0EFAA7F7" w14:textId="77777777" w:rsidR="00247959" w:rsidRPr="00781112" w:rsidRDefault="00247959" w:rsidP="000A2C83">
      <w:pPr>
        <w:rPr>
          <w:rFonts w:cs="Arial"/>
          <w:color w:val="000000" w:themeColor="text1"/>
          <w:szCs w:val="16"/>
        </w:rPr>
      </w:pPr>
    </w:p>
    <w:p w14:paraId="1E98E6A2" w14:textId="3C798D76" w:rsidR="00796DC0" w:rsidRPr="00781112" w:rsidRDefault="00573F6C" w:rsidP="008645AD">
      <w:pPr>
        <w:pStyle w:val="Heading2"/>
      </w:pPr>
      <w:r w:rsidRPr="00781112">
        <w:lastRenderedPageBreak/>
        <w:t>3C - OSEP Response</w:t>
      </w:r>
    </w:p>
    <w:p w14:paraId="742F0548" w14:textId="6CBFA0D3" w:rsidR="00A869E9" w:rsidRPr="00781112" w:rsidRDefault="00A869E9" w:rsidP="001F692C">
      <w:pPr>
        <w:rPr>
          <w:rFonts w:cs="Arial"/>
          <w:color w:val="000000" w:themeColor="text1"/>
          <w:szCs w:val="16"/>
          <w:shd w:val="clear" w:color="auto" w:fill="FFFFFF"/>
        </w:rPr>
      </w:pPr>
    </w:p>
    <w:p w14:paraId="0774F476" w14:textId="1E34BC77" w:rsidR="00796DC0" w:rsidRPr="00781112" w:rsidRDefault="00573F6C" w:rsidP="008645AD">
      <w:pPr>
        <w:pStyle w:val="Heading2"/>
      </w:pPr>
      <w:r w:rsidRPr="00781112">
        <w:t>3C - Required Actions</w:t>
      </w:r>
    </w:p>
    <w:p w14:paraId="5E46A453" w14:textId="5260AC47" w:rsidR="00A869E9" w:rsidRPr="00781112" w:rsidRDefault="00A869E9" w:rsidP="001F692C">
      <w:pPr>
        <w:rPr>
          <w:rFonts w:cs="Arial"/>
          <w:color w:val="000000" w:themeColor="text1"/>
          <w:szCs w:val="16"/>
          <w:shd w:val="clear" w:color="auto" w:fill="FFFFFF"/>
        </w:rPr>
      </w:pPr>
    </w:p>
    <w:p w14:paraId="5933CC1B" w14:textId="40F9F685" w:rsidR="00A63347" w:rsidRPr="00781112" w:rsidRDefault="00A63347">
      <w:pPr>
        <w:spacing w:before="0" w:after="200" w:line="276" w:lineRule="auto"/>
        <w:rPr>
          <w:rFonts w:cs="Arial"/>
          <w:color w:val="000000" w:themeColor="text1"/>
          <w:szCs w:val="16"/>
          <w:shd w:val="clear" w:color="auto" w:fill="FFFFFF"/>
        </w:rPr>
      </w:pPr>
      <w:r w:rsidRPr="00781112">
        <w:rPr>
          <w:rFonts w:cs="Arial"/>
          <w:color w:val="000000" w:themeColor="text1"/>
          <w:szCs w:val="16"/>
          <w:shd w:val="clear" w:color="auto" w:fill="FFFFFF"/>
        </w:rPr>
        <w:br w:type="page"/>
      </w:r>
    </w:p>
    <w:p w14:paraId="04EE5889" w14:textId="73DDCB24" w:rsidR="00764DDE" w:rsidRPr="00781112" w:rsidRDefault="00764DDE" w:rsidP="00764DDE">
      <w:pPr>
        <w:pStyle w:val="Heading1"/>
        <w:rPr>
          <w:color w:val="000000" w:themeColor="text1"/>
          <w:sz w:val="22"/>
        </w:rPr>
      </w:pPr>
      <w:r w:rsidRPr="00781112">
        <w:rPr>
          <w:color w:val="000000" w:themeColor="text1"/>
          <w:sz w:val="22"/>
        </w:rPr>
        <w:lastRenderedPageBreak/>
        <w:t>Indicator 3D: Gap in Proficiency Rates (Grade Level Academic Achievement Standards)</w:t>
      </w:r>
    </w:p>
    <w:p w14:paraId="46C730FF" w14:textId="7919001F" w:rsidR="00764DDE" w:rsidRPr="002C274F" w:rsidRDefault="00764DDE" w:rsidP="002C274F">
      <w:pPr>
        <w:rPr>
          <w:b/>
          <w:bCs/>
          <w:sz w:val="20"/>
          <w:szCs w:val="20"/>
        </w:rPr>
      </w:pPr>
      <w:r w:rsidRPr="002C274F">
        <w:rPr>
          <w:b/>
          <w:bCs/>
          <w:sz w:val="20"/>
          <w:szCs w:val="20"/>
        </w:rPr>
        <w:t>Instructions and Measurement</w:t>
      </w:r>
    </w:p>
    <w:p w14:paraId="62AF8D70" w14:textId="77777777" w:rsidR="00764DDE" w:rsidRPr="00781112" w:rsidRDefault="00764DDE" w:rsidP="00764DDE">
      <w:pPr>
        <w:rPr>
          <w:color w:val="000000" w:themeColor="text1"/>
        </w:rPr>
      </w:pPr>
      <w:r w:rsidRPr="00781112">
        <w:rPr>
          <w:b/>
          <w:color w:val="000000" w:themeColor="text1"/>
        </w:rPr>
        <w:t>Monitoring Priority:</w:t>
      </w:r>
      <w:r w:rsidRPr="00781112">
        <w:rPr>
          <w:color w:val="000000" w:themeColor="text1"/>
        </w:rPr>
        <w:t xml:space="preserve"> FAPE in the LRE</w:t>
      </w:r>
    </w:p>
    <w:p w14:paraId="03D1E39F" w14:textId="77777777" w:rsidR="00764DDE" w:rsidRPr="00781112" w:rsidRDefault="00764DDE" w:rsidP="00764DDE">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39C0DF3F"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A. Participation rate for children with IEPs.</w:t>
      </w:r>
    </w:p>
    <w:p w14:paraId="37414902"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5E9A9263"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6AEED6CC"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67B35375" w14:textId="77777777" w:rsidR="00876D2A" w:rsidRPr="00781112" w:rsidRDefault="00876D2A" w:rsidP="00876D2A">
      <w:pPr>
        <w:rPr>
          <w:rFonts w:cs="Arial"/>
          <w:color w:val="000000" w:themeColor="text1"/>
          <w:szCs w:val="16"/>
        </w:rPr>
      </w:pPr>
      <w:r w:rsidRPr="00781112">
        <w:rPr>
          <w:rFonts w:cs="Arial"/>
          <w:color w:val="000000" w:themeColor="text1"/>
          <w:szCs w:val="16"/>
        </w:rPr>
        <w:t>(20 U.S.C. 1416 (a)(3)(A))</w:t>
      </w:r>
    </w:p>
    <w:p w14:paraId="0BC18EE2" w14:textId="77777777" w:rsidR="00764DDE" w:rsidRPr="00781112" w:rsidRDefault="00764DDE" w:rsidP="00764DDE">
      <w:pPr>
        <w:rPr>
          <w:color w:val="000000" w:themeColor="text1"/>
        </w:rPr>
      </w:pPr>
      <w:r w:rsidRPr="00781112">
        <w:rPr>
          <w:b/>
          <w:color w:val="000000" w:themeColor="text1"/>
        </w:rPr>
        <w:t>Data Source</w:t>
      </w:r>
    </w:p>
    <w:p w14:paraId="3AB8B5B6" w14:textId="77777777" w:rsidR="00876D2A" w:rsidRPr="00781112" w:rsidRDefault="00876D2A" w:rsidP="00876D2A">
      <w:pPr>
        <w:rPr>
          <w:rFonts w:cs="Arial"/>
          <w:szCs w:val="16"/>
        </w:rPr>
      </w:pPr>
      <w:r w:rsidRPr="00781112">
        <w:rPr>
          <w:rFonts w:cs="Arial"/>
          <w:szCs w:val="16"/>
        </w:rPr>
        <w:t>3D. Same data as used for reporting to the Department under Title I of the ESEA, using ED</w:t>
      </w:r>
      <w:r w:rsidRPr="00BA3DBE">
        <w:rPr>
          <w:rFonts w:cs="Arial"/>
          <w:i/>
          <w:iCs/>
          <w:szCs w:val="16"/>
        </w:rPr>
        <w:t>Facts</w:t>
      </w:r>
      <w:r w:rsidRPr="00781112">
        <w:rPr>
          <w:rFonts w:cs="Arial"/>
          <w:szCs w:val="16"/>
        </w:rPr>
        <w:t xml:space="preserve"> file specifications FS175 and 178.</w:t>
      </w:r>
    </w:p>
    <w:p w14:paraId="7A02CC2C" w14:textId="77777777" w:rsidR="00764DDE" w:rsidRPr="00781112" w:rsidRDefault="00764DDE" w:rsidP="00764DDE">
      <w:pPr>
        <w:rPr>
          <w:color w:val="000000" w:themeColor="text1"/>
        </w:rPr>
      </w:pPr>
      <w:r w:rsidRPr="00781112">
        <w:rPr>
          <w:b/>
          <w:color w:val="000000" w:themeColor="text1"/>
        </w:rPr>
        <w:t>Measurement</w:t>
      </w:r>
    </w:p>
    <w:p w14:paraId="4FEF37F2" w14:textId="71D2FEF4" w:rsidR="00876D2A" w:rsidRPr="00781112" w:rsidRDefault="00876D2A" w:rsidP="00876D2A">
      <w:pPr>
        <w:rPr>
          <w:rFonts w:cs="Arial"/>
          <w:szCs w:val="16"/>
        </w:rPr>
      </w:pPr>
      <w:r w:rsidRPr="00781112">
        <w:rPr>
          <w:rFonts w:cs="Arial"/>
          <w:szCs w:val="16"/>
        </w:rPr>
        <w:t>D. Proficiency rate gap = [(proficiency rate for children with IEPs scoring at or above proficient against grade level academic achievement standards for the 2023-2024 school year) subtracted from the (proficiency rate for all students scoring at or above proficient against grade level academic achievement standards for the 2023-2024 school year)]. Calculate separately for reading and math. Calculate separately for grades 4, 8, and high school. The proficiency rate includes all children enrolled for a full academic year and those not enrolled for a full academic year.</w:t>
      </w:r>
    </w:p>
    <w:p w14:paraId="69B5F103" w14:textId="77777777" w:rsidR="00764DDE" w:rsidRPr="00781112" w:rsidRDefault="00764DDE" w:rsidP="00764DDE">
      <w:pPr>
        <w:rPr>
          <w:color w:val="000000" w:themeColor="text1"/>
        </w:rPr>
      </w:pPr>
      <w:r w:rsidRPr="00781112">
        <w:rPr>
          <w:b/>
          <w:color w:val="000000" w:themeColor="text1"/>
        </w:rPr>
        <w:t>Instructions</w:t>
      </w:r>
    </w:p>
    <w:p w14:paraId="06ED299B" w14:textId="468BCD67" w:rsidR="00876D2A" w:rsidRPr="00781112" w:rsidRDefault="00876D2A" w:rsidP="00876D2A">
      <w:pPr>
        <w:pStyle w:val="Subhed"/>
        <w:rPr>
          <w:b w:val="0"/>
          <w:bCs/>
        </w:rPr>
      </w:pPr>
      <w:r w:rsidRPr="00781112">
        <w:rPr>
          <w:b w:val="0"/>
          <w:bCs/>
        </w:rPr>
        <w:t>Describe the results of the calculations and compare the results to the targets. Provide the actual numbers used in the calculation.</w:t>
      </w:r>
    </w:p>
    <w:p w14:paraId="5361E418" w14:textId="77777777" w:rsidR="00876D2A" w:rsidRPr="00781112" w:rsidRDefault="00876D2A" w:rsidP="00876D2A">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6D783CD1" w14:textId="4311ECC0" w:rsidR="00876D2A" w:rsidRPr="00781112" w:rsidRDefault="00876D2A" w:rsidP="00876D2A">
      <w:pPr>
        <w:pStyle w:val="Subhed"/>
      </w:pPr>
      <w:r w:rsidRPr="00781112">
        <w:rPr>
          <w:b w:val="0"/>
          <w:bCs/>
        </w:rPr>
        <w:t>Indicator 3D: Gap calculations in this SPP/APR must result in the proficiency rate for children with IEPs were proficient against grade level academic achievement standards for the 2023-2024 school year compared to the proficiency rate for all students who were proficient against grade level academic achievement standards for the 2023-2024 school year. Calculate separately for reading/language arts and math in each of the following grades: 4, 8, and high school, including both children enrolled for a full academic year and those not enrolled for a full academic year. Only include children with disabilities who had an IEP at the time of testing.</w:t>
      </w:r>
    </w:p>
    <w:p w14:paraId="272DFFEC" w14:textId="192FF82B" w:rsidR="00DD5B7A" w:rsidRPr="00781112" w:rsidRDefault="00764DDE" w:rsidP="00FE4611">
      <w:pPr>
        <w:pStyle w:val="Heading2"/>
      </w:pPr>
      <w:r w:rsidRPr="00781112">
        <w:t>3D - Indicator Data</w:t>
      </w:r>
    </w:p>
    <w:p w14:paraId="5E01F354" w14:textId="77777777" w:rsidR="00DD5B7A" w:rsidRPr="00781112" w:rsidRDefault="00DD5B7A" w:rsidP="00DD5B7A">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HISTDATA"/>
      </w:tblPr>
      <w:tblGrid>
        <w:gridCol w:w="1588"/>
        <w:gridCol w:w="1588"/>
        <w:gridCol w:w="2538"/>
        <w:gridCol w:w="2538"/>
        <w:gridCol w:w="2538"/>
      </w:tblGrid>
      <w:tr w:rsidR="00DD5B7A" w:rsidRPr="00781112" w14:paraId="65AC4D07" w14:textId="77777777" w:rsidTr="009725F4">
        <w:trPr>
          <w:trHeight w:val="368"/>
          <w:tblHeader/>
        </w:trPr>
        <w:tc>
          <w:tcPr>
            <w:tcW w:w="736" w:type="pct"/>
            <w:tcBorders>
              <w:top w:val="single" w:sz="4" w:space="0" w:color="auto"/>
            </w:tcBorders>
            <w:vAlign w:val="center"/>
          </w:tcPr>
          <w:p w14:paraId="0BE0D6D4"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4B9E396A"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100D6C6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6E047D89"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D50F3F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Baseline Data</w:t>
            </w:r>
          </w:p>
        </w:tc>
      </w:tr>
      <w:tr w:rsidR="00DD5B7A" w:rsidRPr="00781112" w14:paraId="70B05A32" w14:textId="77777777" w:rsidTr="00360DD6">
        <w:trPr>
          <w:trHeight w:val="368"/>
        </w:trPr>
        <w:tc>
          <w:tcPr>
            <w:tcW w:w="736" w:type="pct"/>
            <w:vAlign w:val="center"/>
          </w:tcPr>
          <w:p w14:paraId="1E1400E1"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726A78"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06B2FF2" w14:textId="0257EDF0" w:rsidR="00DD5B7A" w:rsidRPr="00781112" w:rsidRDefault="00DD5B7A"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6B1B3326" w14:textId="475D3617"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0D86351D" w14:textId="7DD98963" w:rsidR="00DD5B7A" w:rsidRPr="00781112" w:rsidRDefault="00DD5B7A" w:rsidP="00827FF4">
            <w:pPr>
              <w:spacing w:before="0" w:after="0"/>
              <w:jc w:val="center"/>
              <w:rPr>
                <w:color w:val="000000" w:themeColor="text1"/>
              </w:rPr>
            </w:pPr>
            <w:r w:rsidRPr="00781112">
              <w:rPr>
                <w:rFonts w:cs="Arial"/>
                <w:color w:val="000000" w:themeColor="text1"/>
                <w:szCs w:val="16"/>
              </w:rPr>
              <w:t>32.44</w:t>
            </w:r>
          </w:p>
        </w:tc>
      </w:tr>
      <w:tr w:rsidR="00DD5B7A" w:rsidRPr="00781112" w14:paraId="7DB1C775" w14:textId="77777777" w:rsidTr="00360DD6">
        <w:trPr>
          <w:trHeight w:val="368"/>
        </w:trPr>
        <w:tc>
          <w:tcPr>
            <w:tcW w:w="736" w:type="pct"/>
            <w:vAlign w:val="center"/>
          </w:tcPr>
          <w:p w14:paraId="38812700"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DC20823"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7BEF817" w14:textId="375B6CFE"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644047DF" w14:textId="126BB3C2"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111214B9" w14:textId="3291E6F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36.58</w:t>
            </w:r>
          </w:p>
        </w:tc>
      </w:tr>
      <w:tr w:rsidR="00DD5B7A" w:rsidRPr="00781112" w14:paraId="468C5707" w14:textId="77777777" w:rsidTr="00360DD6">
        <w:trPr>
          <w:trHeight w:val="368"/>
        </w:trPr>
        <w:tc>
          <w:tcPr>
            <w:tcW w:w="736" w:type="pct"/>
            <w:vAlign w:val="center"/>
          </w:tcPr>
          <w:p w14:paraId="283DD3EF"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66F83830"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5B906466" w14:textId="7AB9DEC7" w:rsidR="00DD5B7A" w:rsidRPr="00781112" w:rsidRDefault="00DD5B7A"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4D688A86" w14:textId="0A70602B"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3E971EFB" w14:textId="111D0794"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42.29</w:t>
            </w:r>
          </w:p>
        </w:tc>
      </w:tr>
      <w:tr w:rsidR="00DD5B7A" w:rsidRPr="00781112" w14:paraId="40BEF17A" w14:textId="77777777" w:rsidTr="00360DD6">
        <w:trPr>
          <w:trHeight w:val="368"/>
        </w:trPr>
        <w:tc>
          <w:tcPr>
            <w:tcW w:w="736" w:type="pct"/>
            <w:vAlign w:val="center"/>
          </w:tcPr>
          <w:p w14:paraId="10F38B33"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A2FED54"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BB0AC7F" w14:textId="3CC5AB81"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D65D13" w14:textId="770510BC"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61BD930B" w14:textId="329DAC52"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29.27</w:t>
            </w:r>
          </w:p>
        </w:tc>
      </w:tr>
      <w:tr w:rsidR="00DD5B7A" w:rsidRPr="00781112" w14:paraId="58025947" w14:textId="77777777" w:rsidTr="00360DD6">
        <w:trPr>
          <w:trHeight w:val="368"/>
        </w:trPr>
        <w:tc>
          <w:tcPr>
            <w:tcW w:w="736" w:type="pct"/>
            <w:vAlign w:val="center"/>
          </w:tcPr>
          <w:p w14:paraId="78429F0C"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EDC855F"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CF56AA5" w14:textId="0CC49FE5" w:rsidR="00DD5B7A" w:rsidRPr="00781112" w:rsidRDefault="00DD5B7A"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E0933AD" w14:textId="4526CD59"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521057BA" w14:textId="390B5FB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30.80</w:t>
            </w:r>
          </w:p>
        </w:tc>
      </w:tr>
      <w:tr w:rsidR="00DD5B7A" w:rsidRPr="00781112" w14:paraId="760D00F1" w14:textId="77777777" w:rsidTr="00360DD6">
        <w:trPr>
          <w:trHeight w:val="368"/>
        </w:trPr>
        <w:tc>
          <w:tcPr>
            <w:tcW w:w="736" w:type="pct"/>
            <w:vAlign w:val="center"/>
          </w:tcPr>
          <w:p w14:paraId="6D27E968"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F323B36"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351646FB" w14:textId="156B4E70"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32ADE626" w14:textId="141B037F"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546306E9" w14:textId="2609FDFB"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21.24</w:t>
            </w:r>
          </w:p>
        </w:tc>
      </w:tr>
    </w:tbl>
    <w:p w14:paraId="6BEA17C2" w14:textId="77777777" w:rsidR="00DD5B7A" w:rsidRPr="00781112" w:rsidRDefault="00DD5B7A" w:rsidP="00FE4611">
      <w:pPr>
        <w:spacing w:before="0" w:after="0" w:line="276" w:lineRule="auto"/>
        <w:rPr>
          <w:b/>
          <w:color w:val="000000" w:themeColor="text1"/>
        </w:rPr>
      </w:pPr>
    </w:p>
    <w:p w14:paraId="0E9E5136" w14:textId="77777777" w:rsidR="00DD5B7A" w:rsidRPr="00781112" w:rsidRDefault="00DD5B7A" w:rsidP="00DD5B7A">
      <w:pPr>
        <w:rPr>
          <w:b/>
          <w:color w:val="000000" w:themeColor="text1"/>
        </w:rPr>
      </w:pPr>
      <w:r w:rsidRPr="00781112">
        <w:rPr>
          <w:b/>
          <w:color w:val="000000" w:themeColor="text1"/>
        </w:rPr>
        <w:t>Targets</w:t>
      </w:r>
    </w:p>
    <w:tbl>
      <w:tblPr>
        <w:tblW w:w="3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TARGETS"/>
      </w:tblPr>
      <w:tblGrid>
        <w:gridCol w:w="897"/>
        <w:gridCol w:w="721"/>
        <w:gridCol w:w="1171"/>
        <w:gridCol w:w="1334"/>
        <w:gridCol w:w="1334"/>
        <w:gridCol w:w="1334"/>
      </w:tblGrid>
      <w:tr w:rsidR="0094481B" w:rsidRPr="00781112" w14:paraId="32AE1F59" w14:textId="77777777" w:rsidTr="00FE4611">
        <w:tc>
          <w:tcPr>
            <w:tcW w:w="660" w:type="pct"/>
            <w:tcBorders>
              <w:bottom w:val="single" w:sz="4" w:space="0" w:color="auto"/>
            </w:tcBorders>
            <w:shd w:val="clear" w:color="auto" w:fill="auto"/>
            <w:vAlign w:val="center"/>
          </w:tcPr>
          <w:p w14:paraId="6A9E2F19" w14:textId="77777777" w:rsidR="0094481B" w:rsidRPr="00781112" w:rsidRDefault="0094481B" w:rsidP="00827FF4">
            <w:pPr>
              <w:jc w:val="center"/>
              <w:rPr>
                <w:b/>
                <w:color w:val="000000" w:themeColor="text1"/>
              </w:rPr>
            </w:pPr>
            <w:r w:rsidRPr="00781112">
              <w:rPr>
                <w:b/>
                <w:color w:val="000000" w:themeColor="text1"/>
              </w:rPr>
              <w:t>Subject</w:t>
            </w:r>
          </w:p>
        </w:tc>
        <w:tc>
          <w:tcPr>
            <w:tcW w:w="531" w:type="pct"/>
            <w:tcBorders>
              <w:bottom w:val="single" w:sz="4" w:space="0" w:color="auto"/>
            </w:tcBorders>
            <w:shd w:val="clear" w:color="auto" w:fill="auto"/>
            <w:vAlign w:val="center"/>
          </w:tcPr>
          <w:p w14:paraId="5181D1E9" w14:textId="77777777" w:rsidR="0094481B" w:rsidRPr="00781112" w:rsidRDefault="0094481B" w:rsidP="00827FF4">
            <w:pPr>
              <w:jc w:val="center"/>
              <w:rPr>
                <w:b/>
                <w:color w:val="000000" w:themeColor="text1"/>
              </w:rPr>
            </w:pPr>
            <w:r w:rsidRPr="00781112">
              <w:rPr>
                <w:b/>
                <w:color w:val="000000" w:themeColor="text1"/>
              </w:rPr>
              <w:t>Group</w:t>
            </w:r>
          </w:p>
        </w:tc>
        <w:tc>
          <w:tcPr>
            <w:tcW w:w="862" w:type="pct"/>
            <w:shd w:val="clear" w:color="auto" w:fill="auto"/>
            <w:vAlign w:val="center"/>
          </w:tcPr>
          <w:p w14:paraId="7C5EACD6" w14:textId="77777777" w:rsidR="0094481B" w:rsidRPr="00781112" w:rsidDel="008E7B87" w:rsidRDefault="0094481B" w:rsidP="00827FF4">
            <w:pPr>
              <w:jc w:val="center"/>
              <w:rPr>
                <w:b/>
                <w:color w:val="000000" w:themeColor="text1"/>
              </w:rPr>
            </w:pPr>
            <w:r w:rsidRPr="00781112">
              <w:rPr>
                <w:b/>
                <w:color w:val="000000" w:themeColor="text1"/>
              </w:rPr>
              <w:t>Group Name</w:t>
            </w:r>
          </w:p>
        </w:tc>
        <w:tc>
          <w:tcPr>
            <w:tcW w:w="982" w:type="pct"/>
            <w:shd w:val="clear" w:color="auto" w:fill="auto"/>
            <w:vAlign w:val="center"/>
          </w:tcPr>
          <w:p w14:paraId="57197BBC" w14:textId="77777777" w:rsidR="0094481B" w:rsidRPr="00781112" w:rsidRDefault="0094481B" w:rsidP="00827FF4">
            <w:pPr>
              <w:jc w:val="center"/>
              <w:rPr>
                <w:b/>
                <w:color w:val="000000" w:themeColor="text1"/>
              </w:rPr>
            </w:pPr>
            <w:r w:rsidRPr="00781112">
              <w:rPr>
                <w:b/>
                <w:color w:val="000000" w:themeColor="text1"/>
              </w:rPr>
              <w:t>2023</w:t>
            </w:r>
          </w:p>
        </w:tc>
        <w:tc>
          <w:tcPr>
            <w:tcW w:w="982" w:type="pct"/>
            <w:vAlign w:val="center"/>
          </w:tcPr>
          <w:p w14:paraId="07ACCE04" w14:textId="77777777" w:rsidR="0094481B" w:rsidRPr="00781112" w:rsidRDefault="0094481B" w:rsidP="00827FF4">
            <w:pPr>
              <w:jc w:val="center"/>
              <w:rPr>
                <w:b/>
                <w:color w:val="000000" w:themeColor="text1"/>
              </w:rPr>
            </w:pPr>
            <w:r w:rsidRPr="00781112">
              <w:rPr>
                <w:rFonts w:cs="Arial"/>
                <w:b/>
                <w:color w:val="000000" w:themeColor="text1"/>
                <w:szCs w:val="16"/>
              </w:rPr>
              <w:t>2024</w:t>
            </w:r>
          </w:p>
        </w:tc>
        <w:tc>
          <w:tcPr>
            <w:tcW w:w="982" w:type="pct"/>
            <w:vAlign w:val="center"/>
          </w:tcPr>
          <w:p w14:paraId="0B682674" w14:textId="77777777" w:rsidR="0094481B" w:rsidRPr="00781112" w:rsidRDefault="0094481B" w:rsidP="00827FF4">
            <w:pPr>
              <w:jc w:val="center"/>
              <w:rPr>
                <w:b/>
                <w:color w:val="000000" w:themeColor="text1"/>
              </w:rPr>
            </w:pPr>
            <w:r w:rsidRPr="00781112">
              <w:rPr>
                <w:rFonts w:cs="Arial"/>
                <w:b/>
                <w:color w:val="000000" w:themeColor="text1"/>
                <w:szCs w:val="16"/>
              </w:rPr>
              <w:t>2025</w:t>
            </w:r>
          </w:p>
        </w:tc>
      </w:tr>
      <w:tr w:rsidR="0094481B" w:rsidRPr="00781112" w14:paraId="506F660C" w14:textId="77777777" w:rsidTr="00FE4611">
        <w:tc>
          <w:tcPr>
            <w:tcW w:w="660" w:type="pct"/>
            <w:shd w:val="clear" w:color="auto" w:fill="auto"/>
            <w:vAlign w:val="center"/>
          </w:tcPr>
          <w:p w14:paraId="5CF55C17"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4BDAD87D"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A &lt;=</w:t>
            </w:r>
          </w:p>
        </w:tc>
        <w:tc>
          <w:tcPr>
            <w:tcW w:w="862" w:type="pct"/>
            <w:shd w:val="clear" w:color="auto" w:fill="auto"/>
            <w:vAlign w:val="center"/>
          </w:tcPr>
          <w:p w14:paraId="25B01019" w14:textId="68614C3D"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4</w:t>
            </w:r>
          </w:p>
        </w:tc>
        <w:tc>
          <w:tcPr>
            <w:tcW w:w="982" w:type="pct"/>
            <w:shd w:val="clear" w:color="auto" w:fill="auto"/>
            <w:vAlign w:val="center"/>
          </w:tcPr>
          <w:p w14:paraId="6E665D01" w14:textId="380A2C73" w:rsidR="0094481B" w:rsidRPr="00781112" w:rsidRDefault="0094481B" w:rsidP="00827FF4">
            <w:pPr>
              <w:jc w:val="center"/>
              <w:rPr>
                <w:rFonts w:cs="Arial"/>
                <w:color w:val="000000" w:themeColor="text1"/>
                <w:szCs w:val="16"/>
              </w:rPr>
            </w:pPr>
            <w:r w:rsidRPr="00781112">
              <w:rPr>
                <w:rFonts w:cs="Arial"/>
                <w:color w:val="000000" w:themeColor="text1"/>
                <w:szCs w:val="16"/>
              </w:rPr>
              <w:t>28.50</w:t>
            </w:r>
          </w:p>
        </w:tc>
        <w:tc>
          <w:tcPr>
            <w:tcW w:w="982" w:type="pct"/>
            <w:vAlign w:val="center"/>
          </w:tcPr>
          <w:p w14:paraId="680AEBF8" w14:textId="012E8AB7" w:rsidR="0094481B" w:rsidRPr="00781112" w:rsidRDefault="0094481B" w:rsidP="00827FF4">
            <w:pPr>
              <w:jc w:val="center"/>
              <w:rPr>
                <w:rFonts w:cs="Arial"/>
                <w:color w:val="000000" w:themeColor="text1"/>
                <w:szCs w:val="16"/>
              </w:rPr>
            </w:pPr>
            <w:r w:rsidRPr="00781112">
              <w:rPr>
                <w:rFonts w:cs="Arial"/>
                <w:color w:val="000000" w:themeColor="text1"/>
                <w:szCs w:val="16"/>
              </w:rPr>
              <w:t>28.00</w:t>
            </w:r>
          </w:p>
        </w:tc>
        <w:tc>
          <w:tcPr>
            <w:tcW w:w="982" w:type="pct"/>
            <w:vAlign w:val="center"/>
          </w:tcPr>
          <w:p w14:paraId="060B65A2" w14:textId="3C5E7042" w:rsidR="0094481B" w:rsidRPr="00781112" w:rsidRDefault="0094481B" w:rsidP="00827FF4">
            <w:pPr>
              <w:jc w:val="center"/>
              <w:rPr>
                <w:rFonts w:cs="Arial"/>
                <w:color w:val="000000" w:themeColor="text1"/>
                <w:szCs w:val="16"/>
              </w:rPr>
            </w:pPr>
            <w:r w:rsidRPr="00781112">
              <w:rPr>
                <w:rFonts w:cs="Arial"/>
                <w:color w:val="000000" w:themeColor="text1"/>
                <w:szCs w:val="16"/>
              </w:rPr>
              <w:t>27.50</w:t>
            </w:r>
          </w:p>
        </w:tc>
      </w:tr>
      <w:tr w:rsidR="0094481B" w:rsidRPr="00781112" w14:paraId="109FA148" w14:textId="77777777" w:rsidTr="00FE4611">
        <w:tc>
          <w:tcPr>
            <w:tcW w:w="660" w:type="pct"/>
            <w:shd w:val="clear" w:color="auto" w:fill="auto"/>
            <w:vAlign w:val="center"/>
          </w:tcPr>
          <w:p w14:paraId="5CAAC2A8"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1DFAA13E"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B &lt;=</w:t>
            </w:r>
          </w:p>
        </w:tc>
        <w:tc>
          <w:tcPr>
            <w:tcW w:w="862" w:type="pct"/>
            <w:shd w:val="clear" w:color="auto" w:fill="auto"/>
            <w:vAlign w:val="center"/>
          </w:tcPr>
          <w:p w14:paraId="330884D1" w14:textId="3ED7AA15"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8</w:t>
            </w:r>
          </w:p>
        </w:tc>
        <w:tc>
          <w:tcPr>
            <w:tcW w:w="982" w:type="pct"/>
            <w:shd w:val="clear" w:color="auto" w:fill="auto"/>
            <w:vAlign w:val="center"/>
          </w:tcPr>
          <w:p w14:paraId="68DC0FBA" w14:textId="3776550F" w:rsidR="0094481B" w:rsidRPr="00781112" w:rsidRDefault="0094481B" w:rsidP="00827FF4">
            <w:pPr>
              <w:jc w:val="center"/>
              <w:rPr>
                <w:rFonts w:cs="Arial"/>
                <w:color w:val="000000" w:themeColor="text1"/>
                <w:szCs w:val="16"/>
              </w:rPr>
            </w:pPr>
            <w:r w:rsidRPr="00781112">
              <w:rPr>
                <w:rFonts w:cs="Arial"/>
                <w:color w:val="000000" w:themeColor="text1"/>
                <w:szCs w:val="16"/>
              </w:rPr>
              <w:t>34.50</w:t>
            </w:r>
          </w:p>
        </w:tc>
        <w:tc>
          <w:tcPr>
            <w:tcW w:w="982" w:type="pct"/>
            <w:vAlign w:val="center"/>
          </w:tcPr>
          <w:p w14:paraId="5D544F8D" w14:textId="7D5BE3EF" w:rsidR="0094481B" w:rsidRPr="00781112" w:rsidRDefault="0094481B" w:rsidP="00827FF4">
            <w:pPr>
              <w:jc w:val="center"/>
              <w:rPr>
                <w:rFonts w:cs="Arial"/>
                <w:color w:val="000000" w:themeColor="text1"/>
                <w:szCs w:val="16"/>
              </w:rPr>
            </w:pPr>
            <w:r w:rsidRPr="00781112">
              <w:rPr>
                <w:rFonts w:cs="Arial"/>
                <w:color w:val="000000" w:themeColor="text1"/>
                <w:szCs w:val="16"/>
              </w:rPr>
              <w:t>34.00</w:t>
            </w:r>
          </w:p>
        </w:tc>
        <w:tc>
          <w:tcPr>
            <w:tcW w:w="982" w:type="pct"/>
            <w:vAlign w:val="center"/>
          </w:tcPr>
          <w:p w14:paraId="067CAD2B" w14:textId="5DA2AE3C" w:rsidR="0094481B" w:rsidRPr="00781112" w:rsidRDefault="0094481B" w:rsidP="00827FF4">
            <w:pPr>
              <w:jc w:val="center"/>
              <w:rPr>
                <w:rFonts w:cs="Arial"/>
                <w:color w:val="000000" w:themeColor="text1"/>
                <w:szCs w:val="16"/>
              </w:rPr>
            </w:pPr>
            <w:r w:rsidRPr="00781112">
              <w:rPr>
                <w:rFonts w:cs="Arial"/>
                <w:color w:val="000000" w:themeColor="text1"/>
                <w:szCs w:val="16"/>
              </w:rPr>
              <w:t>33.50</w:t>
            </w:r>
          </w:p>
        </w:tc>
      </w:tr>
      <w:tr w:rsidR="0094481B" w:rsidRPr="00781112" w14:paraId="736D24EA" w14:textId="77777777" w:rsidTr="00FE4611">
        <w:tc>
          <w:tcPr>
            <w:tcW w:w="660" w:type="pct"/>
            <w:shd w:val="clear" w:color="auto" w:fill="auto"/>
            <w:vAlign w:val="center"/>
          </w:tcPr>
          <w:p w14:paraId="56FB00C6"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76599FEA"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C &lt;=</w:t>
            </w:r>
          </w:p>
        </w:tc>
        <w:tc>
          <w:tcPr>
            <w:tcW w:w="862" w:type="pct"/>
            <w:shd w:val="clear" w:color="auto" w:fill="auto"/>
            <w:vAlign w:val="center"/>
          </w:tcPr>
          <w:p w14:paraId="6758DB1A" w14:textId="51D63552"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HS</w:t>
            </w:r>
          </w:p>
        </w:tc>
        <w:tc>
          <w:tcPr>
            <w:tcW w:w="982" w:type="pct"/>
            <w:shd w:val="clear" w:color="auto" w:fill="auto"/>
            <w:vAlign w:val="center"/>
          </w:tcPr>
          <w:p w14:paraId="56DA6177" w14:textId="20AF4748" w:rsidR="0094481B" w:rsidRPr="00781112" w:rsidRDefault="0094481B" w:rsidP="00827FF4">
            <w:pPr>
              <w:jc w:val="center"/>
              <w:rPr>
                <w:rFonts w:cs="Arial"/>
                <w:color w:val="000000" w:themeColor="text1"/>
                <w:szCs w:val="16"/>
              </w:rPr>
            </w:pPr>
            <w:r w:rsidRPr="00781112">
              <w:rPr>
                <w:rFonts w:cs="Arial"/>
                <w:color w:val="000000" w:themeColor="text1"/>
                <w:szCs w:val="16"/>
              </w:rPr>
              <w:t>40.00</w:t>
            </w:r>
          </w:p>
        </w:tc>
        <w:tc>
          <w:tcPr>
            <w:tcW w:w="982" w:type="pct"/>
            <w:vAlign w:val="center"/>
          </w:tcPr>
          <w:p w14:paraId="12D9F716" w14:textId="7A56543C" w:rsidR="0094481B" w:rsidRPr="00781112" w:rsidRDefault="0094481B" w:rsidP="00827FF4">
            <w:pPr>
              <w:jc w:val="center"/>
              <w:rPr>
                <w:rFonts w:cs="Arial"/>
                <w:color w:val="000000" w:themeColor="text1"/>
                <w:szCs w:val="16"/>
              </w:rPr>
            </w:pPr>
            <w:r w:rsidRPr="00781112">
              <w:rPr>
                <w:rFonts w:cs="Arial"/>
                <w:color w:val="000000" w:themeColor="text1"/>
                <w:szCs w:val="16"/>
              </w:rPr>
              <w:t>39.50</w:t>
            </w:r>
          </w:p>
        </w:tc>
        <w:tc>
          <w:tcPr>
            <w:tcW w:w="982" w:type="pct"/>
            <w:vAlign w:val="center"/>
          </w:tcPr>
          <w:p w14:paraId="4EE8CD33" w14:textId="2A4DD9F9" w:rsidR="0094481B" w:rsidRPr="00781112" w:rsidRDefault="0094481B" w:rsidP="00827FF4">
            <w:pPr>
              <w:jc w:val="center"/>
              <w:rPr>
                <w:rFonts w:cs="Arial"/>
                <w:color w:val="000000" w:themeColor="text1"/>
                <w:szCs w:val="16"/>
              </w:rPr>
            </w:pPr>
            <w:r w:rsidRPr="00781112">
              <w:rPr>
                <w:rFonts w:cs="Arial"/>
                <w:color w:val="000000" w:themeColor="text1"/>
                <w:szCs w:val="16"/>
              </w:rPr>
              <w:t>39.00</w:t>
            </w:r>
          </w:p>
        </w:tc>
      </w:tr>
      <w:tr w:rsidR="0094481B" w:rsidRPr="00781112" w14:paraId="311AB0DD" w14:textId="77777777" w:rsidTr="00FE4611">
        <w:tc>
          <w:tcPr>
            <w:tcW w:w="660" w:type="pct"/>
            <w:shd w:val="clear" w:color="auto" w:fill="auto"/>
            <w:vAlign w:val="center"/>
          </w:tcPr>
          <w:p w14:paraId="3D2E0CB6"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2AAA6495"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A &lt;=</w:t>
            </w:r>
          </w:p>
        </w:tc>
        <w:tc>
          <w:tcPr>
            <w:tcW w:w="862" w:type="pct"/>
            <w:shd w:val="clear" w:color="auto" w:fill="auto"/>
            <w:vAlign w:val="center"/>
          </w:tcPr>
          <w:p w14:paraId="65E16006" w14:textId="0FBAD82F"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4</w:t>
            </w:r>
          </w:p>
        </w:tc>
        <w:tc>
          <w:tcPr>
            <w:tcW w:w="982" w:type="pct"/>
            <w:shd w:val="clear" w:color="auto" w:fill="auto"/>
            <w:vAlign w:val="center"/>
          </w:tcPr>
          <w:p w14:paraId="122DB35A" w14:textId="50E48575" w:rsidR="0094481B" w:rsidRPr="00781112" w:rsidRDefault="0094481B" w:rsidP="00827FF4">
            <w:pPr>
              <w:jc w:val="center"/>
              <w:rPr>
                <w:rFonts w:cs="Arial"/>
                <w:color w:val="000000" w:themeColor="text1"/>
                <w:szCs w:val="16"/>
              </w:rPr>
            </w:pPr>
            <w:r w:rsidRPr="00781112">
              <w:rPr>
                <w:rFonts w:cs="Arial"/>
                <w:color w:val="000000" w:themeColor="text1"/>
                <w:szCs w:val="16"/>
              </w:rPr>
              <w:t>26.50</w:t>
            </w:r>
          </w:p>
        </w:tc>
        <w:tc>
          <w:tcPr>
            <w:tcW w:w="982" w:type="pct"/>
            <w:vAlign w:val="center"/>
          </w:tcPr>
          <w:p w14:paraId="7E46501E" w14:textId="6CB1A41D" w:rsidR="0094481B" w:rsidRPr="00781112" w:rsidRDefault="0094481B" w:rsidP="00827FF4">
            <w:pPr>
              <w:jc w:val="center"/>
              <w:rPr>
                <w:rFonts w:cs="Arial"/>
                <w:color w:val="000000" w:themeColor="text1"/>
                <w:szCs w:val="16"/>
              </w:rPr>
            </w:pPr>
            <w:r w:rsidRPr="00781112">
              <w:rPr>
                <w:rFonts w:cs="Arial"/>
                <w:color w:val="000000" w:themeColor="text1"/>
                <w:szCs w:val="16"/>
              </w:rPr>
              <w:t>26.00</w:t>
            </w:r>
          </w:p>
        </w:tc>
        <w:tc>
          <w:tcPr>
            <w:tcW w:w="982" w:type="pct"/>
            <w:vAlign w:val="center"/>
          </w:tcPr>
          <w:p w14:paraId="6A7C9997" w14:textId="58A4736A" w:rsidR="0094481B" w:rsidRPr="00781112" w:rsidRDefault="0094481B" w:rsidP="00827FF4">
            <w:pPr>
              <w:jc w:val="center"/>
              <w:rPr>
                <w:rFonts w:cs="Arial"/>
                <w:color w:val="000000" w:themeColor="text1"/>
                <w:szCs w:val="16"/>
              </w:rPr>
            </w:pPr>
            <w:r w:rsidRPr="00781112">
              <w:rPr>
                <w:rFonts w:cs="Arial"/>
                <w:color w:val="000000" w:themeColor="text1"/>
                <w:szCs w:val="16"/>
              </w:rPr>
              <w:t>25.50</w:t>
            </w:r>
          </w:p>
        </w:tc>
      </w:tr>
      <w:tr w:rsidR="0094481B" w:rsidRPr="00781112" w14:paraId="1F14A6A0" w14:textId="77777777" w:rsidTr="00FE4611">
        <w:tc>
          <w:tcPr>
            <w:tcW w:w="660" w:type="pct"/>
            <w:shd w:val="clear" w:color="auto" w:fill="auto"/>
            <w:vAlign w:val="center"/>
          </w:tcPr>
          <w:p w14:paraId="67FFD637"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5CC9E434"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B &lt;=</w:t>
            </w:r>
          </w:p>
        </w:tc>
        <w:tc>
          <w:tcPr>
            <w:tcW w:w="862" w:type="pct"/>
            <w:shd w:val="clear" w:color="auto" w:fill="auto"/>
            <w:vAlign w:val="center"/>
          </w:tcPr>
          <w:p w14:paraId="48449221" w14:textId="1DE29BDC"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8</w:t>
            </w:r>
          </w:p>
        </w:tc>
        <w:tc>
          <w:tcPr>
            <w:tcW w:w="982" w:type="pct"/>
            <w:shd w:val="clear" w:color="auto" w:fill="auto"/>
            <w:vAlign w:val="center"/>
          </w:tcPr>
          <w:p w14:paraId="09A6E3C5" w14:textId="2E8BFD65" w:rsidR="0094481B" w:rsidRPr="00781112" w:rsidRDefault="0094481B" w:rsidP="00827FF4">
            <w:pPr>
              <w:jc w:val="center"/>
              <w:rPr>
                <w:rFonts w:cs="Arial"/>
                <w:color w:val="000000" w:themeColor="text1"/>
                <w:szCs w:val="16"/>
              </w:rPr>
            </w:pPr>
            <w:r w:rsidRPr="00781112">
              <w:rPr>
                <w:rFonts w:cs="Arial"/>
                <w:color w:val="000000" w:themeColor="text1"/>
                <w:szCs w:val="16"/>
              </w:rPr>
              <w:t>27.50</w:t>
            </w:r>
          </w:p>
        </w:tc>
        <w:tc>
          <w:tcPr>
            <w:tcW w:w="982" w:type="pct"/>
            <w:vAlign w:val="center"/>
          </w:tcPr>
          <w:p w14:paraId="627C9FA2" w14:textId="428379CE" w:rsidR="0094481B" w:rsidRPr="00781112" w:rsidRDefault="0094481B" w:rsidP="00827FF4">
            <w:pPr>
              <w:jc w:val="center"/>
              <w:rPr>
                <w:rFonts w:cs="Arial"/>
                <w:color w:val="000000" w:themeColor="text1"/>
                <w:szCs w:val="16"/>
              </w:rPr>
            </w:pPr>
            <w:r w:rsidRPr="00781112">
              <w:rPr>
                <w:rFonts w:cs="Arial"/>
                <w:color w:val="000000" w:themeColor="text1"/>
                <w:szCs w:val="16"/>
              </w:rPr>
              <w:t>27.00</w:t>
            </w:r>
          </w:p>
        </w:tc>
        <w:tc>
          <w:tcPr>
            <w:tcW w:w="982" w:type="pct"/>
            <w:vAlign w:val="center"/>
          </w:tcPr>
          <w:p w14:paraId="6204E3FD" w14:textId="081B5532" w:rsidR="0094481B" w:rsidRPr="00781112" w:rsidRDefault="0094481B" w:rsidP="00827FF4">
            <w:pPr>
              <w:jc w:val="center"/>
              <w:rPr>
                <w:rFonts w:cs="Arial"/>
                <w:color w:val="000000" w:themeColor="text1"/>
                <w:szCs w:val="16"/>
              </w:rPr>
            </w:pPr>
            <w:r w:rsidRPr="00781112">
              <w:rPr>
                <w:rFonts w:cs="Arial"/>
                <w:color w:val="000000" w:themeColor="text1"/>
                <w:szCs w:val="16"/>
              </w:rPr>
              <w:t>26.50</w:t>
            </w:r>
          </w:p>
        </w:tc>
      </w:tr>
      <w:tr w:rsidR="0094481B" w:rsidRPr="00781112" w14:paraId="60CD7006" w14:textId="77777777" w:rsidTr="00FE4611">
        <w:tc>
          <w:tcPr>
            <w:tcW w:w="660" w:type="pct"/>
            <w:shd w:val="clear" w:color="auto" w:fill="auto"/>
            <w:vAlign w:val="center"/>
          </w:tcPr>
          <w:p w14:paraId="76491141"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6C27CF3D"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C &lt;=</w:t>
            </w:r>
          </w:p>
        </w:tc>
        <w:tc>
          <w:tcPr>
            <w:tcW w:w="862" w:type="pct"/>
            <w:shd w:val="clear" w:color="auto" w:fill="auto"/>
            <w:vAlign w:val="center"/>
          </w:tcPr>
          <w:p w14:paraId="4E465544" w14:textId="4F893AB5"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HS</w:t>
            </w:r>
          </w:p>
        </w:tc>
        <w:tc>
          <w:tcPr>
            <w:tcW w:w="982" w:type="pct"/>
            <w:shd w:val="clear" w:color="auto" w:fill="auto"/>
            <w:vAlign w:val="center"/>
          </w:tcPr>
          <w:p w14:paraId="7B41E026" w14:textId="6E6F2C10" w:rsidR="0094481B" w:rsidRPr="00781112" w:rsidRDefault="0094481B" w:rsidP="00827FF4">
            <w:pPr>
              <w:jc w:val="center"/>
              <w:rPr>
                <w:rFonts w:cs="Arial"/>
                <w:color w:val="000000" w:themeColor="text1"/>
                <w:szCs w:val="16"/>
              </w:rPr>
            </w:pPr>
            <w:r w:rsidRPr="00781112">
              <w:rPr>
                <w:rFonts w:cs="Arial"/>
                <w:color w:val="000000" w:themeColor="text1"/>
                <w:szCs w:val="16"/>
              </w:rPr>
              <w:t>19.50</w:t>
            </w:r>
          </w:p>
        </w:tc>
        <w:tc>
          <w:tcPr>
            <w:tcW w:w="982" w:type="pct"/>
            <w:vAlign w:val="center"/>
          </w:tcPr>
          <w:p w14:paraId="294118D4" w14:textId="54195603" w:rsidR="0094481B" w:rsidRPr="00781112" w:rsidRDefault="0094481B" w:rsidP="00827FF4">
            <w:pPr>
              <w:jc w:val="center"/>
              <w:rPr>
                <w:rFonts w:cs="Arial"/>
                <w:color w:val="000000" w:themeColor="text1"/>
                <w:szCs w:val="16"/>
              </w:rPr>
            </w:pPr>
            <w:r w:rsidRPr="00781112">
              <w:rPr>
                <w:rFonts w:cs="Arial"/>
                <w:color w:val="000000" w:themeColor="text1"/>
                <w:szCs w:val="16"/>
              </w:rPr>
              <w:t>19.00</w:t>
            </w:r>
          </w:p>
        </w:tc>
        <w:tc>
          <w:tcPr>
            <w:tcW w:w="982" w:type="pct"/>
            <w:vAlign w:val="center"/>
          </w:tcPr>
          <w:p w14:paraId="41623CC8" w14:textId="4F75F535" w:rsidR="0094481B" w:rsidRPr="00781112" w:rsidRDefault="0094481B" w:rsidP="00827FF4">
            <w:pPr>
              <w:jc w:val="center"/>
              <w:rPr>
                <w:rFonts w:cs="Arial"/>
                <w:color w:val="000000" w:themeColor="text1"/>
                <w:szCs w:val="16"/>
              </w:rPr>
            </w:pPr>
            <w:r w:rsidRPr="00781112">
              <w:rPr>
                <w:rFonts w:cs="Arial"/>
                <w:color w:val="000000" w:themeColor="text1"/>
                <w:szCs w:val="16"/>
              </w:rPr>
              <w:t>18.50</w:t>
            </w:r>
          </w:p>
        </w:tc>
      </w:tr>
    </w:tbl>
    <w:p w14:paraId="05E796DD" w14:textId="77777777" w:rsidR="00DD5B7A" w:rsidRPr="00781112" w:rsidRDefault="00DD5B7A" w:rsidP="00DD5B7A">
      <w:pPr>
        <w:rPr>
          <w:b/>
          <w:color w:val="000000" w:themeColor="text1"/>
        </w:rPr>
      </w:pPr>
    </w:p>
    <w:p w14:paraId="209349EB" w14:textId="77777777" w:rsidR="00DD5B7A" w:rsidRPr="00781112" w:rsidRDefault="00DD5B7A" w:rsidP="00DD5B7A">
      <w:pPr>
        <w:rPr>
          <w:b/>
          <w:color w:val="000000" w:themeColor="text1"/>
        </w:rPr>
      </w:pPr>
      <w:r w:rsidRPr="00781112">
        <w:rPr>
          <w:b/>
          <w:color w:val="000000" w:themeColor="text1"/>
        </w:rPr>
        <w:t xml:space="preserve">Targets: Description of Stakeholder Input </w:t>
      </w:r>
    </w:p>
    <w:p w14:paraId="1A8E431E" w14:textId="45368C9A" w:rsidR="00DD5B7A" w:rsidRPr="00781112" w:rsidRDefault="00DD5B7A" w:rsidP="00DD5B7A">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w:t>
      </w:r>
      <w:r w:rsidRPr="00781112">
        <w:rPr>
          <w:rFonts w:cs="Arial"/>
          <w:color w:val="000000" w:themeColor="text1"/>
          <w:szCs w:val="16"/>
        </w:rPr>
        <w:lastRenderedPageBreak/>
        <w:t xml:space="preserve">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The baseline data from FFY 2018 were calculated as the difference between the proficiency rate of children with disabilities and an IEP taking the state-wide assessments and the proficiency rate of ALL students taking the state-wide assessment. Disaggregation by subject area (math and reading) and grade level (4th, 8th, and 11th) was conducted prior to calculations. These calculations were presented and accepted by stakeholders during the final stakeholder meeting in September 2021.</w:t>
      </w:r>
      <w:r w:rsidRPr="00781112">
        <w:rPr>
          <w:rFonts w:cs="Arial"/>
          <w:color w:val="000000" w:themeColor="text1"/>
          <w:szCs w:val="16"/>
        </w:rPr>
        <w:br/>
      </w:r>
      <w:r w:rsidRPr="00781112">
        <w:rPr>
          <w:rFonts w:cs="Arial"/>
          <w:color w:val="000000" w:themeColor="text1"/>
          <w:szCs w:val="16"/>
        </w:rPr>
        <w:br/>
        <w:t>FFY 2023</w:t>
      </w:r>
      <w:r w:rsidRPr="00781112">
        <w:rPr>
          <w:rFonts w:cs="Arial"/>
          <w:color w:val="000000" w:themeColor="text1"/>
          <w:szCs w:val="16"/>
        </w:rPr>
        <w:br/>
        <w:t>Stakeholders did not express interest in revising the Assessment Proficiency Gap (Grade Level Standards) targets during any meetings throughout the reporting period; however, WVDE/OSE is receptive to any potential concerns or recommendations that stakeholders may have regarding these targets.</w:t>
      </w:r>
    </w:p>
    <w:p w14:paraId="5EB19DE7" w14:textId="77777777" w:rsidR="00DD5B7A" w:rsidRPr="00781112" w:rsidRDefault="00DD5B7A" w:rsidP="00FE4611">
      <w:pPr>
        <w:spacing w:before="0" w:after="0" w:line="276" w:lineRule="auto"/>
        <w:rPr>
          <w:b/>
          <w:color w:val="000000" w:themeColor="text1"/>
        </w:rPr>
      </w:pPr>
    </w:p>
    <w:p w14:paraId="5F03961C" w14:textId="21B46448" w:rsidR="00DD5B7A" w:rsidRPr="00781112" w:rsidRDefault="00FA33C9" w:rsidP="00DD5B7A">
      <w:pPr>
        <w:rPr>
          <w:b/>
          <w:color w:val="000000" w:themeColor="text1"/>
        </w:rPr>
      </w:pPr>
      <w:r>
        <w:rPr>
          <w:b/>
          <w:color w:val="000000" w:themeColor="text1"/>
        </w:rPr>
        <w:t>FFY 2023 Data Disaggregation from ED</w:t>
      </w:r>
      <w:r w:rsidRPr="00BA3DBE">
        <w:rPr>
          <w:b/>
          <w:i/>
          <w:iCs/>
          <w:color w:val="000000" w:themeColor="text1"/>
        </w:rPr>
        <w:t>Facts</w:t>
      </w:r>
    </w:p>
    <w:p w14:paraId="27A29F4B"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24C5C209" w14:textId="49550180" w:rsidR="00DD5B7A" w:rsidRPr="00781112" w:rsidRDefault="00DD5B7A" w:rsidP="00DD5B7A">
      <w:pPr>
        <w:rPr>
          <w:rFonts w:cs="Arial"/>
          <w:color w:val="000000" w:themeColor="text1"/>
          <w:szCs w:val="16"/>
        </w:rPr>
      </w:pPr>
      <w:r w:rsidRPr="00781112">
        <w:rPr>
          <w:rFonts w:cs="Arial"/>
          <w:color w:val="000000" w:themeColor="text1"/>
          <w:szCs w:val="16"/>
        </w:rPr>
        <w:t>SY 2023-24 Assessment Data Groups - Reading (EDFacts file spec FS178; Data Group: 584)</w:t>
      </w:r>
    </w:p>
    <w:p w14:paraId="51B1992D"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54E3F3F" w14:textId="7BE38E1B" w:rsidR="00DD5B7A" w:rsidRPr="00781112" w:rsidRDefault="00DD5B7A" w:rsidP="00DD5B7A">
      <w:pPr>
        <w:rPr>
          <w:rFonts w:cs="Arial"/>
          <w:color w:val="000000" w:themeColor="text1"/>
          <w:szCs w:val="16"/>
        </w:rPr>
      </w:pPr>
      <w:r w:rsidRPr="00781112">
        <w:rPr>
          <w:rFonts w:cs="Arial"/>
          <w:color w:val="000000" w:themeColor="text1"/>
          <w:szCs w:val="16"/>
        </w:rPr>
        <w:t>01/08/2025</w:t>
      </w:r>
    </w:p>
    <w:p w14:paraId="45DD1CF1" w14:textId="5E6E849D" w:rsidR="00DD5B7A" w:rsidRPr="00781112" w:rsidRDefault="00DD5B7A" w:rsidP="00DD5B7A">
      <w:pPr>
        <w:rPr>
          <w:b/>
          <w:color w:val="000000" w:themeColor="text1"/>
        </w:rPr>
      </w:pPr>
      <w:r w:rsidRPr="00781112">
        <w:rPr>
          <w:b/>
          <w:color w:val="000000" w:themeColor="text1"/>
        </w:rPr>
        <w:t>Reading Assessment Proficiency Data by Grade (1)</w:t>
      </w:r>
    </w:p>
    <w:tbl>
      <w:tblPr>
        <w:tblStyle w:val="TableGrid"/>
        <w:tblW w:w="5000" w:type="pct"/>
        <w:tblLayout w:type="fixed"/>
        <w:tblLook w:val="04A0" w:firstRow="1" w:lastRow="0" w:firstColumn="1" w:lastColumn="0" w:noHBand="0" w:noVBand="1"/>
        <w:tblCaption w:val="B03DSSPARTDATABYGRDRLA"/>
      </w:tblPr>
      <w:tblGrid>
        <w:gridCol w:w="3775"/>
        <w:gridCol w:w="2337"/>
        <w:gridCol w:w="2339"/>
        <w:gridCol w:w="2339"/>
      </w:tblGrid>
      <w:tr w:rsidR="00847776" w:rsidRPr="00781112" w14:paraId="6DA55728" w14:textId="77777777" w:rsidTr="00E95FBF">
        <w:tc>
          <w:tcPr>
            <w:tcW w:w="1749" w:type="pct"/>
            <w:shd w:val="clear" w:color="auto" w:fill="auto"/>
          </w:tcPr>
          <w:p w14:paraId="4EAC2736" w14:textId="6924CA80"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691E68" w14:textId="255E6CD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4" w:type="pct"/>
            <w:shd w:val="clear" w:color="auto" w:fill="auto"/>
            <w:vAlign w:val="center"/>
          </w:tcPr>
          <w:p w14:paraId="04C042D1" w14:textId="5F31110D"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5ED006E5" w14:textId="47B87CA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2D3EE6" w:rsidRPr="00781112" w14:paraId="37D772D8" w14:textId="77777777" w:rsidTr="00E95FBF">
        <w:tc>
          <w:tcPr>
            <w:tcW w:w="1749" w:type="pct"/>
            <w:shd w:val="clear" w:color="auto" w:fill="auto"/>
          </w:tcPr>
          <w:p w14:paraId="7B0D7CCF" w14:textId="33D6DF72" w:rsidR="002D3EE6" w:rsidRPr="00781112" w:rsidRDefault="002D3EE6" w:rsidP="002D3EE6">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4F7A04F6" w14:textId="19D267DA" w:rsidR="002D3EE6" w:rsidRPr="00781112" w:rsidRDefault="002D3EE6" w:rsidP="002D3EE6">
            <w:pPr>
              <w:jc w:val="center"/>
              <w:rPr>
                <w:rFonts w:cs="Arial"/>
                <w:color w:val="000000" w:themeColor="text1"/>
                <w:szCs w:val="16"/>
              </w:rPr>
            </w:pPr>
            <w:r w:rsidRPr="00781112">
              <w:rPr>
                <w:rFonts w:cs="Arial"/>
                <w:color w:val="000000" w:themeColor="text1"/>
                <w:szCs w:val="16"/>
              </w:rPr>
              <w:t>15,450</w:t>
            </w:r>
          </w:p>
        </w:tc>
        <w:tc>
          <w:tcPr>
            <w:tcW w:w="1084" w:type="pct"/>
            <w:shd w:val="clear" w:color="auto" w:fill="auto"/>
            <w:vAlign w:val="center"/>
          </w:tcPr>
          <w:p w14:paraId="171D43A3" w14:textId="2BAB5EF8" w:rsidR="002D3EE6" w:rsidRPr="00781112" w:rsidRDefault="002D3EE6" w:rsidP="002D3EE6">
            <w:pPr>
              <w:jc w:val="center"/>
              <w:rPr>
                <w:rFonts w:cs="Arial"/>
                <w:color w:val="000000" w:themeColor="text1"/>
                <w:szCs w:val="16"/>
              </w:rPr>
            </w:pPr>
            <w:r w:rsidRPr="00781112">
              <w:rPr>
                <w:rFonts w:cs="Arial"/>
                <w:color w:val="000000" w:themeColor="text1"/>
                <w:szCs w:val="16"/>
              </w:rPr>
              <w:t>17,333</w:t>
            </w:r>
          </w:p>
        </w:tc>
        <w:tc>
          <w:tcPr>
            <w:tcW w:w="1084" w:type="pct"/>
            <w:shd w:val="clear" w:color="auto" w:fill="auto"/>
            <w:vAlign w:val="center"/>
          </w:tcPr>
          <w:p w14:paraId="58B877C4" w14:textId="55D5291F" w:rsidR="002D3EE6" w:rsidRPr="00781112" w:rsidRDefault="002D3EE6" w:rsidP="002D3EE6">
            <w:pPr>
              <w:jc w:val="center"/>
              <w:rPr>
                <w:rFonts w:cs="Arial"/>
                <w:color w:val="000000" w:themeColor="text1"/>
                <w:szCs w:val="16"/>
              </w:rPr>
            </w:pPr>
            <w:r w:rsidRPr="00781112">
              <w:rPr>
                <w:rFonts w:cs="Arial"/>
                <w:color w:val="000000" w:themeColor="text1"/>
                <w:szCs w:val="16"/>
              </w:rPr>
              <w:t>16,143</w:t>
            </w:r>
          </w:p>
        </w:tc>
      </w:tr>
      <w:tr w:rsidR="002D3EE6" w:rsidRPr="00781112" w14:paraId="6D2048AF" w14:textId="77777777" w:rsidTr="00E95FBF">
        <w:tc>
          <w:tcPr>
            <w:tcW w:w="1749" w:type="pct"/>
            <w:shd w:val="clear" w:color="auto" w:fill="auto"/>
          </w:tcPr>
          <w:p w14:paraId="5F5D9DBC" w14:textId="3AB6D57C" w:rsidR="002D3EE6" w:rsidRPr="00781112" w:rsidRDefault="002D3EE6" w:rsidP="002D3EE6">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25792A43" w14:textId="636F508C" w:rsidR="002D3EE6" w:rsidRPr="00781112" w:rsidRDefault="002D3EE6" w:rsidP="002D3EE6">
            <w:pPr>
              <w:jc w:val="center"/>
              <w:rPr>
                <w:rFonts w:cs="Arial"/>
                <w:color w:val="000000" w:themeColor="text1"/>
                <w:szCs w:val="16"/>
              </w:rPr>
            </w:pPr>
            <w:r w:rsidRPr="00781112">
              <w:rPr>
                <w:rFonts w:cs="Arial"/>
                <w:color w:val="000000" w:themeColor="text1"/>
                <w:szCs w:val="16"/>
              </w:rPr>
              <w:t>3,985</w:t>
            </w:r>
          </w:p>
        </w:tc>
        <w:tc>
          <w:tcPr>
            <w:tcW w:w="1084" w:type="pct"/>
            <w:shd w:val="clear" w:color="auto" w:fill="auto"/>
            <w:vAlign w:val="center"/>
          </w:tcPr>
          <w:p w14:paraId="34571492" w14:textId="6F3F5797" w:rsidR="002D3EE6" w:rsidRPr="00781112" w:rsidRDefault="002D3EE6" w:rsidP="002D3EE6">
            <w:pPr>
              <w:jc w:val="center"/>
              <w:rPr>
                <w:rFonts w:cs="Arial"/>
                <w:color w:val="000000" w:themeColor="text1"/>
                <w:szCs w:val="16"/>
              </w:rPr>
            </w:pPr>
            <w:r w:rsidRPr="00781112">
              <w:rPr>
                <w:rFonts w:cs="Arial"/>
                <w:color w:val="000000" w:themeColor="text1"/>
                <w:szCs w:val="16"/>
              </w:rPr>
              <w:t>3,205</w:t>
            </w:r>
          </w:p>
        </w:tc>
        <w:tc>
          <w:tcPr>
            <w:tcW w:w="1084" w:type="pct"/>
            <w:shd w:val="clear" w:color="auto" w:fill="auto"/>
            <w:vAlign w:val="center"/>
          </w:tcPr>
          <w:p w14:paraId="0BBD02C7" w14:textId="42EBBF14" w:rsidR="002D3EE6" w:rsidRPr="00781112" w:rsidRDefault="002D3EE6" w:rsidP="002D3EE6">
            <w:pPr>
              <w:jc w:val="center"/>
              <w:rPr>
                <w:rFonts w:cs="Arial"/>
                <w:color w:val="000000" w:themeColor="text1"/>
                <w:szCs w:val="16"/>
              </w:rPr>
            </w:pPr>
            <w:r w:rsidRPr="00781112">
              <w:rPr>
                <w:rFonts w:cs="Arial"/>
                <w:color w:val="000000" w:themeColor="text1"/>
                <w:szCs w:val="16"/>
              </w:rPr>
              <w:t>2,327</w:t>
            </w:r>
          </w:p>
        </w:tc>
      </w:tr>
      <w:tr w:rsidR="002D3EE6" w:rsidRPr="00781112" w14:paraId="62D84F5E" w14:textId="77777777" w:rsidTr="00E95FBF">
        <w:tc>
          <w:tcPr>
            <w:tcW w:w="1749" w:type="pct"/>
            <w:shd w:val="clear" w:color="auto" w:fill="auto"/>
          </w:tcPr>
          <w:p w14:paraId="51DEDF27" w14:textId="69ADBF80" w:rsidR="002D3EE6" w:rsidRPr="00181070" w:rsidRDefault="002D3EE6" w:rsidP="002D3EE6">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6E23C4D0" w14:textId="690E483E" w:rsidR="002D3EE6" w:rsidRPr="00781112" w:rsidRDefault="002D3EE6" w:rsidP="002D3EE6">
            <w:pPr>
              <w:jc w:val="center"/>
              <w:rPr>
                <w:rFonts w:cs="Arial"/>
                <w:color w:val="000000" w:themeColor="text1"/>
                <w:szCs w:val="16"/>
              </w:rPr>
            </w:pPr>
            <w:r w:rsidRPr="00781112">
              <w:rPr>
                <w:rFonts w:cs="Arial"/>
                <w:color w:val="000000" w:themeColor="text1"/>
                <w:szCs w:val="16"/>
              </w:rPr>
              <w:t>6,758</w:t>
            </w:r>
          </w:p>
        </w:tc>
        <w:tc>
          <w:tcPr>
            <w:tcW w:w="1084" w:type="pct"/>
            <w:shd w:val="clear" w:color="auto" w:fill="auto"/>
            <w:vAlign w:val="center"/>
          </w:tcPr>
          <w:p w14:paraId="6D42641C" w14:textId="63F65487" w:rsidR="002D3EE6" w:rsidRPr="00781112" w:rsidRDefault="002D3EE6" w:rsidP="002D3EE6">
            <w:pPr>
              <w:jc w:val="center"/>
              <w:rPr>
                <w:rFonts w:cs="Arial"/>
                <w:color w:val="000000" w:themeColor="text1"/>
                <w:szCs w:val="16"/>
              </w:rPr>
            </w:pPr>
            <w:r w:rsidRPr="00781112">
              <w:rPr>
                <w:rFonts w:cs="Arial"/>
                <w:color w:val="000000" w:themeColor="text1"/>
                <w:szCs w:val="16"/>
              </w:rPr>
              <w:t>6,691</w:t>
            </w:r>
          </w:p>
        </w:tc>
        <w:tc>
          <w:tcPr>
            <w:tcW w:w="1084" w:type="pct"/>
            <w:shd w:val="clear" w:color="auto" w:fill="auto"/>
            <w:vAlign w:val="center"/>
          </w:tcPr>
          <w:p w14:paraId="27076C73" w14:textId="7C15AF5B" w:rsidR="002D3EE6" w:rsidRPr="00781112" w:rsidRDefault="002D3EE6" w:rsidP="002D3EE6">
            <w:pPr>
              <w:jc w:val="center"/>
              <w:rPr>
                <w:rFonts w:cs="Arial"/>
                <w:color w:val="000000" w:themeColor="text1"/>
                <w:szCs w:val="16"/>
              </w:rPr>
            </w:pPr>
            <w:r w:rsidRPr="00781112">
              <w:rPr>
                <w:rFonts w:cs="Arial"/>
                <w:color w:val="000000" w:themeColor="text1"/>
                <w:szCs w:val="16"/>
              </w:rPr>
              <w:t>7,841</w:t>
            </w:r>
          </w:p>
        </w:tc>
      </w:tr>
      <w:tr w:rsidR="002D3EE6" w:rsidRPr="00781112" w14:paraId="058A4E65" w14:textId="77777777" w:rsidTr="00E95FBF">
        <w:tc>
          <w:tcPr>
            <w:tcW w:w="1749" w:type="pct"/>
            <w:shd w:val="clear" w:color="auto" w:fill="auto"/>
          </w:tcPr>
          <w:p w14:paraId="439EF49E" w14:textId="1EC71838" w:rsidR="002D3EE6" w:rsidRPr="00181070" w:rsidRDefault="002D3EE6" w:rsidP="002D3EE6">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441B205F" w14:textId="66F540F9" w:rsidR="002D3EE6" w:rsidRPr="00781112" w:rsidRDefault="002D3EE6" w:rsidP="002D3EE6">
            <w:pPr>
              <w:jc w:val="center"/>
              <w:rPr>
                <w:rFonts w:cs="Arial"/>
                <w:color w:val="000000" w:themeColor="text1"/>
                <w:szCs w:val="16"/>
              </w:rPr>
            </w:pPr>
            <w:r w:rsidRPr="00781112">
              <w:rPr>
                <w:rFonts w:cs="Arial"/>
                <w:color w:val="000000" w:themeColor="text1"/>
                <w:szCs w:val="16"/>
              </w:rPr>
              <w:t>403</w:t>
            </w:r>
          </w:p>
        </w:tc>
        <w:tc>
          <w:tcPr>
            <w:tcW w:w="1084" w:type="pct"/>
            <w:shd w:val="clear" w:color="auto" w:fill="auto"/>
            <w:vAlign w:val="center"/>
          </w:tcPr>
          <w:p w14:paraId="5FB5C795" w14:textId="69CA87AA" w:rsidR="002D3EE6" w:rsidRPr="00781112" w:rsidRDefault="002D3EE6" w:rsidP="002D3EE6">
            <w:pPr>
              <w:jc w:val="center"/>
              <w:rPr>
                <w:rFonts w:cs="Arial"/>
                <w:color w:val="000000" w:themeColor="text1"/>
                <w:szCs w:val="16"/>
              </w:rPr>
            </w:pPr>
            <w:r w:rsidRPr="00781112">
              <w:rPr>
                <w:rFonts w:cs="Arial"/>
                <w:color w:val="000000" w:themeColor="text1"/>
                <w:szCs w:val="16"/>
              </w:rPr>
              <w:t>283</w:t>
            </w:r>
          </w:p>
        </w:tc>
        <w:tc>
          <w:tcPr>
            <w:tcW w:w="1084" w:type="pct"/>
            <w:shd w:val="clear" w:color="auto" w:fill="auto"/>
            <w:vAlign w:val="center"/>
          </w:tcPr>
          <w:p w14:paraId="5BB68E9F" w14:textId="19C38497" w:rsidR="002D3EE6" w:rsidRPr="00781112" w:rsidRDefault="002D3EE6" w:rsidP="002D3EE6">
            <w:pPr>
              <w:jc w:val="center"/>
              <w:rPr>
                <w:rFonts w:cs="Arial"/>
                <w:color w:val="000000" w:themeColor="text1"/>
                <w:szCs w:val="16"/>
              </w:rPr>
            </w:pPr>
            <w:r w:rsidRPr="00781112">
              <w:rPr>
                <w:rFonts w:cs="Arial"/>
                <w:color w:val="000000" w:themeColor="text1"/>
                <w:szCs w:val="16"/>
              </w:rPr>
              <w:t>267</w:t>
            </w:r>
          </w:p>
        </w:tc>
      </w:tr>
      <w:tr w:rsidR="002D3EE6" w:rsidRPr="00781112" w14:paraId="1AC72B75" w14:textId="77777777" w:rsidTr="00E95FBF">
        <w:tc>
          <w:tcPr>
            <w:tcW w:w="1749" w:type="pct"/>
            <w:shd w:val="clear" w:color="auto" w:fill="auto"/>
          </w:tcPr>
          <w:p w14:paraId="0A914ADA" w14:textId="357C6FCD" w:rsidR="002D3EE6" w:rsidRPr="00781112" w:rsidRDefault="002D3EE6" w:rsidP="002D3EE6">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02F1489E" w14:textId="43AB7E92" w:rsidR="002D3EE6" w:rsidRPr="00781112" w:rsidRDefault="002D3EE6" w:rsidP="002D3EE6">
            <w:pPr>
              <w:jc w:val="center"/>
              <w:rPr>
                <w:rFonts w:cs="Arial"/>
                <w:color w:val="000000" w:themeColor="text1"/>
                <w:szCs w:val="16"/>
              </w:rPr>
            </w:pPr>
            <w:r w:rsidRPr="00781112">
              <w:rPr>
                <w:rFonts w:cs="Arial"/>
                <w:color w:val="000000" w:themeColor="text1"/>
                <w:szCs w:val="16"/>
              </w:rPr>
              <w:t>446</w:t>
            </w:r>
          </w:p>
        </w:tc>
        <w:tc>
          <w:tcPr>
            <w:tcW w:w="1084" w:type="pct"/>
            <w:shd w:val="clear" w:color="auto" w:fill="auto"/>
            <w:vAlign w:val="center"/>
          </w:tcPr>
          <w:p w14:paraId="7D7B8A72" w14:textId="5C0EA0B0" w:rsidR="002D3EE6" w:rsidRPr="00781112" w:rsidRDefault="002D3EE6" w:rsidP="002D3EE6">
            <w:pPr>
              <w:jc w:val="center"/>
              <w:rPr>
                <w:rFonts w:cs="Arial"/>
                <w:color w:val="000000" w:themeColor="text1"/>
                <w:szCs w:val="16"/>
              </w:rPr>
            </w:pPr>
            <w:r w:rsidRPr="00781112">
              <w:rPr>
                <w:rFonts w:cs="Arial"/>
                <w:color w:val="000000" w:themeColor="text1"/>
                <w:szCs w:val="16"/>
              </w:rPr>
              <w:t>107</w:t>
            </w:r>
          </w:p>
        </w:tc>
        <w:tc>
          <w:tcPr>
            <w:tcW w:w="1084" w:type="pct"/>
            <w:shd w:val="clear" w:color="auto" w:fill="auto"/>
            <w:vAlign w:val="center"/>
          </w:tcPr>
          <w:p w14:paraId="077B2856" w14:textId="4059237F" w:rsidR="002D3EE6" w:rsidRPr="00781112" w:rsidRDefault="002D3EE6" w:rsidP="002D3EE6">
            <w:pPr>
              <w:jc w:val="center"/>
              <w:rPr>
                <w:rFonts w:cs="Arial"/>
                <w:color w:val="000000" w:themeColor="text1"/>
                <w:szCs w:val="16"/>
              </w:rPr>
            </w:pPr>
            <w:r w:rsidRPr="00781112">
              <w:rPr>
                <w:rFonts w:cs="Arial"/>
                <w:color w:val="000000" w:themeColor="text1"/>
                <w:szCs w:val="16"/>
              </w:rPr>
              <w:t>125</w:t>
            </w:r>
          </w:p>
        </w:tc>
      </w:tr>
      <w:tr w:rsidR="002D3EE6" w:rsidRPr="00781112" w14:paraId="0F3AF372" w14:textId="77777777" w:rsidTr="00E95FBF">
        <w:tc>
          <w:tcPr>
            <w:tcW w:w="1749" w:type="pct"/>
            <w:shd w:val="clear" w:color="auto" w:fill="auto"/>
          </w:tcPr>
          <w:p w14:paraId="65DAF487" w14:textId="01D9D6A1" w:rsidR="002D3EE6" w:rsidRPr="00781112" w:rsidRDefault="002D3EE6" w:rsidP="002D3EE6">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1BE3D4C2" w14:textId="5B4F526A" w:rsidR="002D3EE6" w:rsidRPr="00781112" w:rsidRDefault="002D3EE6" w:rsidP="002D3EE6">
            <w:pPr>
              <w:jc w:val="center"/>
              <w:rPr>
                <w:rFonts w:cs="Arial"/>
                <w:color w:val="000000" w:themeColor="text1"/>
                <w:szCs w:val="16"/>
              </w:rPr>
            </w:pPr>
            <w:r w:rsidRPr="00781112">
              <w:rPr>
                <w:rFonts w:cs="Arial"/>
                <w:color w:val="000000" w:themeColor="text1"/>
                <w:szCs w:val="16"/>
              </w:rPr>
              <w:t>287</w:t>
            </w:r>
          </w:p>
        </w:tc>
        <w:tc>
          <w:tcPr>
            <w:tcW w:w="1084" w:type="pct"/>
            <w:shd w:val="clear" w:color="auto" w:fill="auto"/>
            <w:vAlign w:val="center"/>
          </w:tcPr>
          <w:p w14:paraId="0E65D7AB" w14:textId="79D914F6" w:rsidR="002D3EE6" w:rsidRPr="00781112" w:rsidRDefault="002D3EE6" w:rsidP="002D3EE6">
            <w:pPr>
              <w:jc w:val="center"/>
              <w:rPr>
                <w:rFonts w:cs="Arial"/>
                <w:color w:val="000000" w:themeColor="text1"/>
                <w:szCs w:val="16"/>
              </w:rPr>
            </w:pPr>
            <w:r w:rsidRPr="00781112">
              <w:rPr>
                <w:rFonts w:cs="Arial"/>
                <w:color w:val="000000" w:themeColor="text1"/>
                <w:szCs w:val="16"/>
              </w:rPr>
              <w:t>190</w:t>
            </w:r>
          </w:p>
        </w:tc>
        <w:tc>
          <w:tcPr>
            <w:tcW w:w="1084" w:type="pct"/>
            <w:shd w:val="clear" w:color="auto" w:fill="auto"/>
            <w:vAlign w:val="center"/>
          </w:tcPr>
          <w:p w14:paraId="740F6FA5" w14:textId="70059958" w:rsidR="002D3EE6" w:rsidRPr="00781112" w:rsidRDefault="002D3EE6" w:rsidP="002D3EE6">
            <w:pPr>
              <w:jc w:val="center"/>
              <w:rPr>
                <w:rFonts w:cs="Arial"/>
                <w:color w:val="000000" w:themeColor="text1"/>
                <w:szCs w:val="16"/>
              </w:rPr>
            </w:pPr>
            <w:r w:rsidRPr="00781112">
              <w:rPr>
                <w:rFonts w:cs="Arial"/>
                <w:color w:val="000000" w:themeColor="text1"/>
                <w:szCs w:val="16"/>
              </w:rPr>
              <w:t>119</w:t>
            </w:r>
          </w:p>
        </w:tc>
      </w:tr>
    </w:tbl>
    <w:p w14:paraId="639A2278" w14:textId="77777777" w:rsidR="00DD5B7A" w:rsidRPr="00781112" w:rsidRDefault="00DD5B7A" w:rsidP="00DD5B7A">
      <w:pPr>
        <w:rPr>
          <w:b/>
          <w:color w:val="000000" w:themeColor="text1"/>
        </w:rPr>
      </w:pPr>
    </w:p>
    <w:p w14:paraId="2B294F6E"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6AD8EFC6" w14:textId="5D2767CF" w:rsidR="00DD5B7A" w:rsidRPr="00781112" w:rsidRDefault="00DD5B7A" w:rsidP="00DD5B7A">
      <w:pPr>
        <w:rPr>
          <w:rFonts w:cs="Arial"/>
          <w:color w:val="000000" w:themeColor="text1"/>
          <w:szCs w:val="16"/>
        </w:rPr>
      </w:pPr>
      <w:r w:rsidRPr="00781112">
        <w:rPr>
          <w:rFonts w:cs="Arial"/>
          <w:color w:val="000000" w:themeColor="text1"/>
          <w:szCs w:val="16"/>
        </w:rPr>
        <w:t>SY 2023-24 Assessment Data Groups - Math (EDFacts file spec FS175; Data Group: 583)</w:t>
      </w:r>
    </w:p>
    <w:p w14:paraId="1F735D57"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7D0A75A" w14:textId="6D901961" w:rsidR="00DD5B7A" w:rsidRPr="00781112" w:rsidRDefault="00DD5B7A" w:rsidP="00DD5B7A">
      <w:pPr>
        <w:rPr>
          <w:rFonts w:cs="Arial"/>
          <w:color w:val="000000" w:themeColor="text1"/>
          <w:szCs w:val="16"/>
        </w:rPr>
      </w:pPr>
      <w:r w:rsidRPr="00781112">
        <w:rPr>
          <w:rFonts w:cs="Arial"/>
          <w:color w:val="000000" w:themeColor="text1"/>
          <w:szCs w:val="16"/>
        </w:rPr>
        <w:t>01/08/2025</w:t>
      </w:r>
    </w:p>
    <w:p w14:paraId="0AB0EBE2" w14:textId="434C41EC" w:rsidR="00DD5B7A" w:rsidRPr="00781112" w:rsidRDefault="00DD5B7A" w:rsidP="00DD5B7A">
      <w:pPr>
        <w:rPr>
          <w:b/>
          <w:color w:val="000000" w:themeColor="text1"/>
        </w:rPr>
      </w:pPr>
      <w:r w:rsidRPr="00781112">
        <w:rPr>
          <w:b/>
          <w:color w:val="000000" w:themeColor="text1"/>
        </w:rPr>
        <w:t>Math Assessment Proficiency Data by Grade (1)</w:t>
      </w:r>
    </w:p>
    <w:tbl>
      <w:tblPr>
        <w:tblStyle w:val="TableGrid"/>
        <w:tblW w:w="5000" w:type="pct"/>
        <w:tblLayout w:type="fixed"/>
        <w:tblLook w:val="04A0" w:firstRow="1" w:lastRow="0" w:firstColumn="1" w:lastColumn="0" w:noHBand="0" w:noVBand="1"/>
        <w:tblCaption w:val="B03DSSPARTDATABYGRDMATH"/>
      </w:tblPr>
      <w:tblGrid>
        <w:gridCol w:w="3775"/>
        <w:gridCol w:w="2338"/>
        <w:gridCol w:w="2338"/>
        <w:gridCol w:w="2339"/>
      </w:tblGrid>
      <w:tr w:rsidR="00DD5B7A" w:rsidRPr="00781112" w14:paraId="590774E0" w14:textId="77777777" w:rsidTr="00E95FBF">
        <w:tc>
          <w:tcPr>
            <w:tcW w:w="1749" w:type="pct"/>
            <w:shd w:val="clear" w:color="auto" w:fill="auto"/>
          </w:tcPr>
          <w:p w14:paraId="4055FBD1" w14:textId="73E0C6E7"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AA5C0A" w14:textId="35B1C50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3" w:type="pct"/>
            <w:shd w:val="clear" w:color="auto" w:fill="auto"/>
            <w:vAlign w:val="center"/>
          </w:tcPr>
          <w:p w14:paraId="4B99C0AD" w14:textId="75D46FFE"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64818CE7" w14:textId="3A3D62E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39534D" w:rsidRPr="00781112" w14:paraId="5B127C40" w14:textId="77777777" w:rsidTr="00E95FBF">
        <w:tc>
          <w:tcPr>
            <w:tcW w:w="1749" w:type="pct"/>
            <w:shd w:val="clear" w:color="auto" w:fill="auto"/>
          </w:tcPr>
          <w:p w14:paraId="0E1B91FD" w14:textId="7C7FA98F" w:rsidR="0039534D" w:rsidRPr="00781112" w:rsidRDefault="0039534D" w:rsidP="0039534D">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52BC5DDE" w14:textId="144A7826" w:rsidR="0039534D" w:rsidRPr="00781112" w:rsidRDefault="0039534D" w:rsidP="0039534D">
            <w:pPr>
              <w:jc w:val="center"/>
              <w:rPr>
                <w:rFonts w:cs="Arial"/>
                <w:color w:val="000000" w:themeColor="text1"/>
                <w:szCs w:val="16"/>
              </w:rPr>
            </w:pPr>
            <w:r w:rsidRPr="00781112">
              <w:rPr>
                <w:rFonts w:cs="Arial"/>
                <w:color w:val="000000" w:themeColor="text1"/>
                <w:szCs w:val="16"/>
              </w:rPr>
              <w:t>15,450</w:t>
            </w:r>
          </w:p>
        </w:tc>
        <w:tc>
          <w:tcPr>
            <w:tcW w:w="1083" w:type="pct"/>
            <w:shd w:val="clear" w:color="auto" w:fill="auto"/>
            <w:vAlign w:val="center"/>
          </w:tcPr>
          <w:p w14:paraId="1F69E804" w14:textId="1CF42368" w:rsidR="0039534D" w:rsidRPr="00781112" w:rsidRDefault="0039534D" w:rsidP="0039534D">
            <w:pPr>
              <w:jc w:val="center"/>
              <w:rPr>
                <w:rFonts w:cs="Arial"/>
                <w:color w:val="000000" w:themeColor="text1"/>
                <w:szCs w:val="16"/>
              </w:rPr>
            </w:pPr>
            <w:r w:rsidRPr="00781112">
              <w:rPr>
                <w:rFonts w:cs="Arial"/>
                <w:color w:val="000000" w:themeColor="text1"/>
                <w:szCs w:val="16"/>
              </w:rPr>
              <w:t>17,328</w:t>
            </w:r>
          </w:p>
        </w:tc>
        <w:tc>
          <w:tcPr>
            <w:tcW w:w="1084" w:type="pct"/>
            <w:shd w:val="clear" w:color="auto" w:fill="auto"/>
            <w:vAlign w:val="center"/>
          </w:tcPr>
          <w:p w14:paraId="3CF6972D" w14:textId="425CE03D" w:rsidR="0039534D" w:rsidRPr="00781112" w:rsidRDefault="0039534D" w:rsidP="0039534D">
            <w:pPr>
              <w:jc w:val="center"/>
              <w:rPr>
                <w:rFonts w:cs="Arial"/>
                <w:color w:val="000000" w:themeColor="text1"/>
                <w:szCs w:val="16"/>
              </w:rPr>
            </w:pPr>
            <w:r w:rsidRPr="00781112">
              <w:rPr>
                <w:rFonts w:cs="Arial"/>
                <w:color w:val="000000" w:themeColor="text1"/>
                <w:szCs w:val="16"/>
              </w:rPr>
              <w:t>16,143</w:t>
            </w:r>
          </w:p>
        </w:tc>
      </w:tr>
      <w:tr w:rsidR="0039534D" w:rsidRPr="00781112" w14:paraId="498D2BC6" w14:textId="77777777" w:rsidTr="00E95FBF">
        <w:tc>
          <w:tcPr>
            <w:tcW w:w="1749" w:type="pct"/>
            <w:shd w:val="clear" w:color="auto" w:fill="auto"/>
          </w:tcPr>
          <w:p w14:paraId="6F359A75" w14:textId="3CC63A02" w:rsidR="0039534D" w:rsidRPr="00781112" w:rsidRDefault="0039534D" w:rsidP="0039534D">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76737A54" w14:textId="7FDF30A1" w:rsidR="0039534D" w:rsidRPr="00781112" w:rsidRDefault="0039534D" w:rsidP="0039534D">
            <w:pPr>
              <w:jc w:val="center"/>
              <w:rPr>
                <w:rFonts w:cs="Arial"/>
                <w:color w:val="000000" w:themeColor="text1"/>
                <w:szCs w:val="16"/>
              </w:rPr>
            </w:pPr>
            <w:r w:rsidRPr="00781112">
              <w:rPr>
                <w:rFonts w:cs="Arial"/>
                <w:color w:val="000000" w:themeColor="text1"/>
                <w:szCs w:val="16"/>
              </w:rPr>
              <w:t>3,980</w:t>
            </w:r>
          </w:p>
        </w:tc>
        <w:tc>
          <w:tcPr>
            <w:tcW w:w="1083" w:type="pct"/>
            <w:shd w:val="clear" w:color="auto" w:fill="auto"/>
            <w:vAlign w:val="center"/>
          </w:tcPr>
          <w:p w14:paraId="4728E439" w14:textId="7575A840" w:rsidR="0039534D" w:rsidRPr="00781112" w:rsidRDefault="0039534D" w:rsidP="0039534D">
            <w:pPr>
              <w:jc w:val="center"/>
              <w:rPr>
                <w:rFonts w:cs="Arial"/>
                <w:color w:val="000000" w:themeColor="text1"/>
                <w:szCs w:val="16"/>
              </w:rPr>
            </w:pPr>
            <w:r w:rsidRPr="00781112">
              <w:rPr>
                <w:rFonts w:cs="Arial"/>
                <w:color w:val="000000" w:themeColor="text1"/>
                <w:szCs w:val="16"/>
              </w:rPr>
              <w:t>3,197</w:t>
            </w:r>
          </w:p>
        </w:tc>
        <w:tc>
          <w:tcPr>
            <w:tcW w:w="1084" w:type="pct"/>
            <w:shd w:val="clear" w:color="auto" w:fill="auto"/>
            <w:vAlign w:val="center"/>
          </w:tcPr>
          <w:p w14:paraId="06C8345B" w14:textId="39D5A618" w:rsidR="0039534D" w:rsidRPr="00781112" w:rsidRDefault="0039534D" w:rsidP="0039534D">
            <w:pPr>
              <w:jc w:val="center"/>
              <w:rPr>
                <w:rFonts w:cs="Arial"/>
                <w:color w:val="000000" w:themeColor="text1"/>
                <w:szCs w:val="16"/>
              </w:rPr>
            </w:pPr>
            <w:r w:rsidRPr="00781112">
              <w:rPr>
                <w:rFonts w:cs="Arial"/>
                <w:color w:val="000000" w:themeColor="text1"/>
                <w:szCs w:val="16"/>
              </w:rPr>
              <w:t>2,327</w:t>
            </w:r>
          </w:p>
        </w:tc>
      </w:tr>
      <w:tr w:rsidR="0039534D" w:rsidRPr="00781112" w14:paraId="3DF51785" w14:textId="77777777" w:rsidTr="00E95FBF">
        <w:tc>
          <w:tcPr>
            <w:tcW w:w="1749" w:type="pct"/>
            <w:shd w:val="clear" w:color="auto" w:fill="auto"/>
          </w:tcPr>
          <w:p w14:paraId="4795E661" w14:textId="39A6BCFA" w:rsidR="0039534D" w:rsidRPr="00781112" w:rsidRDefault="0039534D" w:rsidP="0039534D">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5CB3E7A3" w14:textId="5EDF24EC" w:rsidR="0039534D" w:rsidRPr="00781112" w:rsidRDefault="0039534D" w:rsidP="0039534D">
            <w:pPr>
              <w:jc w:val="center"/>
              <w:rPr>
                <w:rFonts w:cs="Arial"/>
                <w:color w:val="000000" w:themeColor="text1"/>
                <w:szCs w:val="16"/>
              </w:rPr>
            </w:pPr>
            <w:r w:rsidRPr="00781112">
              <w:rPr>
                <w:rFonts w:cs="Arial"/>
                <w:color w:val="000000" w:themeColor="text1"/>
                <w:szCs w:val="16"/>
              </w:rPr>
              <w:t>6,829</w:t>
            </w:r>
          </w:p>
        </w:tc>
        <w:tc>
          <w:tcPr>
            <w:tcW w:w="1083" w:type="pct"/>
            <w:shd w:val="clear" w:color="auto" w:fill="auto"/>
            <w:vAlign w:val="center"/>
          </w:tcPr>
          <w:p w14:paraId="7CCA2E3B" w14:textId="3CD9DE15" w:rsidR="0039534D" w:rsidRPr="00781112" w:rsidRDefault="0039534D" w:rsidP="0039534D">
            <w:pPr>
              <w:jc w:val="center"/>
              <w:rPr>
                <w:rFonts w:cs="Arial"/>
                <w:color w:val="000000" w:themeColor="text1"/>
                <w:szCs w:val="16"/>
              </w:rPr>
            </w:pPr>
            <w:r w:rsidRPr="00781112">
              <w:rPr>
                <w:rFonts w:cs="Arial"/>
                <w:color w:val="000000" w:themeColor="text1"/>
                <w:szCs w:val="16"/>
              </w:rPr>
              <w:t>4,706</w:t>
            </w:r>
          </w:p>
        </w:tc>
        <w:tc>
          <w:tcPr>
            <w:tcW w:w="1084" w:type="pct"/>
            <w:shd w:val="clear" w:color="auto" w:fill="auto"/>
            <w:vAlign w:val="center"/>
          </w:tcPr>
          <w:p w14:paraId="735C7B5A" w14:textId="1C3B3FE1" w:rsidR="0039534D" w:rsidRPr="00781112" w:rsidRDefault="0039534D" w:rsidP="0039534D">
            <w:pPr>
              <w:jc w:val="center"/>
              <w:rPr>
                <w:rFonts w:cs="Arial"/>
                <w:color w:val="000000" w:themeColor="text1"/>
                <w:szCs w:val="16"/>
              </w:rPr>
            </w:pPr>
            <w:r w:rsidRPr="00781112">
              <w:rPr>
                <w:rFonts w:cs="Arial"/>
                <w:color w:val="000000" w:themeColor="text1"/>
                <w:szCs w:val="16"/>
              </w:rPr>
              <w:t>2,746</w:t>
            </w:r>
          </w:p>
        </w:tc>
      </w:tr>
      <w:tr w:rsidR="0039534D" w:rsidRPr="00781112" w14:paraId="07844546" w14:textId="77777777" w:rsidTr="00E95FBF">
        <w:tc>
          <w:tcPr>
            <w:tcW w:w="1749" w:type="pct"/>
            <w:shd w:val="clear" w:color="auto" w:fill="auto"/>
          </w:tcPr>
          <w:p w14:paraId="47D524EB" w14:textId="56F8E4CC" w:rsidR="0039534D" w:rsidRPr="00781112" w:rsidRDefault="0039534D" w:rsidP="0039534D">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56F62AFB" w14:textId="4BC3B8A6" w:rsidR="0039534D" w:rsidRPr="00781112" w:rsidRDefault="0039534D" w:rsidP="0039534D">
            <w:pPr>
              <w:jc w:val="center"/>
              <w:rPr>
                <w:rFonts w:cs="Arial"/>
                <w:color w:val="000000" w:themeColor="text1"/>
                <w:szCs w:val="16"/>
              </w:rPr>
            </w:pPr>
            <w:r w:rsidRPr="00781112">
              <w:rPr>
                <w:rFonts w:cs="Arial"/>
                <w:color w:val="000000" w:themeColor="text1"/>
                <w:szCs w:val="16"/>
              </w:rPr>
              <w:t>437</w:t>
            </w:r>
          </w:p>
        </w:tc>
        <w:tc>
          <w:tcPr>
            <w:tcW w:w="1083" w:type="pct"/>
            <w:shd w:val="clear" w:color="auto" w:fill="auto"/>
            <w:vAlign w:val="center"/>
          </w:tcPr>
          <w:p w14:paraId="3CDBB055" w14:textId="52A1C13C" w:rsidR="0039534D" w:rsidRPr="00781112" w:rsidRDefault="0039534D" w:rsidP="0039534D">
            <w:pPr>
              <w:jc w:val="center"/>
              <w:rPr>
                <w:rFonts w:cs="Arial"/>
                <w:color w:val="000000" w:themeColor="text1"/>
                <w:szCs w:val="16"/>
              </w:rPr>
            </w:pPr>
            <w:r w:rsidRPr="00781112">
              <w:rPr>
                <w:rFonts w:cs="Arial"/>
                <w:color w:val="000000" w:themeColor="text1"/>
                <w:szCs w:val="16"/>
              </w:rPr>
              <w:t>150</w:t>
            </w:r>
          </w:p>
        </w:tc>
        <w:tc>
          <w:tcPr>
            <w:tcW w:w="1084" w:type="pct"/>
            <w:shd w:val="clear" w:color="auto" w:fill="auto"/>
            <w:vAlign w:val="center"/>
          </w:tcPr>
          <w:p w14:paraId="53087BDA" w14:textId="7F6FB55C" w:rsidR="0039534D" w:rsidRPr="00781112" w:rsidRDefault="0039534D" w:rsidP="0039534D">
            <w:pPr>
              <w:jc w:val="center"/>
              <w:rPr>
                <w:rFonts w:cs="Arial"/>
                <w:color w:val="000000" w:themeColor="text1"/>
                <w:szCs w:val="16"/>
              </w:rPr>
            </w:pPr>
            <w:r w:rsidRPr="00781112">
              <w:rPr>
                <w:rFonts w:cs="Arial"/>
                <w:color w:val="000000" w:themeColor="text1"/>
                <w:szCs w:val="16"/>
              </w:rPr>
              <w:t>68</w:t>
            </w:r>
          </w:p>
        </w:tc>
      </w:tr>
      <w:tr w:rsidR="0039534D" w:rsidRPr="00781112" w14:paraId="0A3B43B6" w14:textId="77777777" w:rsidTr="00E95FBF">
        <w:tc>
          <w:tcPr>
            <w:tcW w:w="1749" w:type="pct"/>
            <w:shd w:val="clear" w:color="auto" w:fill="auto"/>
          </w:tcPr>
          <w:p w14:paraId="78623131" w14:textId="1D0B9916" w:rsidR="0039534D" w:rsidRPr="00781112" w:rsidRDefault="0039534D" w:rsidP="0039534D">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6A062FCA" w14:textId="010EA23D" w:rsidR="0039534D" w:rsidRPr="00781112" w:rsidRDefault="0039534D" w:rsidP="0039534D">
            <w:pPr>
              <w:jc w:val="center"/>
              <w:rPr>
                <w:rFonts w:cs="Arial"/>
                <w:color w:val="000000" w:themeColor="text1"/>
                <w:szCs w:val="16"/>
              </w:rPr>
            </w:pPr>
            <w:r w:rsidRPr="00781112">
              <w:rPr>
                <w:rFonts w:cs="Arial"/>
                <w:color w:val="000000" w:themeColor="text1"/>
                <w:szCs w:val="16"/>
              </w:rPr>
              <w:t>483</w:t>
            </w:r>
          </w:p>
        </w:tc>
        <w:tc>
          <w:tcPr>
            <w:tcW w:w="1083" w:type="pct"/>
            <w:shd w:val="clear" w:color="auto" w:fill="auto"/>
            <w:vAlign w:val="center"/>
          </w:tcPr>
          <w:p w14:paraId="0A64567E" w14:textId="2D3B6CBD" w:rsidR="0039534D" w:rsidRPr="00781112" w:rsidRDefault="0039534D" w:rsidP="0039534D">
            <w:pPr>
              <w:jc w:val="center"/>
              <w:rPr>
                <w:rFonts w:cs="Arial"/>
                <w:color w:val="000000" w:themeColor="text1"/>
                <w:szCs w:val="16"/>
              </w:rPr>
            </w:pPr>
            <w:r w:rsidRPr="00781112">
              <w:rPr>
                <w:rFonts w:cs="Arial"/>
                <w:color w:val="000000" w:themeColor="text1"/>
                <w:szCs w:val="16"/>
              </w:rPr>
              <w:t>63</w:t>
            </w:r>
          </w:p>
        </w:tc>
        <w:tc>
          <w:tcPr>
            <w:tcW w:w="1084" w:type="pct"/>
            <w:shd w:val="clear" w:color="auto" w:fill="auto"/>
            <w:vAlign w:val="center"/>
          </w:tcPr>
          <w:p w14:paraId="4656C7C9" w14:textId="098CB46F" w:rsidR="0039534D" w:rsidRPr="00781112" w:rsidRDefault="0039534D" w:rsidP="0039534D">
            <w:pPr>
              <w:jc w:val="center"/>
              <w:rPr>
                <w:rFonts w:cs="Arial"/>
                <w:color w:val="000000" w:themeColor="text1"/>
                <w:szCs w:val="16"/>
              </w:rPr>
            </w:pPr>
            <w:r w:rsidRPr="00781112">
              <w:rPr>
                <w:rFonts w:cs="Arial"/>
                <w:color w:val="000000" w:themeColor="text1"/>
                <w:szCs w:val="16"/>
              </w:rPr>
              <w:t>38</w:t>
            </w:r>
          </w:p>
        </w:tc>
      </w:tr>
      <w:tr w:rsidR="0039534D" w:rsidRPr="00781112" w14:paraId="7854C881" w14:textId="77777777" w:rsidTr="00E95FBF">
        <w:tc>
          <w:tcPr>
            <w:tcW w:w="1749" w:type="pct"/>
            <w:shd w:val="clear" w:color="auto" w:fill="auto"/>
          </w:tcPr>
          <w:p w14:paraId="11893D61" w14:textId="60FC961E" w:rsidR="0039534D" w:rsidRPr="00781112" w:rsidRDefault="0039534D" w:rsidP="0039534D">
            <w:pPr>
              <w:rPr>
                <w:rFonts w:cs="Arial"/>
                <w:color w:val="000000" w:themeColor="text1"/>
                <w:szCs w:val="16"/>
              </w:rPr>
            </w:pPr>
            <w:r w:rsidRPr="00781112">
              <w:rPr>
                <w:rFonts w:cs="Arial"/>
                <w:szCs w:val="16"/>
                <w:shd w:val="clear" w:color="auto" w:fill="FFFFFF"/>
              </w:rPr>
              <w:lastRenderedPageBreak/>
              <w:t>f. Children with IEPs in regular assessment with accommodations scored at or above proficient against grade level</w:t>
            </w:r>
          </w:p>
        </w:tc>
        <w:tc>
          <w:tcPr>
            <w:tcW w:w="1083" w:type="pct"/>
            <w:shd w:val="clear" w:color="auto" w:fill="auto"/>
            <w:vAlign w:val="center"/>
          </w:tcPr>
          <w:p w14:paraId="59046EB4" w14:textId="7B9261DB" w:rsidR="0039534D" w:rsidRPr="00781112" w:rsidRDefault="0039534D" w:rsidP="0039534D">
            <w:pPr>
              <w:jc w:val="center"/>
              <w:rPr>
                <w:rFonts w:cs="Arial"/>
                <w:color w:val="000000" w:themeColor="text1"/>
                <w:szCs w:val="16"/>
              </w:rPr>
            </w:pPr>
            <w:r w:rsidRPr="00781112">
              <w:rPr>
                <w:rFonts w:cs="Arial"/>
                <w:color w:val="000000" w:themeColor="text1"/>
                <w:szCs w:val="16"/>
              </w:rPr>
              <w:t>306</w:t>
            </w:r>
          </w:p>
        </w:tc>
        <w:tc>
          <w:tcPr>
            <w:tcW w:w="1083" w:type="pct"/>
            <w:shd w:val="clear" w:color="auto" w:fill="auto"/>
            <w:vAlign w:val="center"/>
          </w:tcPr>
          <w:p w14:paraId="1A17DFA3" w14:textId="3FCA504B" w:rsidR="0039534D" w:rsidRPr="00781112" w:rsidRDefault="0039534D" w:rsidP="0039534D">
            <w:pPr>
              <w:jc w:val="center"/>
              <w:rPr>
                <w:rFonts w:cs="Arial"/>
                <w:color w:val="000000" w:themeColor="text1"/>
                <w:szCs w:val="16"/>
              </w:rPr>
            </w:pPr>
            <w:r w:rsidRPr="00781112">
              <w:rPr>
                <w:rFonts w:cs="Arial"/>
                <w:color w:val="000000" w:themeColor="text1"/>
                <w:szCs w:val="16"/>
              </w:rPr>
              <w:t>85</w:t>
            </w:r>
          </w:p>
        </w:tc>
        <w:tc>
          <w:tcPr>
            <w:tcW w:w="1084" w:type="pct"/>
            <w:shd w:val="clear" w:color="auto" w:fill="auto"/>
            <w:vAlign w:val="center"/>
          </w:tcPr>
          <w:p w14:paraId="20EB2770" w14:textId="2709C0DA" w:rsidR="0039534D" w:rsidRPr="00781112" w:rsidRDefault="0039534D" w:rsidP="0039534D">
            <w:pPr>
              <w:jc w:val="center"/>
              <w:rPr>
                <w:rFonts w:cs="Arial"/>
                <w:color w:val="000000" w:themeColor="text1"/>
                <w:szCs w:val="16"/>
              </w:rPr>
            </w:pPr>
            <w:r w:rsidRPr="00781112">
              <w:rPr>
                <w:rFonts w:cs="Arial"/>
                <w:color w:val="000000" w:themeColor="text1"/>
                <w:szCs w:val="16"/>
              </w:rPr>
              <w:t>16</w:t>
            </w:r>
          </w:p>
        </w:tc>
      </w:tr>
    </w:tbl>
    <w:p w14:paraId="657E3B81" w14:textId="0DBD7310" w:rsidR="007519E8" w:rsidRDefault="007519E8" w:rsidP="007519E8">
      <w:pPr>
        <w:pStyle w:val="Subhed"/>
        <w:rPr>
          <w:b w:val="0"/>
          <w:bCs/>
        </w:rPr>
      </w:pPr>
      <w:r>
        <w:rPr>
          <w:b w:val="0"/>
          <w:bCs/>
        </w:rPr>
        <w:t>(1)The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1EA160DB" w14:textId="77777777" w:rsidR="00DD5B7A" w:rsidRPr="00781112" w:rsidRDefault="00DD5B7A" w:rsidP="00DD5B7A">
      <w:pPr>
        <w:rPr>
          <w:color w:val="000000" w:themeColor="text1"/>
        </w:rPr>
      </w:pPr>
    </w:p>
    <w:p w14:paraId="300D6CD4" w14:textId="2077F287" w:rsidR="00DD5B7A" w:rsidRPr="00781112" w:rsidRDefault="0047313F" w:rsidP="00DD5B7A">
      <w:pPr>
        <w:rPr>
          <w:b/>
          <w:color w:val="000000" w:themeColor="text1"/>
        </w:rPr>
      </w:pPr>
      <w:r>
        <w:rPr>
          <w:b/>
          <w:color w:val="000000" w:themeColor="text1"/>
        </w:rPr>
        <w:t>FFY 2023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RDATARLA"/>
      </w:tblPr>
      <w:tblGrid>
        <w:gridCol w:w="715"/>
        <w:gridCol w:w="995"/>
        <w:gridCol w:w="1752"/>
        <w:gridCol w:w="1752"/>
        <w:gridCol w:w="1114"/>
        <w:gridCol w:w="1116"/>
        <w:gridCol w:w="1116"/>
        <w:gridCol w:w="1116"/>
        <w:gridCol w:w="1114"/>
      </w:tblGrid>
      <w:tr w:rsidR="00FA33C9" w:rsidRPr="00781112" w14:paraId="2F7F1DE8" w14:textId="77777777" w:rsidTr="00360DD6">
        <w:trPr>
          <w:tblHeader/>
        </w:trPr>
        <w:tc>
          <w:tcPr>
            <w:tcW w:w="331" w:type="pct"/>
            <w:shd w:val="clear" w:color="auto" w:fill="auto"/>
            <w:vAlign w:val="bottom"/>
          </w:tcPr>
          <w:p w14:paraId="0E14CE7F"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shd w:val="clear" w:color="auto" w:fill="auto"/>
            <w:vAlign w:val="bottom"/>
          </w:tcPr>
          <w:p w14:paraId="4F428A92" w14:textId="77777777" w:rsidR="00FA33C9" w:rsidRPr="00781112" w:rsidRDefault="00FA33C9" w:rsidP="00FA33C9">
            <w:pPr>
              <w:jc w:val="center"/>
              <w:rPr>
                <w:b/>
                <w:color w:val="000000" w:themeColor="text1"/>
              </w:rPr>
            </w:pPr>
            <w:r w:rsidRPr="00781112">
              <w:rPr>
                <w:b/>
                <w:color w:val="000000" w:themeColor="text1"/>
              </w:rPr>
              <w:t>Group Name</w:t>
            </w:r>
          </w:p>
        </w:tc>
        <w:tc>
          <w:tcPr>
            <w:tcW w:w="812" w:type="pct"/>
            <w:shd w:val="clear" w:color="auto" w:fill="auto"/>
          </w:tcPr>
          <w:p w14:paraId="46CAD1DD" w14:textId="7A73217C"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12" w:type="pct"/>
            <w:shd w:val="clear" w:color="auto" w:fill="auto"/>
          </w:tcPr>
          <w:p w14:paraId="6DE1E86B" w14:textId="68DF8E07"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16" w:type="pct"/>
            <w:shd w:val="clear" w:color="auto" w:fill="auto"/>
            <w:vAlign w:val="bottom"/>
          </w:tcPr>
          <w:p w14:paraId="0E9E489C" w14:textId="349FECC0" w:rsidR="00FA33C9" w:rsidRPr="00073BD7" w:rsidRDefault="00FA33C9" w:rsidP="00FA33C9">
            <w:pPr>
              <w:jc w:val="center"/>
              <w:rPr>
                <w:b/>
                <w:bCs/>
                <w:color w:val="000000" w:themeColor="text1"/>
              </w:rPr>
            </w:pPr>
            <w:r w:rsidRPr="00073BD7">
              <w:rPr>
                <w:b/>
                <w:bCs/>
              </w:rPr>
              <w:t>FFY 2022 Data</w:t>
            </w:r>
          </w:p>
        </w:tc>
        <w:tc>
          <w:tcPr>
            <w:tcW w:w="517" w:type="pct"/>
            <w:shd w:val="clear" w:color="auto" w:fill="auto"/>
            <w:vAlign w:val="bottom"/>
          </w:tcPr>
          <w:p w14:paraId="69544656" w14:textId="764A5511" w:rsidR="00FA33C9" w:rsidRPr="00073BD7" w:rsidRDefault="00FA33C9" w:rsidP="00FA33C9">
            <w:pPr>
              <w:jc w:val="center"/>
              <w:rPr>
                <w:b/>
                <w:bCs/>
                <w:color w:val="000000" w:themeColor="text1"/>
              </w:rPr>
            </w:pPr>
            <w:r w:rsidRPr="00073BD7">
              <w:rPr>
                <w:b/>
                <w:bCs/>
              </w:rPr>
              <w:t>FFY 2023 Target</w:t>
            </w:r>
          </w:p>
        </w:tc>
        <w:tc>
          <w:tcPr>
            <w:tcW w:w="517" w:type="pct"/>
            <w:shd w:val="clear" w:color="auto" w:fill="auto"/>
            <w:vAlign w:val="bottom"/>
          </w:tcPr>
          <w:p w14:paraId="611B3DE3" w14:textId="1CAE6CC8" w:rsidR="00FA33C9" w:rsidRPr="00073BD7" w:rsidRDefault="00FA33C9" w:rsidP="00FA33C9">
            <w:pPr>
              <w:jc w:val="center"/>
              <w:rPr>
                <w:b/>
                <w:bCs/>
                <w:color w:val="000000" w:themeColor="text1"/>
              </w:rPr>
            </w:pPr>
            <w:r w:rsidRPr="00073BD7">
              <w:rPr>
                <w:b/>
                <w:bCs/>
              </w:rPr>
              <w:t>FFY 2023 Data</w:t>
            </w:r>
          </w:p>
        </w:tc>
        <w:tc>
          <w:tcPr>
            <w:tcW w:w="517" w:type="pct"/>
            <w:shd w:val="clear" w:color="auto" w:fill="auto"/>
            <w:vAlign w:val="bottom"/>
          </w:tcPr>
          <w:p w14:paraId="6D2215D6" w14:textId="77777777" w:rsidR="00FA33C9" w:rsidRPr="00781112" w:rsidRDefault="00FA33C9" w:rsidP="00FA33C9">
            <w:pPr>
              <w:jc w:val="center"/>
              <w:rPr>
                <w:b/>
                <w:color w:val="000000" w:themeColor="text1"/>
              </w:rPr>
            </w:pPr>
            <w:r w:rsidRPr="00781112">
              <w:rPr>
                <w:b/>
                <w:color w:val="000000" w:themeColor="text1"/>
              </w:rPr>
              <w:t>Status</w:t>
            </w:r>
          </w:p>
        </w:tc>
        <w:tc>
          <w:tcPr>
            <w:tcW w:w="516" w:type="pct"/>
            <w:shd w:val="clear" w:color="auto" w:fill="auto"/>
            <w:vAlign w:val="bottom"/>
          </w:tcPr>
          <w:p w14:paraId="4FACB3EB" w14:textId="77777777" w:rsidR="00FA33C9" w:rsidRPr="00781112" w:rsidRDefault="00FA33C9" w:rsidP="00FA33C9">
            <w:pPr>
              <w:jc w:val="center"/>
              <w:rPr>
                <w:b/>
                <w:color w:val="000000" w:themeColor="text1"/>
              </w:rPr>
            </w:pPr>
            <w:r w:rsidRPr="00781112">
              <w:rPr>
                <w:b/>
                <w:color w:val="000000" w:themeColor="text1"/>
              </w:rPr>
              <w:t>Slippage</w:t>
            </w:r>
          </w:p>
        </w:tc>
      </w:tr>
      <w:tr w:rsidR="00E22739" w:rsidRPr="00781112" w14:paraId="190DF2EB" w14:textId="77777777" w:rsidTr="00360DD6">
        <w:tc>
          <w:tcPr>
            <w:tcW w:w="331" w:type="pct"/>
            <w:shd w:val="clear" w:color="auto" w:fill="auto"/>
            <w:vAlign w:val="center"/>
          </w:tcPr>
          <w:p w14:paraId="3AAB1776"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50AFDCF6" w14:textId="41D78AC3"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4</w:t>
            </w:r>
          </w:p>
        </w:tc>
        <w:tc>
          <w:tcPr>
            <w:tcW w:w="812" w:type="pct"/>
            <w:shd w:val="clear" w:color="auto" w:fill="auto"/>
          </w:tcPr>
          <w:p w14:paraId="05BCB412" w14:textId="0263BB70" w:rsidR="00E22739" w:rsidRPr="00781112" w:rsidRDefault="00E22739" w:rsidP="00E22739">
            <w:pPr>
              <w:jc w:val="center"/>
              <w:rPr>
                <w:rFonts w:cs="Arial"/>
                <w:color w:val="000000" w:themeColor="text1"/>
                <w:szCs w:val="16"/>
              </w:rPr>
            </w:pPr>
            <w:r w:rsidRPr="00781112">
              <w:rPr>
                <w:rFonts w:cs="Arial"/>
                <w:color w:val="000000"/>
                <w:szCs w:val="16"/>
              </w:rPr>
              <w:t>18.39%</w:t>
            </w:r>
          </w:p>
        </w:tc>
        <w:tc>
          <w:tcPr>
            <w:tcW w:w="812" w:type="pct"/>
            <w:shd w:val="clear" w:color="auto" w:fill="auto"/>
            <w:vAlign w:val="center"/>
          </w:tcPr>
          <w:p w14:paraId="3354BCD4" w14:textId="5A7FC816" w:rsidR="00E22739" w:rsidRPr="00781112" w:rsidRDefault="00E22739" w:rsidP="00E22739">
            <w:pPr>
              <w:jc w:val="center"/>
              <w:rPr>
                <w:rFonts w:cs="Arial"/>
                <w:color w:val="000000" w:themeColor="text1"/>
                <w:szCs w:val="16"/>
              </w:rPr>
            </w:pPr>
            <w:r w:rsidRPr="00781112">
              <w:rPr>
                <w:rFonts w:cs="Arial"/>
                <w:color w:val="000000" w:themeColor="text1"/>
                <w:szCs w:val="16"/>
              </w:rPr>
              <w:t>46.35%</w:t>
            </w:r>
          </w:p>
        </w:tc>
        <w:tc>
          <w:tcPr>
            <w:tcW w:w="516" w:type="pct"/>
            <w:shd w:val="clear" w:color="auto" w:fill="auto"/>
            <w:vAlign w:val="center"/>
          </w:tcPr>
          <w:p w14:paraId="54DCE3E3" w14:textId="767528A8" w:rsidR="00E22739" w:rsidRPr="00781112" w:rsidRDefault="00E22739" w:rsidP="00E22739">
            <w:pPr>
              <w:jc w:val="center"/>
              <w:rPr>
                <w:rFonts w:cs="Arial"/>
                <w:color w:val="000000" w:themeColor="text1"/>
                <w:szCs w:val="16"/>
              </w:rPr>
            </w:pPr>
            <w:r w:rsidRPr="00781112">
              <w:rPr>
                <w:rFonts w:cs="Arial"/>
                <w:color w:val="000000" w:themeColor="text1"/>
                <w:szCs w:val="16"/>
              </w:rPr>
              <w:t>27.79</w:t>
            </w:r>
          </w:p>
        </w:tc>
        <w:tc>
          <w:tcPr>
            <w:tcW w:w="517" w:type="pct"/>
            <w:shd w:val="clear" w:color="auto" w:fill="auto"/>
            <w:vAlign w:val="center"/>
          </w:tcPr>
          <w:p w14:paraId="391F5142" w14:textId="770A7FE0" w:rsidR="00E22739" w:rsidRPr="00781112" w:rsidRDefault="00E22739" w:rsidP="00E22739">
            <w:pPr>
              <w:jc w:val="center"/>
              <w:rPr>
                <w:rFonts w:cs="Arial"/>
                <w:color w:val="000000" w:themeColor="text1"/>
                <w:szCs w:val="16"/>
              </w:rPr>
            </w:pPr>
            <w:r w:rsidRPr="00781112">
              <w:rPr>
                <w:rFonts w:cs="Arial"/>
                <w:color w:val="000000" w:themeColor="text1"/>
                <w:szCs w:val="16"/>
              </w:rPr>
              <w:t>28.50</w:t>
            </w:r>
          </w:p>
        </w:tc>
        <w:tc>
          <w:tcPr>
            <w:tcW w:w="517" w:type="pct"/>
            <w:shd w:val="clear" w:color="auto" w:fill="auto"/>
            <w:vAlign w:val="center"/>
          </w:tcPr>
          <w:p w14:paraId="017D29FF" w14:textId="59A06573" w:rsidR="00E22739" w:rsidRPr="00781112" w:rsidRDefault="00E22739" w:rsidP="00E22739">
            <w:pPr>
              <w:jc w:val="center"/>
              <w:rPr>
                <w:rFonts w:cs="Arial"/>
                <w:color w:val="000000" w:themeColor="text1"/>
                <w:szCs w:val="16"/>
              </w:rPr>
            </w:pPr>
            <w:r w:rsidRPr="00781112">
              <w:rPr>
                <w:rFonts w:cs="Arial"/>
                <w:color w:val="000000" w:themeColor="text1"/>
                <w:szCs w:val="16"/>
              </w:rPr>
              <w:t>27.96</w:t>
            </w:r>
          </w:p>
        </w:tc>
        <w:tc>
          <w:tcPr>
            <w:tcW w:w="517" w:type="pct"/>
            <w:shd w:val="clear" w:color="auto" w:fill="auto"/>
            <w:vAlign w:val="center"/>
          </w:tcPr>
          <w:p w14:paraId="39C0C705" w14:textId="1211FD2B" w:rsidR="00E22739" w:rsidRPr="00781112" w:rsidRDefault="00E22739" w:rsidP="00E22739">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14:paraId="339FEB2D" w14:textId="0223F580"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FDDF1FC" w14:textId="77777777" w:rsidTr="00360DD6">
        <w:tc>
          <w:tcPr>
            <w:tcW w:w="331" w:type="pct"/>
            <w:shd w:val="clear" w:color="auto" w:fill="auto"/>
            <w:vAlign w:val="center"/>
          </w:tcPr>
          <w:p w14:paraId="472CE57B"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206C7DCC" w14:textId="37A252FA"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8</w:t>
            </w:r>
          </w:p>
        </w:tc>
        <w:tc>
          <w:tcPr>
            <w:tcW w:w="812" w:type="pct"/>
            <w:shd w:val="clear" w:color="auto" w:fill="auto"/>
          </w:tcPr>
          <w:p w14:paraId="7D22B3FA" w14:textId="258C0B1D" w:rsidR="00E22739" w:rsidRPr="00781112" w:rsidRDefault="00E22739" w:rsidP="00E22739">
            <w:pPr>
              <w:jc w:val="center"/>
              <w:rPr>
                <w:rFonts w:cs="Arial"/>
                <w:color w:val="000000" w:themeColor="text1"/>
                <w:szCs w:val="16"/>
              </w:rPr>
            </w:pPr>
            <w:r w:rsidRPr="00781112">
              <w:rPr>
                <w:rFonts w:cs="Arial"/>
                <w:color w:val="000000"/>
                <w:szCs w:val="16"/>
              </w:rPr>
              <w:t>9.27%</w:t>
            </w:r>
          </w:p>
        </w:tc>
        <w:tc>
          <w:tcPr>
            <w:tcW w:w="812" w:type="pct"/>
            <w:shd w:val="clear" w:color="auto" w:fill="auto"/>
            <w:vAlign w:val="center"/>
          </w:tcPr>
          <w:p w14:paraId="375F78DA" w14:textId="0FC6397A" w:rsidR="00E22739" w:rsidRPr="00781112" w:rsidRDefault="00E22739" w:rsidP="00E22739">
            <w:pPr>
              <w:jc w:val="center"/>
              <w:rPr>
                <w:rFonts w:cs="Arial"/>
                <w:color w:val="000000" w:themeColor="text1"/>
                <w:szCs w:val="16"/>
              </w:rPr>
            </w:pPr>
            <w:r w:rsidRPr="00781112">
              <w:rPr>
                <w:rFonts w:cs="Arial"/>
                <w:color w:val="000000" w:themeColor="text1"/>
                <w:szCs w:val="16"/>
              </w:rPr>
              <w:t>40.24%</w:t>
            </w:r>
          </w:p>
        </w:tc>
        <w:tc>
          <w:tcPr>
            <w:tcW w:w="516" w:type="pct"/>
            <w:shd w:val="clear" w:color="auto" w:fill="auto"/>
            <w:vAlign w:val="center"/>
          </w:tcPr>
          <w:p w14:paraId="64AC26EC" w14:textId="4F9A3CF6" w:rsidR="00E22739" w:rsidRPr="00781112" w:rsidRDefault="00E22739" w:rsidP="00E22739">
            <w:pPr>
              <w:jc w:val="center"/>
              <w:rPr>
                <w:rFonts w:cs="Arial"/>
                <w:color w:val="000000" w:themeColor="text1"/>
                <w:szCs w:val="16"/>
              </w:rPr>
            </w:pPr>
            <w:r w:rsidRPr="00781112">
              <w:rPr>
                <w:rFonts w:cs="Arial"/>
                <w:color w:val="000000" w:themeColor="text1"/>
                <w:szCs w:val="16"/>
              </w:rPr>
              <w:t>34.04</w:t>
            </w:r>
          </w:p>
        </w:tc>
        <w:tc>
          <w:tcPr>
            <w:tcW w:w="517" w:type="pct"/>
            <w:shd w:val="clear" w:color="auto" w:fill="auto"/>
            <w:vAlign w:val="center"/>
          </w:tcPr>
          <w:p w14:paraId="3B5E22DF" w14:textId="033CD131" w:rsidR="00E22739" w:rsidRPr="00781112" w:rsidRDefault="00E22739" w:rsidP="00E22739">
            <w:pPr>
              <w:jc w:val="center"/>
              <w:rPr>
                <w:rFonts w:cs="Arial"/>
                <w:color w:val="000000" w:themeColor="text1"/>
                <w:szCs w:val="16"/>
              </w:rPr>
            </w:pPr>
            <w:r w:rsidRPr="00781112">
              <w:rPr>
                <w:rFonts w:cs="Arial"/>
                <w:color w:val="000000" w:themeColor="text1"/>
                <w:szCs w:val="16"/>
              </w:rPr>
              <w:t>34.50</w:t>
            </w:r>
          </w:p>
        </w:tc>
        <w:tc>
          <w:tcPr>
            <w:tcW w:w="517" w:type="pct"/>
            <w:shd w:val="clear" w:color="auto" w:fill="auto"/>
            <w:vAlign w:val="center"/>
          </w:tcPr>
          <w:p w14:paraId="256C9782" w14:textId="4BEEC361" w:rsidR="00E22739" w:rsidRPr="00781112" w:rsidRDefault="00E22739" w:rsidP="00E22739">
            <w:pPr>
              <w:jc w:val="center"/>
              <w:rPr>
                <w:rFonts w:cs="Arial"/>
                <w:color w:val="000000" w:themeColor="text1"/>
                <w:szCs w:val="16"/>
              </w:rPr>
            </w:pPr>
            <w:r w:rsidRPr="00781112">
              <w:rPr>
                <w:rFonts w:cs="Arial"/>
                <w:color w:val="000000" w:themeColor="text1"/>
                <w:szCs w:val="16"/>
              </w:rPr>
              <w:t>30.97</w:t>
            </w:r>
          </w:p>
        </w:tc>
        <w:tc>
          <w:tcPr>
            <w:tcW w:w="517" w:type="pct"/>
            <w:shd w:val="clear" w:color="auto" w:fill="auto"/>
            <w:vAlign w:val="center"/>
          </w:tcPr>
          <w:p w14:paraId="51FD2F8A" w14:textId="67567519" w:rsidR="00E22739" w:rsidRPr="00781112" w:rsidRDefault="00E22739" w:rsidP="00E22739">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14:paraId="7915AEC0" w14:textId="2BE183B0"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A60F932" w14:textId="77777777" w:rsidTr="00360DD6">
        <w:tc>
          <w:tcPr>
            <w:tcW w:w="331" w:type="pct"/>
            <w:shd w:val="clear" w:color="auto" w:fill="auto"/>
            <w:vAlign w:val="center"/>
          </w:tcPr>
          <w:p w14:paraId="109942AA"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629F3FBC" w14:textId="78934061"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HS</w:t>
            </w:r>
          </w:p>
        </w:tc>
        <w:tc>
          <w:tcPr>
            <w:tcW w:w="812" w:type="pct"/>
            <w:shd w:val="clear" w:color="auto" w:fill="auto"/>
          </w:tcPr>
          <w:p w14:paraId="125CF02F" w14:textId="284CB419" w:rsidR="00E22739" w:rsidRPr="00781112" w:rsidRDefault="00E22739" w:rsidP="00E22739">
            <w:pPr>
              <w:jc w:val="center"/>
              <w:rPr>
                <w:rFonts w:cs="Arial"/>
                <w:color w:val="000000" w:themeColor="text1"/>
                <w:szCs w:val="16"/>
              </w:rPr>
            </w:pPr>
            <w:r w:rsidRPr="00781112">
              <w:rPr>
                <w:rFonts w:cs="Arial"/>
                <w:color w:val="000000"/>
                <w:szCs w:val="16"/>
              </w:rPr>
              <w:t>10.49%</w:t>
            </w:r>
          </w:p>
        </w:tc>
        <w:tc>
          <w:tcPr>
            <w:tcW w:w="812" w:type="pct"/>
            <w:shd w:val="clear" w:color="auto" w:fill="auto"/>
            <w:vAlign w:val="center"/>
          </w:tcPr>
          <w:p w14:paraId="1276E93C" w14:textId="75BFB41B" w:rsidR="00E22739" w:rsidRPr="00781112" w:rsidRDefault="00E22739" w:rsidP="00E22739">
            <w:pPr>
              <w:jc w:val="center"/>
              <w:rPr>
                <w:rFonts w:cs="Arial"/>
                <w:color w:val="000000" w:themeColor="text1"/>
                <w:szCs w:val="16"/>
              </w:rPr>
            </w:pPr>
            <w:r w:rsidRPr="00781112">
              <w:rPr>
                <w:rFonts w:cs="Arial"/>
                <w:color w:val="000000" w:themeColor="text1"/>
                <w:szCs w:val="16"/>
              </w:rPr>
              <w:t>50.23%</w:t>
            </w:r>
          </w:p>
        </w:tc>
        <w:tc>
          <w:tcPr>
            <w:tcW w:w="516" w:type="pct"/>
            <w:shd w:val="clear" w:color="auto" w:fill="auto"/>
            <w:vAlign w:val="center"/>
          </w:tcPr>
          <w:p w14:paraId="76DE5213" w14:textId="3C97B5A2" w:rsidR="00E22739" w:rsidRPr="00781112" w:rsidRDefault="00E22739" w:rsidP="00E22739">
            <w:pPr>
              <w:jc w:val="center"/>
              <w:rPr>
                <w:rFonts w:cs="Arial"/>
                <w:color w:val="000000" w:themeColor="text1"/>
                <w:szCs w:val="16"/>
              </w:rPr>
            </w:pPr>
            <w:r w:rsidRPr="00781112">
              <w:rPr>
                <w:rFonts w:cs="Arial"/>
                <w:color w:val="000000" w:themeColor="text1"/>
                <w:szCs w:val="16"/>
              </w:rPr>
              <w:t>40.24</w:t>
            </w:r>
          </w:p>
        </w:tc>
        <w:tc>
          <w:tcPr>
            <w:tcW w:w="517" w:type="pct"/>
            <w:shd w:val="clear" w:color="auto" w:fill="auto"/>
            <w:vAlign w:val="center"/>
          </w:tcPr>
          <w:p w14:paraId="49FF9458" w14:textId="166D5425" w:rsidR="00E22739" w:rsidRPr="00781112" w:rsidRDefault="00E22739" w:rsidP="00E22739">
            <w:pPr>
              <w:jc w:val="center"/>
              <w:rPr>
                <w:rFonts w:cs="Arial"/>
                <w:color w:val="000000" w:themeColor="text1"/>
                <w:szCs w:val="16"/>
              </w:rPr>
            </w:pPr>
            <w:r w:rsidRPr="00781112">
              <w:rPr>
                <w:rFonts w:cs="Arial"/>
                <w:color w:val="000000" w:themeColor="text1"/>
                <w:szCs w:val="16"/>
              </w:rPr>
              <w:t>40.00</w:t>
            </w:r>
          </w:p>
        </w:tc>
        <w:tc>
          <w:tcPr>
            <w:tcW w:w="517" w:type="pct"/>
            <w:shd w:val="clear" w:color="auto" w:fill="auto"/>
            <w:vAlign w:val="center"/>
          </w:tcPr>
          <w:p w14:paraId="6CEACE1B" w14:textId="242A6B31" w:rsidR="00E22739" w:rsidRPr="00781112" w:rsidRDefault="00E22739" w:rsidP="00E22739">
            <w:pPr>
              <w:jc w:val="center"/>
              <w:rPr>
                <w:rFonts w:cs="Arial"/>
                <w:color w:val="000000" w:themeColor="text1"/>
                <w:szCs w:val="16"/>
              </w:rPr>
            </w:pPr>
            <w:r w:rsidRPr="00781112">
              <w:rPr>
                <w:rFonts w:cs="Arial"/>
                <w:color w:val="000000" w:themeColor="text1"/>
                <w:szCs w:val="16"/>
              </w:rPr>
              <w:t>39.74</w:t>
            </w:r>
          </w:p>
        </w:tc>
        <w:tc>
          <w:tcPr>
            <w:tcW w:w="517" w:type="pct"/>
            <w:shd w:val="clear" w:color="auto" w:fill="auto"/>
            <w:vAlign w:val="center"/>
          </w:tcPr>
          <w:p w14:paraId="06F1CF5C" w14:textId="7AA9C548" w:rsidR="00E22739" w:rsidRPr="00781112" w:rsidRDefault="00E22739" w:rsidP="00E22739">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14:paraId="05AC9F1E" w14:textId="1D3DD5BD"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bl>
    <w:p w14:paraId="006E999D" w14:textId="77777777" w:rsidR="00DD5B7A" w:rsidRPr="00781112" w:rsidRDefault="00DD5B7A" w:rsidP="00FE4611">
      <w:pPr>
        <w:spacing w:before="0" w:after="0" w:line="276" w:lineRule="auto"/>
        <w:rPr>
          <w:b/>
          <w:color w:val="000000" w:themeColor="text1"/>
        </w:rPr>
      </w:pPr>
    </w:p>
    <w:p w14:paraId="2E07CCBD" w14:textId="6A8FF504" w:rsidR="00DD5B7A" w:rsidRPr="00781112" w:rsidRDefault="0047313F" w:rsidP="00DD5B7A">
      <w:pPr>
        <w:rPr>
          <w:b/>
          <w:color w:val="000000" w:themeColor="text1"/>
        </w:rPr>
      </w:pPr>
      <w:r>
        <w:rPr>
          <w:b/>
          <w:color w:val="000000" w:themeColor="text1"/>
        </w:rPr>
        <w:t>FFY 2023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DATAMTH"/>
      </w:tblPr>
      <w:tblGrid>
        <w:gridCol w:w="715"/>
        <w:gridCol w:w="995"/>
        <w:gridCol w:w="1800"/>
        <w:gridCol w:w="1800"/>
        <w:gridCol w:w="1096"/>
        <w:gridCol w:w="1096"/>
        <w:gridCol w:w="1096"/>
        <w:gridCol w:w="1096"/>
        <w:gridCol w:w="1096"/>
      </w:tblGrid>
      <w:tr w:rsidR="00FA33C9" w:rsidRPr="00781112" w14:paraId="6355AB57" w14:textId="77777777" w:rsidTr="001B7E95">
        <w:trPr>
          <w:tblHeader/>
        </w:trPr>
        <w:tc>
          <w:tcPr>
            <w:tcW w:w="331" w:type="pct"/>
            <w:shd w:val="clear" w:color="auto" w:fill="auto"/>
            <w:vAlign w:val="bottom"/>
          </w:tcPr>
          <w:p w14:paraId="7C464B0B"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shd w:val="clear" w:color="auto" w:fill="auto"/>
            <w:vAlign w:val="bottom"/>
          </w:tcPr>
          <w:p w14:paraId="2FB9EF47" w14:textId="77777777" w:rsidR="00FA33C9" w:rsidRPr="00781112" w:rsidRDefault="00FA33C9" w:rsidP="00FA33C9">
            <w:pPr>
              <w:jc w:val="center"/>
              <w:rPr>
                <w:b/>
                <w:color w:val="000000" w:themeColor="text1"/>
              </w:rPr>
            </w:pPr>
            <w:r w:rsidRPr="00781112">
              <w:rPr>
                <w:b/>
                <w:color w:val="000000" w:themeColor="text1"/>
              </w:rPr>
              <w:t>Group Name</w:t>
            </w:r>
          </w:p>
        </w:tc>
        <w:tc>
          <w:tcPr>
            <w:tcW w:w="834" w:type="pct"/>
            <w:shd w:val="clear" w:color="auto" w:fill="auto"/>
            <w:vAlign w:val="bottom"/>
          </w:tcPr>
          <w:p w14:paraId="0B1D45D9" w14:textId="51C28093"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34" w:type="pct"/>
            <w:shd w:val="clear" w:color="auto" w:fill="auto"/>
            <w:vAlign w:val="bottom"/>
          </w:tcPr>
          <w:p w14:paraId="7D0D3B25" w14:textId="708C001A"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08" w:type="pct"/>
            <w:shd w:val="clear" w:color="auto" w:fill="auto"/>
            <w:vAlign w:val="bottom"/>
          </w:tcPr>
          <w:p w14:paraId="7FA2E5CF" w14:textId="2FB79BC8" w:rsidR="00FA33C9" w:rsidRPr="00073BD7" w:rsidRDefault="00FA33C9" w:rsidP="00FA33C9">
            <w:pPr>
              <w:jc w:val="center"/>
              <w:rPr>
                <w:b/>
                <w:bCs/>
                <w:color w:val="000000" w:themeColor="text1"/>
              </w:rPr>
            </w:pPr>
            <w:r w:rsidRPr="00073BD7">
              <w:rPr>
                <w:b/>
                <w:bCs/>
              </w:rPr>
              <w:t>FFY 2022 Data</w:t>
            </w:r>
          </w:p>
        </w:tc>
        <w:tc>
          <w:tcPr>
            <w:tcW w:w="508" w:type="pct"/>
            <w:shd w:val="clear" w:color="auto" w:fill="auto"/>
            <w:vAlign w:val="bottom"/>
          </w:tcPr>
          <w:p w14:paraId="275741A5" w14:textId="31E00EC4" w:rsidR="00FA33C9" w:rsidRPr="00073BD7" w:rsidRDefault="00FA33C9" w:rsidP="00FA33C9">
            <w:pPr>
              <w:jc w:val="center"/>
              <w:rPr>
                <w:b/>
                <w:bCs/>
                <w:color w:val="000000" w:themeColor="text1"/>
              </w:rPr>
            </w:pPr>
            <w:r w:rsidRPr="00073BD7">
              <w:rPr>
                <w:b/>
                <w:bCs/>
              </w:rPr>
              <w:t>FFY 2023 Target</w:t>
            </w:r>
          </w:p>
        </w:tc>
        <w:tc>
          <w:tcPr>
            <w:tcW w:w="508" w:type="pct"/>
            <w:shd w:val="clear" w:color="auto" w:fill="auto"/>
            <w:vAlign w:val="bottom"/>
          </w:tcPr>
          <w:p w14:paraId="597E0BC4" w14:textId="7BA33723" w:rsidR="00FA33C9" w:rsidRPr="00073BD7" w:rsidRDefault="00FA33C9" w:rsidP="00FA33C9">
            <w:pPr>
              <w:jc w:val="center"/>
              <w:rPr>
                <w:b/>
                <w:bCs/>
                <w:color w:val="000000" w:themeColor="text1"/>
              </w:rPr>
            </w:pPr>
            <w:r w:rsidRPr="00073BD7">
              <w:rPr>
                <w:b/>
                <w:bCs/>
              </w:rPr>
              <w:t>FFY 2023 Data</w:t>
            </w:r>
          </w:p>
        </w:tc>
        <w:tc>
          <w:tcPr>
            <w:tcW w:w="508" w:type="pct"/>
            <w:shd w:val="clear" w:color="auto" w:fill="auto"/>
            <w:vAlign w:val="bottom"/>
          </w:tcPr>
          <w:p w14:paraId="53963A37" w14:textId="77777777" w:rsidR="00FA33C9" w:rsidRPr="00781112" w:rsidRDefault="00FA33C9" w:rsidP="00FA33C9">
            <w:pPr>
              <w:jc w:val="center"/>
              <w:rPr>
                <w:b/>
                <w:color w:val="000000" w:themeColor="text1"/>
              </w:rPr>
            </w:pPr>
            <w:r w:rsidRPr="00781112">
              <w:rPr>
                <w:b/>
                <w:color w:val="000000" w:themeColor="text1"/>
              </w:rPr>
              <w:t>Status</w:t>
            </w:r>
          </w:p>
        </w:tc>
        <w:tc>
          <w:tcPr>
            <w:tcW w:w="508" w:type="pct"/>
            <w:shd w:val="clear" w:color="auto" w:fill="auto"/>
            <w:vAlign w:val="bottom"/>
          </w:tcPr>
          <w:p w14:paraId="45442BEB" w14:textId="77777777" w:rsidR="00FA33C9" w:rsidRPr="00781112" w:rsidRDefault="00FA33C9" w:rsidP="00FA33C9">
            <w:pPr>
              <w:jc w:val="center"/>
              <w:rPr>
                <w:b/>
                <w:color w:val="000000" w:themeColor="text1"/>
              </w:rPr>
            </w:pPr>
            <w:r w:rsidRPr="00781112">
              <w:rPr>
                <w:b/>
                <w:color w:val="000000" w:themeColor="text1"/>
              </w:rPr>
              <w:t>Slippage</w:t>
            </w:r>
          </w:p>
        </w:tc>
      </w:tr>
      <w:tr w:rsidR="00C95D2E" w:rsidRPr="00781112" w14:paraId="37123996" w14:textId="77777777" w:rsidTr="001B7E95">
        <w:tc>
          <w:tcPr>
            <w:tcW w:w="331" w:type="pct"/>
            <w:shd w:val="clear" w:color="auto" w:fill="auto"/>
            <w:vAlign w:val="center"/>
          </w:tcPr>
          <w:p w14:paraId="689B01B1"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1D9CE262" w14:textId="508A4023"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26A57F7A" w14:textId="09E9CA5E" w:rsidR="002A19C8" w:rsidRPr="00781112" w:rsidRDefault="002A19C8" w:rsidP="002A19C8">
            <w:pPr>
              <w:jc w:val="center"/>
              <w:rPr>
                <w:rFonts w:cs="Arial"/>
                <w:color w:val="000000" w:themeColor="text1"/>
                <w:szCs w:val="16"/>
              </w:rPr>
            </w:pPr>
            <w:r w:rsidRPr="00781112">
              <w:rPr>
                <w:rFonts w:cs="Arial"/>
                <w:color w:val="000000"/>
                <w:szCs w:val="16"/>
              </w:rPr>
              <w:t>19.82%</w:t>
            </w:r>
          </w:p>
        </w:tc>
        <w:tc>
          <w:tcPr>
            <w:tcW w:w="834" w:type="pct"/>
            <w:shd w:val="clear" w:color="auto" w:fill="auto"/>
            <w:vAlign w:val="center"/>
          </w:tcPr>
          <w:p w14:paraId="361835CD" w14:textId="59029D06" w:rsidR="002A19C8" w:rsidRPr="00781112" w:rsidRDefault="002A19C8" w:rsidP="002A19C8">
            <w:pPr>
              <w:jc w:val="center"/>
              <w:rPr>
                <w:rFonts w:cs="Arial"/>
                <w:color w:val="000000" w:themeColor="text1"/>
                <w:szCs w:val="16"/>
              </w:rPr>
            </w:pPr>
            <w:r w:rsidRPr="00781112">
              <w:rPr>
                <w:rFonts w:cs="Arial"/>
                <w:color w:val="000000" w:themeColor="text1"/>
                <w:szCs w:val="16"/>
              </w:rPr>
              <w:t>47.03%</w:t>
            </w:r>
          </w:p>
        </w:tc>
        <w:tc>
          <w:tcPr>
            <w:tcW w:w="508" w:type="pct"/>
            <w:shd w:val="clear" w:color="auto" w:fill="auto"/>
            <w:vAlign w:val="center"/>
          </w:tcPr>
          <w:p w14:paraId="59D4C214" w14:textId="5AA8261A" w:rsidR="002A19C8" w:rsidRPr="00781112" w:rsidRDefault="002A19C8" w:rsidP="002A19C8">
            <w:pPr>
              <w:jc w:val="center"/>
              <w:rPr>
                <w:rFonts w:cs="Arial"/>
                <w:color w:val="000000" w:themeColor="text1"/>
                <w:szCs w:val="16"/>
              </w:rPr>
            </w:pPr>
            <w:r w:rsidRPr="00781112">
              <w:rPr>
                <w:rFonts w:cs="Arial"/>
                <w:color w:val="000000" w:themeColor="text1"/>
                <w:szCs w:val="16"/>
              </w:rPr>
              <w:t>26.14</w:t>
            </w:r>
          </w:p>
        </w:tc>
        <w:tc>
          <w:tcPr>
            <w:tcW w:w="508" w:type="pct"/>
            <w:shd w:val="clear" w:color="auto" w:fill="auto"/>
            <w:vAlign w:val="center"/>
          </w:tcPr>
          <w:p w14:paraId="5226537A" w14:textId="04AA78B1" w:rsidR="002A19C8" w:rsidRPr="00781112" w:rsidRDefault="002A19C8" w:rsidP="002A19C8">
            <w:pPr>
              <w:jc w:val="center"/>
              <w:rPr>
                <w:rFonts w:cs="Arial"/>
                <w:color w:val="000000" w:themeColor="text1"/>
                <w:szCs w:val="16"/>
              </w:rPr>
            </w:pPr>
            <w:r w:rsidRPr="00781112">
              <w:rPr>
                <w:rFonts w:cs="Arial"/>
                <w:color w:val="000000" w:themeColor="text1"/>
                <w:szCs w:val="16"/>
              </w:rPr>
              <w:t>26.50</w:t>
            </w:r>
          </w:p>
        </w:tc>
        <w:tc>
          <w:tcPr>
            <w:tcW w:w="508" w:type="pct"/>
            <w:shd w:val="clear" w:color="auto" w:fill="auto"/>
            <w:vAlign w:val="center"/>
          </w:tcPr>
          <w:p w14:paraId="235D63D6" w14:textId="6BEC0204" w:rsidR="002A19C8" w:rsidRPr="00781112" w:rsidRDefault="002A19C8" w:rsidP="002A19C8">
            <w:pPr>
              <w:jc w:val="center"/>
              <w:rPr>
                <w:rFonts w:cs="Arial"/>
                <w:color w:val="000000" w:themeColor="text1"/>
                <w:szCs w:val="16"/>
              </w:rPr>
            </w:pPr>
            <w:r w:rsidRPr="00781112">
              <w:rPr>
                <w:rFonts w:cs="Arial"/>
                <w:color w:val="000000" w:themeColor="text1"/>
                <w:szCs w:val="16"/>
              </w:rPr>
              <w:t>27.21</w:t>
            </w:r>
          </w:p>
        </w:tc>
        <w:tc>
          <w:tcPr>
            <w:tcW w:w="508" w:type="pct"/>
            <w:shd w:val="clear" w:color="auto" w:fill="auto"/>
            <w:vAlign w:val="center"/>
          </w:tcPr>
          <w:p w14:paraId="50CBCD87" w14:textId="7E9D9F0C" w:rsidR="002A19C8" w:rsidRPr="00781112" w:rsidRDefault="002A19C8" w:rsidP="002A19C8">
            <w:pPr>
              <w:jc w:val="center"/>
              <w:rPr>
                <w:rFonts w:cs="Arial"/>
                <w:color w:val="000000" w:themeColor="text1"/>
                <w:szCs w:val="16"/>
              </w:rPr>
            </w:pPr>
            <w:r w:rsidRPr="00781112">
              <w:rPr>
                <w:rFonts w:cs="Arial"/>
                <w:color w:val="000000" w:themeColor="text1"/>
                <w:szCs w:val="16"/>
              </w:rPr>
              <w:t>Did not meet target</w:t>
            </w:r>
          </w:p>
        </w:tc>
        <w:tc>
          <w:tcPr>
            <w:tcW w:w="508" w:type="pct"/>
            <w:shd w:val="clear" w:color="auto" w:fill="auto"/>
            <w:vAlign w:val="center"/>
          </w:tcPr>
          <w:p w14:paraId="35988424" w14:textId="54CE90DF" w:rsidR="002A19C8" w:rsidRPr="00781112" w:rsidRDefault="002A19C8" w:rsidP="002A19C8">
            <w:pPr>
              <w:jc w:val="center"/>
              <w:rPr>
                <w:rFonts w:cs="Arial"/>
                <w:color w:val="000000" w:themeColor="text1"/>
                <w:szCs w:val="16"/>
              </w:rPr>
            </w:pPr>
            <w:r w:rsidRPr="00781112">
              <w:rPr>
                <w:rFonts w:cs="Arial"/>
                <w:color w:val="000000" w:themeColor="text1"/>
                <w:szCs w:val="16"/>
              </w:rPr>
              <w:t>Slippage</w:t>
            </w:r>
          </w:p>
        </w:tc>
      </w:tr>
      <w:tr w:rsidR="00C95D2E" w:rsidRPr="00781112" w14:paraId="0DE5EFED" w14:textId="77777777" w:rsidTr="001B7E95">
        <w:tc>
          <w:tcPr>
            <w:tcW w:w="331" w:type="pct"/>
            <w:shd w:val="clear" w:color="auto" w:fill="auto"/>
            <w:vAlign w:val="center"/>
          </w:tcPr>
          <w:p w14:paraId="51380788"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6D85D6A7" w14:textId="5558F45F"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4288B43D" w14:textId="3B77409B" w:rsidR="002A19C8" w:rsidRPr="00781112" w:rsidRDefault="002A19C8" w:rsidP="002A19C8">
            <w:pPr>
              <w:jc w:val="center"/>
              <w:rPr>
                <w:rFonts w:cs="Arial"/>
                <w:color w:val="000000" w:themeColor="text1"/>
                <w:szCs w:val="16"/>
              </w:rPr>
            </w:pPr>
            <w:r w:rsidRPr="00781112">
              <w:rPr>
                <w:rFonts w:cs="Arial"/>
                <w:color w:val="000000"/>
                <w:szCs w:val="16"/>
              </w:rPr>
              <w:t>4.63%</w:t>
            </w:r>
          </w:p>
        </w:tc>
        <w:tc>
          <w:tcPr>
            <w:tcW w:w="834" w:type="pct"/>
            <w:shd w:val="clear" w:color="auto" w:fill="auto"/>
            <w:vAlign w:val="center"/>
          </w:tcPr>
          <w:p w14:paraId="11774D79" w14:textId="6519EED1" w:rsidR="002A19C8" w:rsidRPr="00781112" w:rsidRDefault="002A19C8" w:rsidP="002A19C8">
            <w:pPr>
              <w:jc w:val="center"/>
              <w:rPr>
                <w:rFonts w:cs="Arial"/>
                <w:color w:val="000000" w:themeColor="text1"/>
                <w:szCs w:val="16"/>
              </w:rPr>
            </w:pPr>
            <w:r w:rsidRPr="00781112">
              <w:rPr>
                <w:rFonts w:cs="Arial"/>
                <w:color w:val="000000" w:themeColor="text1"/>
                <w:szCs w:val="16"/>
              </w:rPr>
              <w:t>28.02%</w:t>
            </w:r>
          </w:p>
        </w:tc>
        <w:tc>
          <w:tcPr>
            <w:tcW w:w="508" w:type="pct"/>
            <w:shd w:val="clear" w:color="auto" w:fill="auto"/>
            <w:vAlign w:val="center"/>
          </w:tcPr>
          <w:p w14:paraId="28E3CF1C" w14:textId="69751C29" w:rsidR="002A19C8" w:rsidRPr="00781112" w:rsidRDefault="002A19C8" w:rsidP="002A19C8">
            <w:pPr>
              <w:jc w:val="center"/>
              <w:rPr>
                <w:rFonts w:cs="Arial"/>
                <w:color w:val="000000" w:themeColor="text1"/>
                <w:szCs w:val="16"/>
              </w:rPr>
            </w:pPr>
            <w:r w:rsidRPr="00781112">
              <w:rPr>
                <w:rFonts w:cs="Arial"/>
                <w:color w:val="000000" w:themeColor="text1"/>
                <w:szCs w:val="16"/>
              </w:rPr>
              <w:t>23.06</w:t>
            </w:r>
          </w:p>
        </w:tc>
        <w:tc>
          <w:tcPr>
            <w:tcW w:w="508" w:type="pct"/>
            <w:shd w:val="clear" w:color="auto" w:fill="auto"/>
            <w:vAlign w:val="center"/>
          </w:tcPr>
          <w:p w14:paraId="468D28D5" w14:textId="3BD9025E" w:rsidR="002A19C8" w:rsidRPr="00781112" w:rsidRDefault="002A19C8" w:rsidP="002A19C8">
            <w:pPr>
              <w:jc w:val="center"/>
              <w:rPr>
                <w:rFonts w:cs="Arial"/>
                <w:color w:val="000000" w:themeColor="text1"/>
                <w:szCs w:val="16"/>
              </w:rPr>
            </w:pPr>
            <w:r w:rsidRPr="00781112">
              <w:rPr>
                <w:rFonts w:cs="Arial"/>
                <w:color w:val="000000" w:themeColor="text1"/>
                <w:szCs w:val="16"/>
              </w:rPr>
              <w:t>27.50</w:t>
            </w:r>
          </w:p>
        </w:tc>
        <w:tc>
          <w:tcPr>
            <w:tcW w:w="508" w:type="pct"/>
            <w:shd w:val="clear" w:color="auto" w:fill="auto"/>
            <w:vAlign w:val="center"/>
          </w:tcPr>
          <w:p w14:paraId="30644E0B" w14:textId="37C215BA" w:rsidR="002A19C8" w:rsidRPr="00781112" w:rsidRDefault="002A19C8" w:rsidP="002A19C8">
            <w:pPr>
              <w:jc w:val="center"/>
              <w:rPr>
                <w:rFonts w:cs="Arial"/>
                <w:color w:val="000000" w:themeColor="text1"/>
                <w:szCs w:val="16"/>
              </w:rPr>
            </w:pPr>
            <w:r w:rsidRPr="00781112">
              <w:rPr>
                <w:rFonts w:cs="Arial"/>
                <w:color w:val="000000" w:themeColor="text1"/>
                <w:szCs w:val="16"/>
              </w:rPr>
              <w:t>23.39</w:t>
            </w:r>
          </w:p>
        </w:tc>
        <w:tc>
          <w:tcPr>
            <w:tcW w:w="508" w:type="pct"/>
            <w:shd w:val="clear" w:color="auto" w:fill="auto"/>
            <w:vAlign w:val="center"/>
          </w:tcPr>
          <w:p w14:paraId="1312CD99" w14:textId="5541B25D" w:rsidR="002A19C8" w:rsidRPr="00781112" w:rsidRDefault="002A19C8" w:rsidP="002A19C8">
            <w:pPr>
              <w:jc w:val="center"/>
              <w:rPr>
                <w:rFonts w:cs="Arial"/>
                <w:color w:val="000000" w:themeColor="text1"/>
                <w:szCs w:val="16"/>
              </w:rPr>
            </w:pPr>
            <w:r w:rsidRPr="00781112">
              <w:rPr>
                <w:rFonts w:cs="Arial"/>
                <w:color w:val="000000" w:themeColor="text1"/>
                <w:szCs w:val="16"/>
              </w:rPr>
              <w:t>Met target</w:t>
            </w:r>
          </w:p>
        </w:tc>
        <w:tc>
          <w:tcPr>
            <w:tcW w:w="508" w:type="pct"/>
            <w:shd w:val="clear" w:color="auto" w:fill="auto"/>
            <w:vAlign w:val="center"/>
          </w:tcPr>
          <w:p w14:paraId="536612A4" w14:textId="60F48CB2"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r w:rsidR="00C95D2E" w:rsidRPr="00781112" w14:paraId="36AFD504" w14:textId="77777777" w:rsidTr="001B7E95">
        <w:tc>
          <w:tcPr>
            <w:tcW w:w="331" w:type="pct"/>
            <w:shd w:val="clear" w:color="auto" w:fill="auto"/>
            <w:vAlign w:val="center"/>
          </w:tcPr>
          <w:p w14:paraId="4932227A"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236171D2" w14:textId="335C29F0"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6C585469" w14:textId="27CFD453" w:rsidR="002A19C8" w:rsidRPr="00781112" w:rsidRDefault="002A19C8" w:rsidP="002A19C8">
            <w:pPr>
              <w:jc w:val="center"/>
              <w:rPr>
                <w:rFonts w:cs="Arial"/>
                <w:color w:val="000000" w:themeColor="text1"/>
                <w:szCs w:val="16"/>
              </w:rPr>
            </w:pPr>
            <w:r w:rsidRPr="00781112">
              <w:rPr>
                <w:rFonts w:cs="Arial"/>
                <w:color w:val="000000"/>
                <w:szCs w:val="16"/>
              </w:rPr>
              <w:t>2.32%</w:t>
            </w:r>
          </w:p>
        </w:tc>
        <w:tc>
          <w:tcPr>
            <w:tcW w:w="834" w:type="pct"/>
            <w:shd w:val="clear" w:color="auto" w:fill="auto"/>
            <w:vAlign w:val="center"/>
          </w:tcPr>
          <w:p w14:paraId="13AB3928" w14:textId="234CBFA8" w:rsidR="002A19C8" w:rsidRPr="00781112" w:rsidRDefault="002A19C8" w:rsidP="002A19C8">
            <w:pPr>
              <w:jc w:val="center"/>
              <w:rPr>
                <w:rFonts w:cs="Arial"/>
                <w:color w:val="000000" w:themeColor="text1"/>
                <w:szCs w:val="16"/>
              </w:rPr>
            </w:pPr>
            <w:r w:rsidRPr="00781112">
              <w:rPr>
                <w:rFonts w:cs="Arial"/>
                <w:color w:val="000000" w:themeColor="text1"/>
                <w:szCs w:val="16"/>
              </w:rPr>
              <w:t>17.43%</w:t>
            </w:r>
          </w:p>
        </w:tc>
        <w:tc>
          <w:tcPr>
            <w:tcW w:w="508" w:type="pct"/>
            <w:shd w:val="clear" w:color="auto" w:fill="auto"/>
            <w:vAlign w:val="center"/>
          </w:tcPr>
          <w:p w14:paraId="2ABC747F" w14:textId="158D9570" w:rsidR="002A19C8" w:rsidRPr="00781112" w:rsidRDefault="002A19C8" w:rsidP="002A19C8">
            <w:pPr>
              <w:jc w:val="center"/>
              <w:rPr>
                <w:rFonts w:cs="Arial"/>
                <w:color w:val="000000" w:themeColor="text1"/>
                <w:szCs w:val="16"/>
              </w:rPr>
            </w:pPr>
            <w:r w:rsidRPr="00781112">
              <w:rPr>
                <w:rFonts w:cs="Arial"/>
                <w:color w:val="000000" w:themeColor="text1"/>
                <w:szCs w:val="16"/>
              </w:rPr>
              <w:t>19.14</w:t>
            </w:r>
          </w:p>
        </w:tc>
        <w:tc>
          <w:tcPr>
            <w:tcW w:w="508" w:type="pct"/>
            <w:shd w:val="clear" w:color="auto" w:fill="auto"/>
            <w:vAlign w:val="center"/>
          </w:tcPr>
          <w:p w14:paraId="1ACDF21F" w14:textId="6248B4E9" w:rsidR="002A19C8" w:rsidRPr="00781112" w:rsidRDefault="002A19C8" w:rsidP="002A19C8">
            <w:pPr>
              <w:jc w:val="center"/>
              <w:rPr>
                <w:rFonts w:cs="Arial"/>
                <w:color w:val="000000" w:themeColor="text1"/>
                <w:szCs w:val="16"/>
              </w:rPr>
            </w:pPr>
            <w:r w:rsidRPr="00781112">
              <w:rPr>
                <w:rFonts w:cs="Arial"/>
                <w:color w:val="000000" w:themeColor="text1"/>
                <w:szCs w:val="16"/>
              </w:rPr>
              <w:t>19.50</w:t>
            </w:r>
          </w:p>
        </w:tc>
        <w:tc>
          <w:tcPr>
            <w:tcW w:w="508" w:type="pct"/>
            <w:shd w:val="clear" w:color="auto" w:fill="auto"/>
            <w:vAlign w:val="center"/>
          </w:tcPr>
          <w:p w14:paraId="69CE5BC3" w14:textId="39D166D6" w:rsidR="002A19C8" w:rsidRPr="00781112" w:rsidRDefault="002A19C8" w:rsidP="002A19C8">
            <w:pPr>
              <w:jc w:val="center"/>
              <w:rPr>
                <w:rFonts w:cs="Arial"/>
                <w:color w:val="000000" w:themeColor="text1"/>
                <w:szCs w:val="16"/>
              </w:rPr>
            </w:pPr>
            <w:r w:rsidRPr="00781112">
              <w:rPr>
                <w:rFonts w:cs="Arial"/>
                <w:color w:val="000000" w:themeColor="text1"/>
                <w:szCs w:val="16"/>
              </w:rPr>
              <w:t>15.11</w:t>
            </w:r>
          </w:p>
        </w:tc>
        <w:tc>
          <w:tcPr>
            <w:tcW w:w="508" w:type="pct"/>
            <w:shd w:val="clear" w:color="auto" w:fill="auto"/>
            <w:vAlign w:val="center"/>
          </w:tcPr>
          <w:p w14:paraId="2CA33323" w14:textId="59FD6DC7" w:rsidR="002A19C8" w:rsidRPr="00781112" w:rsidRDefault="002A19C8" w:rsidP="002A19C8">
            <w:pPr>
              <w:jc w:val="center"/>
              <w:rPr>
                <w:rFonts w:cs="Arial"/>
                <w:color w:val="000000" w:themeColor="text1"/>
                <w:szCs w:val="16"/>
              </w:rPr>
            </w:pPr>
            <w:r w:rsidRPr="00781112">
              <w:rPr>
                <w:rFonts w:cs="Arial"/>
                <w:color w:val="000000" w:themeColor="text1"/>
                <w:szCs w:val="16"/>
              </w:rPr>
              <w:t>Met target</w:t>
            </w:r>
          </w:p>
        </w:tc>
        <w:tc>
          <w:tcPr>
            <w:tcW w:w="508" w:type="pct"/>
            <w:shd w:val="clear" w:color="auto" w:fill="auto"/>
            <w:vAlign w:val="center"/>
          </w:tcPr>
          <w:p w14:paraId="0BEDA3C1" w14:textId="6A01F324"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bl>
    <w:p w14:paraId="128BD33F" w14:textId="79412CBF" w:rsidR="00DD5B7A" w:rsidRPr="00781112" w:rsidRDefault="00DD5B7A" w:rsidP="00DD5B7A">
      <w:pPr>
        <w:rPr>
          <w:b/>
          <w:color w:val="000000" w:themeColor="text1"/>
        </w:rPr>
      </w:pPr>
      <w:r w:rsidRPr="00781112">
        <w:rPr>
          <w:b/>
          <w:color w:val="000000" w:themeColor="text1"/>
        </w:rPr>
        <w:t>Provide reasons for slippage for Group A, if applicable</w:t>
      </w:r>
    </w:p>
    <w:p w14:paraId="1933D4BB" w14:textId="701E9B2A" w:rsidR="00DD5B7A" w:rsidRPr="00781112" w:rsidRDefault="00DD5B7A" w:rsidP="00DD5B7A">
      <w:pPr>
        <w:rPr>
          <w:rFonts w:cs="Arial"/>
          <w:color w:val="000000" w:themeColor="text1"/>
          <w:szCs w:val="16"/>
        </w:rPr>
      </w:pPr>
      <w:r w:rsidRPr="00781112">
        <w:rPr>
          <w:rFonts w:cs="Arial"/>
          <w:color w:val="000000" w:themeColor="text1"/>
          <w:szCs w:val="16"/>
        </w:rPr>
        <w:t>The slippage for Grade 4 SWDs is due to a disproportionate rate of improvement for SWDs compared to all students. While the SWD proficiency rate increased by 0.87 percentage points (from 18.95% to 19.82%), the all-student proficiency rate also improved by 1.93 percentage points (from 45.10% to 47.03%). As a result, the gap between SWDs and all students widened from 26.14% in FFY 2022 to 27.21% in FFY 2023, a 1.07 percentage point increase.</w:t>
      </w:r>
      <w:r w:rsidRPr="00781112">
        <w:rPr>
          <w:rFonts w:cs="Arial"/>
          <w:color w:val="000000" w:themeColor="text1"/>
          <w:szCs w:val="16"/>
        </w:rPr>
        <w:br/>
      </w:r>
      <w:r w:rsidRPr="00781112">
        <w:rPr>
          <w:rFonts w:cs="Arial"/>
          <w:color w:val="000000" w:themeColor="text1"/>
          <w:szCs w:val="16"/>
        </w:rPr>
        <w:br/>
        <w:t>This widening gap suggests SWDs are not progressing at the same rate as their peers, potentially due to lack of fully certified special educators, which can lead to inconsistencies in specially designed instruction, delivery of evidence-based interventions, or variable implementation of supports. Among the 25 LEAs that did not meet the target, 10 LEAs (40%) had between 21.21% and 47.83% of their special educator staff "not fully certified" [Source: FS070 – Special Education Teachers (FTE), SY 2023-24]. The data highlight a potential need to examine and improve instructional strategies, IEP fidelity, and professional development for educators supporting SWDs.</w:t>
      </w:r>
      <w:r w:rsidRPr="00781112">
        <w:rPr>
          <w:rFonts w:cs="Arial"/>
          <w:color w:val="000000" w:themeColor="text1"/>
          <w:szCs w:val="16"/>
        </w:rPr>
        <w:br/>
      </w:r>
      <w:r w:rsidRPr="00781112">
        <w:rPr>
          <w:rFonts w:cs="Arial"/>
          <w:color w:val="000000" w:themeColor="text1"/>
          <w:szCs w:val="16"/>
        </w:rPr>
        <w:br/>
        <w:t>It is also important to note that these results reflect performance from two distinct student cohorts, as both the Grade 4 SWDs and the “all students” group assessed in FFY 2022 are not the same individuals as those assessed in FFY 2023. Therefore, the year-over-year comparisons provide insight into system-wide trends rather than longitudinal growth for a single cohort. Shifts in student composition within both groups, including varying academic needs and levels of support, may contribute to performance fluctuations.</w:t>
      </w:r>
    </w:p>
    <w:p w14:paraId="67B1DC74" w14:textId="77777777" w:rsidR="00DD5B7A" w:rsidRPr="00781112" w:rsidRDefault="00DD5B7A" w:rsidP="00FE4611">
      <w:pPr>
        <w:spacing w:before="0" w:after="0" w:line="276" w:lineRule="auto"/>
        <w:rPr>
          <w:b/>
          <w:color w:val="000000" w:themeColor="text1"/>
        </w:rPr>
      </w:pPr>
    </w:p>
    <w:p w14:paraId="2FF851DB" w14:textId="77777777" w:rsidR="00DD5B7A" w:rsidRPr="00781112" w:rsidRDefault="00DD5B7A" w:rsidP="00DD5B7A">
      <w:pPr>
        <w:rPr>
          <w:b/>
          <w:color w:val="000000" w:themeColor="text1"/>
        </w:rPr>
      </w:pPr>
      <w:r w:rsidRPr="00781112">
        <w:rPr>
          <w:b/>
          <w:color w:val="000000" w:themeColor="text1"/>
        </w:rPr>
        <w:t>Provide additional information about this indicator (optional)</w:t>
      </w:r>
    </w:p>
    <w:p w14:paraId="646908D0" w14:textId="2EB40E98" w:rsidR="00DD5B7A" w:rsidRPr="00781112" w:rsidRDefault="00DD5B7A" w:rsidP="00DD5B7A">
      <w:pPr>
        <w:rPr>
          <w:rFonts w:cs="Arial"/>
          <w:color w:val="000000" w:themeColor="text1"/>
          <w:szCs w:val="16"/>
        </w:rPr>
      </w:pPr>
    </w:p>
    <w:p w14:paraId="2ABFD82D" w14:textId="77777777" w:rsidR="00764DDE" w:rsidRPr="00781112" w:rsidRDefault="00764DDE" w:rsidP="00FE4611">
      <w:pPr>
        <w:spacing w:before="0" w:after="0" w:line="276" w:lineRule="auto"/>
        <w:rPr>
          <w:color w:val="000000" w:themeColor="text1"/>
          <w:szCs w:val="16"/>
        </w:rPr>
      </w:pPr>
    </w:p>
    <w:p w14:paraId="1CD50F37" w14:textId="6334E2E5" w:rsidR="00764DDE" w:rsidRPr="00781112" w:rsidRDefault="00764DDE" w:rsidP="00764DDE">
      <w:pPr>
        <w:pStyle w:val="Heading2"/>
      </w:pPr>
      <w:r w:rsidRPr="00781112">
        <w:t>3D - Prior FFY Required Actions</w:t>
      </w:r>
    </w:p>
    <w:p w14:paraId="34B574CB" w14:textId="14B02F6F" w:rsidR="00764DDE" w:rsidRPr="00781112" w:rsidRDefault="00764DDE" w:rsidP="00764DDE">
      <w:pPr>
        <w:rPr>
          <w:rFonts w:cs="Arial"/>
          <w:color w:val="000000" w:themeColor="text1"/>
          <w:szCs w:val="16"/>
        </w:rPr>
      </w:pPr>
      <w:r w:rsidRPr="00781112">
        <w:rPr>
          <w:rFonts w:cs="Arial"/>
          <w:color w:val="000000" w:themeColor="text1"/>
          <w:szCs w:val="16"/>
        </w:rPr>
        <w:t>None</w:t>
      </w:r>
    </w:p>
    <w:p w14:paraId="02AADAEE" w14:textId="09BE2C66" w:rsidR="00764DDE" w:rsidRPr="00781112" w:rsidRDefault="00764DDE" w:rsidP="00764DDE">
      <w:pPr>
        <w:pStyle w:val="Heading2"/>
      </w:pPr>
      <w:r w:rsidRPr="00781112">
        <w:t>3D - OSEP Response</w:t>
      </w:r>
    </w:p>
    <w:p w14:paraId="6F9D8957" w14:textId="2AADB119" w:rsidR="00764DDE" w:rsidRPr="00781112" w:rsidRDefault="00764DDE" w:rsidP="00764DDE">
      <w:pPr>
        <w:rPr>
          <w:rFonts w:cs="Arial"/>
          <w:color w:val="000000" w:themeColor="text1"/>
          <w:szCs w:val="16"/>
        </w:rPr>
      </w:pPr>
    </w:p>
    <w:p w14:paraId="09AAC73F" w14:textId="7E96F305" w:rsidR="00764DDE" w:rsidRPr="00781112" w:rsidRDefault="00764DDE" w:rsidP="00764DDE">
      <w:pPr>
        <w:pStyle w:val="Heading2"/>
      </w:pPr>
      <w:r w:rsidRPr="00781112">
        <w:t>3D - Required Actions</w:t>
      </w:r>
    </w:p>
    <w:p w14:paraId="77AA7102" w14:textId="5725FBB6" w:rsidR="00764DDE" w:rsidRPr="00781112" w:rsidRDefault="00764DDE" w:rsidP="00764DDE">
      <w:pPr>
        <w:rPr>
          <w:rFonts w:cs="Arial"/>
          <w:color w:val="000000" w:themeColor="text1"/>
          <w:szCs w:val="16"/>
        </w:rPr>
      </w:pPr>
    </w:p>
    <w:p w14:paraId="72857535" w14:textId="77777777" w:rsidR="00764DDE" w:rsidRPr="00781112" w:rsidRDefault="00764DDE">
      <w:pPr>
        <w:spacing w:before="0" w:after="200" w:line="276" w:lineRule="auto"/>
        <w:rPr>
          <w:rFonts w:eastAsiaTheme="majorEastAsia" w:cstheme="majorBidi"/>
          <w:b/>
          <w:bCs/>
          <w:color w:val="000000" w:themeColor="text1"/>
          <w:sz w:val="22"/>
          <w:szCs w:val="28"/>
        </w:rPr>
      </w:pPr>
      <w:r w:rsidRPr="00781112">
        <w:rPr>
          <w:color w:val="000000" w:themeColor="text1"/>
          <w:sz w:val="22"/>
        </w:rPr>
        <w:lastRenderedPageBreak/>
        <w:br w:type="page"/>
      </w:r>
    </w:p>
    <w:p w14:paraId="1E2B07DD" w14:textId="7F0EB6BD" w:rsidR="00D03701" w:rsidRPr="00781112" w:rsidRDefault="00D03701" w:rsidP="000444E2">
      <w:pPr>
        <w:pStyle w:val="Heading1"/>
        <w:rPr>
          <w:color w:val="000000" w:themeColor="text1"/>
          <w:sz w:val="22"/>
        </w:rPr>
      </w:pPr>
      <w:r w:rsidRPr="00781112">
        <w:rPr>
          <w:color w:val="000000" w:themeColor="text1"/>
          <w:sz w:val="22"/>
        </w:rPr>
        <w:lastRenderedPageBreak/>
        <w:t>Indicator 4A: Suspension/Expulsion</w:t>
      </w:r>
      <w:bookmarkEnd w:id="17"/>
      <w:bookmarkEnd w:id="18"/>
    </w:p>
    <w:p w14:paraId="6B24B370" w14:textId="6D3787F6" w:rsidR="006E5AE4" w:rsidRPr="002C274F" w:rsidRDefault="006E5AE4" w:rsidP="002C274F">
      <w:pPr>
        <w:rPr>
          <w:b/>
          <w:bCs/>
          <w:sz w:val="20"/>
          <w:szCs w:val="20"/>
        </w:rPr>
      </w:pPr>
      <w:bookmarkStart w:id="20" w:name="_Toc384383331"/>
      <w:bookmarkStart w:id="21" w:name="_Toc392159283"/>
      <w:r w:rsidRPr="002C274F">
        <w:rPr>
          <w:b/>
          <w:bCs/>
          <w:sz w:val="20"/>
          <w:szCs w:val="20"/>
        </w:rPr>
        <w:t xml:space="preserve">Instructions and Measurement </w:t>
      </w:r>
    </w:p>
    <w:p w14:paraId="73D979E8" w14:textId="6D1D1338" w:rsidR="00DD1D55" w:rsidRPr="00781112" w:rsidRDefault="00DD1D55"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1281AA40" w14:textId="5BDAB0D4" w:rsidR="000A5A2E" w:rsidRPr="00781112" w:rsidRDefault="00DD1D55" w:rsidP="00286BDF">
      <w:pPr>
        <w:rPr>
          <w:rFonts w:cs="Arial"/>
          <w:color w:val="000000" w:themeColor="text1"/>
          <w:szCs w:val="16"/>
        </w:rPr>
      </w:pPr>
      <w:r w:rsidRPr="00781112">
        <w:rPr>
          <w:rFonts w:cs="Arial"/>
          <w:b/>
          <w:color w:val="000000" w:themeColor="text1"/>
          <w:szCs w:val="16"/>
        </w:rPr>
        <w:t>Results Indicator:</w:t>
      </w:r>
      <w:r w:rsidR="00286BDF" w:rsidRPr="00781112">
        <w:rPr>
          <w:rFonts w:cs="Arial"/>
          <w:color w:val="000000" w:themeColor="text1"/>
          <w:szCs w:val="16"/>
        </w:rPr>
        <w:t xml:space="preserve"> </w:t>
      </w:r>
      <w:r w:rsidR="000A5A2E" w:rsidRPr="00781112">
        <w:rPr>
          <w:rFonts w:cs="Arial"/>
          <w:color w:val="000000" w:themeColor="text1"/>
          <w:szCs w:val="16"/>
        </w:rPr>
        <w:t>Rates of suspension and expulsion:</w:t>
      </w:r>
    </w:p>
    <w:p w14:paraId="075F6BB9" w14:textId="62CB55C8" w:rsidR="000A5A2E" w:rsidRPr="00781112" w:rsidRDefault="001D5BAF" w:rsidP="006A01BD">
      <w:pPr>
        <w:ind w:left="720"/>
        <w:rPr>
          <w:color w:val="000000" w:themeColor="text1"/>
        </w:rPr>
      </w:pPr>
      <w:r w:rsidRPr="00781112">
        <w:rPr>
          <w:rFonts w:cs="Arial"/>
          <w:color w:val="000000" w:themeColor="text1"/>
          <w:szCs w:val="16"/>
        </w:rPr>
        <w:t xml:space="preserve">A. Percent of </w:t>
      </w:r>
      <w:r w:rsidR="00752D76" w:rsidRPr="00781112">
        <w:rPr>
          <w:rFonts w:cs="Arial"/>
          <w:szCs w:val="16"/>
        </w:rPr>
        <w:t>local educational agencies (LEA)</w:t>
      </w:r>
      <w:r w:rsidRPr="00781112">
        <w:rPr>
          <w:rFonts w:cs="Arial"/>
          <w:color w:val="000000" w:themeColor="text1"/>
          <w:szCs w:val="16"/>
        </w:rPr>
        <w:t xml:space="preserve"> that have a significant discrepancy</w:t>
      </w:r>
      <w:r w:rsidR="00F46CC4" w:rsidRPr="00781112">
        <w:rPr>
          <w:rFonts w:cs="Arial"/>
          <w:szCs w:val="16"/>
        </w:rPr>
        <w:t>, as defined by the State,</w:t>
      </w:r>
      <w:r w:rsidRPr="00781112">
        <w:rPr>
          <w:rFonts w:cs="Arial"/>
          <w:color w:val="000000" w:themeColor="text1"/>
          <w:szCs w:val="16"/>
        </w:rPr>
        <w:t xml:space="preserve"> in the rate of suspensions and expulsions of greater than 10 days in a school </w:t>
      </w:r>
      <w:r w:rsidR="00DD1D55" w:rsidRPr="00781112">
        <w:rPr>
          <w:color w:val="000000" w:themeColor="text1"/>
        </w:rPr>
        <w:t>year for children with IEPs</w:t>
      </w:r>
      <w:r w:rsidR="00E97863" w:rsidRPr="00781112">
        <w:rPr>
          <w:color w:val="000000" w:themeColor="text1"/>
        </w:rPr>
        <w:t>; and</w:t>
      </w:r>
    </w:p>
    <w:p w14:paraId="269BA1CE" w14:textId="0C66D8C5" w:rsidR="00E97863" w:rsidRPr="002529C8" w:rsidRDefault="00BA66ED" w:rsidP="002529C8">
      <w:pPr>
        <w:ind w:left="720"/>
        <w:rPr>
          <w:rFonts w:cs="Arial"/>
          <w:szCs w:val="16"/>
        </w:rPr>
      </w:pPr>
      <w:r w:rsidRPr="00781112">
        <w:rPr>
          <w:rFonts w:cs="Arial"/>
          <w:color w:val="000000" w:themeColor="text1"/>
          <w:szCs w:val="16"/>
        </w:rPr>
        <w:t xml:space="preserve">B. </w:t>
      </w:r>
      <w:r w:rsidR="00E97863" w:rsidRPr="00856B0E">
        <w:rPr>
          <w:rFonts w:cs="Arial"/>
          <w:szCs w:val="16"/>
        </w:rPr>
        <w:t>Percent of LEAs that have:</w:t>
      </w:r>
      <w:r w:rsidR="00E97863" w:rsidRPr="00781112">
        <w:rPr>
          <w:rFonts w:cs="Arial"/>
          <w:szCs w:val="16"/>
        </w:rPr>
        <w:t xml:space="preserve"> (a) a significant discrepancy, as defined by the State, by race or ethnicity, in the rate of suspensions and</w:t>
      </w:r>
      <w:r w:rsidR="002529C8">
        <w:rPr>
          <w:rFonts w:cs="Arial"/>
          <w:szCs w:val="16"/>
        </w:rPr>
        <w:t xml:space="preserve"> </w:t>
      </w:r>
      <w:r w:rsidR="00E97863" w:rsidRPr="002529C8">
        <w:rPr>
          <w:rFonts w:cs="Arial"/>
          <w:szCs w:val="16"/>
        </w:rPr>
        <w:t>expulsions of greater than 10 days in a school year for</w:t>
      </w:r>
      <w:r w:rsidR="002529C8">
        <w:rPr>
          <w:rFonts w:cs="Arial"/>
          <w:szCs w:val="16"/>
        </w:rPr>
        <w:t xml:space="preserve"> </w:t>
      </w:r>
      <w:r w:rsidR="00E97863" w:rsidRPr="002529C8">
        <w:rPr>
          <w:rFonts w:cs="Arial"/>
          <w:szCs w:val="16"/>
        </w:rPr>
        <w:t>children with IEPs; and (b) policies, procedures or practices that contribute to the significant discrepancy, as defined by the State, and do not comply with requirements relating to the development</w:t>
      </w:r>
      <w:r w:rsidR="002529C8">
        <w:rPr>
          <w:rFonts w:cs="Arial"/>
          <w:szCs w:val="16"/>
        </w:rPr>
        <w:t xml:space="preserve"> </w:t>
      </w:r>
      <w:r w:rsidR="00E97863" w:rsidRPr="002529C8">
        <w:rPr>
          <w:rFonts w:cs="Arial"/>
          <w:szCs w:val="16"/>
        </w:rPr>
        <w:t>and implementation of IEPs, the use of positive behavioral interventions and supports, and procedural safeguards.</w:t>
      </w:r>
    </w:p>
    <w:p w14:paraId="104900D3" w14:textId="4D6824EB"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09801465" w14:textId="77777777" w:rsidR="000A5A2E" w:rsidRPr="00781112" w:rsidRDefault="000A5A2E" w:rsidP="004369B2">
      <w:pPr>
        <w:rPr>
          <w:color w:val="000000" w:themeColor="text1"/>
        </w:rPr>
      </w:pPr>
      <w:r w:rsidRPr="00781112">
        <w:rPr>
          <w:b/>
          <w:color w:val="000000" w:themeColor="text1"/>
        </w:rPr>
        <w:t>Data Source</w:t>
      </w:r>
    </w:p>
    <w:p w14:paraId="06368193" w14:textId="2006ADF5" w:rsidR="000A5A2E" w:rsidRPr="00781112" w:rsidRDefault="000A5A2E" w:rsidP="00286BDF">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74159870" w14:textId="77777777" w:rsidR="000A5A2E" w:rsidRPr="00781112" w:rsidRDefault="000A5A2E" w:rsidP="004369B2">
      <w:pPr>
        <w:rPr>
          <w:color w:val="000000" w:themeColor="text1"/>
        </w:rPr>
      </w:pPr>
      <w:r w:rsidRPr="00781112">
        <w:rPr>
          <w:b/>
          <w:color w:val="000000" w:themeColor="text1"/>
        </w:rPr>
        <w:t>Measurement</w:t>
      </w:r>
    </w:p>
    <w:p w14:paraId="5CD903C0" w14:textId="4C799C0D" w:rsidR="000A5A2E" w:rsidRPr="00781112" w:rsidRDefault="000A5A2E"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of </w:t>
      </w:r>
      <w:r w:rsidR="00315E88"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that meet the State-established n</w:t>
      </w:r>
      <w:r w:rsidR="0087130D" w:rsidRPr="00781112">
        <w:rPr>
          <w:rFonts w:cs="Arial"/>
          <w:color w:val="000000" w:themeColor="text1"/>
          <w:szCs w:val="16"/>
          <w:shd w:val="clear" w:color="auto" w:fill="FFFFFF"/>
        </w:rPr>
        <w:t xml:space="preserve"> </w:t>
      </w:r>
      <w:r w:rsidR="0087130D" w:rsidRPr="00781112">
        <w:rPr>
          <w:rFonts w:cs="Arial"/>
          <w:szCs w:val="16"/>
          <w:shd w:val="clear" w:color="auto" w:fill="FFFFFF"/>
        </w:rPr>
        <w:t>and/or cell</w:t>
      </w:r>
      <w:r w:rsidRPr="00781112">
        <w:rPr>
          <w:rFonts w:cs="Arial"/>
          <w:color w:val="000000" w:themeColor="text1"/>
          <w:szCs w:val="16"/>
          <w:shd w:val="clear" w:color="auto" w:fill="FFFFFF"/>
        </w:rPr>
        <w:t xml:space="preserve"> size (if applicable) that have a significant discrepancy</w:t>
      </w:r>
      <w:r w:rsidR="00770816" w:rsidRPr="00781112">
        <w:rPr>
          <w:rFonts w:cs="Arial"/>
          <w:color w:val="000000" w:themeColor="text1"/>
          <w:szCs w:val="16"/>
          <w:shd w:val="clear" w:color="auto" w:fill="FFFFFF"/>
        </w:rPr>
        <w:t xml:space="preserve">, </w:t>
      </w:r>
      <w:r w:rsidR="00770816" w:rsidRPr="00781112">
        <w:rPr>
          <w:rFonts w:cs="Arial"/>
          <w:szCs w:val="16"/>
          <w:shd w:val="clear" w:color="auto" w:fill="FFFFFF"/>
        </w:rPr>
        <w:t>as defined by the State,</w:t>
      </w:r>
      <w:r w:rsidRPr="00781112">
        <w:rPr>
          <w:rFonts w:cs="Arial"/>
          <w:color w:val="000000" w:themeColor="text1"/>
          <w:szCs w:val="16"/>
          <w:shd w:val="clear" w:color="auto" w:fill="FFFFFF"/>
        </w:rPr>
        <w:t xml:space="preserve"> in the rates of suspensions and expulsions for </w:t>
      </w:r>
      <w:r w:rsidR="001F6583"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1F6583" w:rsidRPr="00781112">
        <w:rPr>
          <w:rFonts w:cs="Arial"/>
          <w:color w:val="000000" w:themeColor="text1"/>
          <w:szCs w:val="16"/>
          <w:shd w:val="clear" w:color="auto" w:fill="FFFFFF"/>
        </w:rPr>
        <w:t xml:space="preserve">during </w:t>
      </w:r>
      <w:r w:rsidR="00041274" w:rsidRPr="00781112">
        <w:rPr>
          <w:rFonts w:cs="Arial"/>
          <w:color w:val="000000" w:themeColor="text1"/>
          <w:szCs w:val="16"/>
          <w:shd w:val="clear" w:color="auto" w:fill="FFFFFF"/>
        </w:rPr>
        <w:t xml:space="preserve">the </w:t>
      </w:r>
      <w:r w:rsidRPr="00781112">
        <w:rPr>
          <w:rFonts w:cs="Arial"/>
          <w:color w:val="000000" w:themeColor="text1"/>
          <w:szCs w:val="16"/>
          <w:shd w:val="clear" w:color="auto" w:fill="FFFFFF"/>
        </w:rPr>
        <w:t xml:space="preserve">school year of children with IEPs) divided by the (# of </w:t>
      </w:r>
      <w:r w:rsidR="00041274"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in the State that meet the State-established n</w:t>
      </w:r>
      <w:r w:rsidR="00041274" w:rsidRPr="00781112">
        <w:rPr>
          <w:rFonts w:cs="Arial"/>
          <w:color w:val="000000" w:themeColor="text1"/>
          <w:szCs w:val="16"/>
          <w:shd w:val="clear" w:color="auto" w:fill="FFFFFF"/>
        </w:rPr>
        <w:t xml:space="preserve"> and</w:t>
      </w:r>
      <w:r w:rsidR="00742DCB" w:rsidRPr="00781112">
        <w:rPr>
          <w:rFonts w:cs="Arial"/>
          <w:color w:val="000000" w:themeColor="text1"/>
          <w:szCs w:val="16"/>
          <w:shd w:val="clear" w:color="auto" w:fill="FFFFFF"/>
        </w:rPr>
        <w:t>/or cell</w:t>
      </w:r>
      <w:r w:rsidRPr="00781112">
        <w:rPr>
          <w:rFonts w:cs="Arial"/>
          <w:color w:val="000000" w:themeColor="text1"/>
          <w:szCs w:val="16"/>
          <w:shd w:val="clear" w:color="auto" w:fill="FFFFFF"/>
        </w:rPr>
        <w:t xml:space="preserve"> size (if applicable))</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4D7272B6" w14:textId="2A0B0F5F" w:rsidR="00636061" w:rsidRPr="00781112" w:rsidRDefault="00636061"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0C71C487" w14:textId="316E6449" w:rsidR="000A5A2E" w:rsidRPr="00781112" w:rsidRDefault="000A5A2E" w:rsidP="004369B2">
      <w:pPr>
        <w:rPr>
          <w:color w:val="000000" w:themeColor="text1"/>
        </w:rPr>
      </w:pPr>
      <w:r w:rsidRPr="00781112">
        <w:rPr>
          <w:b/>
          <w:color w:val="000000" w:themeColor="text1"/>
        </w:rPr>
        <w:t>Instructions</w:t>
      </w:r>
    </w:p>
    <w:p w14:paraId="18E15195" w14:textId="34D92C48" w:rsidR="00E6260F" w:rsidRDefault="00636061" w:rsidP="00E6260F">
      <w:pPr>
        <w:rPr>
          <w:rFonts w:cs="Arial"/>
          <w:szCs w:val="16"/>
        </w:rPr>
      </w:pPr>
      <w:r w:rsidRPr="00781112">
        <w:rPr>
          <w:rFonts w:cs="Arial"/>
          <w:color w:val="000000" w:themeColor="text1"/>
          <w:szCs w:val="16"/>
        </w:rPr>
        <w:t xml:space="preserve">If the State has established a minimum n and/or cell size requirement, the State </w:t>
      </w:r>
      <w:r w:rsidR="00E6260F">
        <w:rPr>
          <w:rFonts w:cs="Arial"/>
          <w:szCs w:val="16"/>
        </w:rPr>
        <w:t xml:space="preserve">must provide a definition of its minimum n and/or cell size itself and a description thereof </w:t>
      </w:r>
      <w:r w:rsidR="00E6260F" w:rsidRPr="00814333">
        <w:rPr>
          <w:rFonts w:cs="Arial"/>
          <w:szCs w:val="16"/>
        </w:rPr>
        <w:t xml:space="preserve">(e.g., a State’s n size of 15 represents the number of children with disabilities enrolled in an LEA, and a State’s cell size of 5 </w:t>
      </w:r>
      <w:r w:rsidR="00E6260F">
        <w:rPr>
          <w:rFonts w:cs="Arial"/>
          <w:szCs w:val="16"/>
        </w:rPr>
        <w:t>r</w:t>
      </w:r>
      <w:r w:rsidR="00E6260F" w:rsidRPr="00814333">
        <w:rPr>
          <w:rFonts w:cs="Arial"/>
          <w:szCs w:val="16"/>
        </w:rPr>
        <w:t xml:space="preserve">epresents the number of children with disabilities who have received out-of-school suspensions and expulsions of more than 10 days within the LEA). </w:t>
      </w:r>
    </w:p>
    <w:p w14:paraId="170374C2" w14:textId="77777777" w:rsidR="00E6260F" w:rsidRPr="00A70EDD" w:rsidRDefault="00E6260F" w:rsidP="00E6260F">
      <w:pPr>
        <w:rPr>
          <w:rFonts w:cs="Arial"/>
          <w:szCs w:val="16"/>
        </w:rPr>
      </w:pPr>
      <w:r w:rsidRPr="007743F7">
        <w:rPr>
          <w:rFonts w:cs="Arial"/>
          <w:szCs w:val="16"/>
        </w:rPr>
        <w:t>The State must also provide rationales for its minimum n and/or cell size, including why the definitions chosen are reasonable and based on stakeholder input, and how the definitions ensure that the State is appropriately analyzing and identifying LEAs with significant discrepancy. The State must also indicate whether the minimum n and/or cell size represents a change from the prior SPP/APR reporting period. If so, the State must provide an explanation why the minimum n and/or cell size was changed.</w:t>
      </w:r>
    </w:p>
    <w:p w14:paraId="7AA2EFB8" w14:textId="77777777" w:rsidR="00E6260F" w:rsidRDefault="00E6260F" w:rsidP="00E6260F">
      <w:pPr>
        <w:rPr>
          <w:rFonts w:cs="Arial"/>
          <w:szCs w:val="16"/>
        </w:rPr>
      </w:pPr>
      <w:r>
        <w:rPr>
          <w:rFonts w:cs="Arial"/>
          <w:szCs w:val="16"/>
        </w:rPr>
        <w:t>The State may only include, in both the numerator and the denominator, LEAs that met that State established n and/or cell size. If the State used a minimum n and/or cell size requirement, report the number of LEAs totally excluded from the calculation as a result of this requirement.</w:t>
      </w:r>
    </w:p>
    <w:p w14:paraId="3AD8FD7E" w14:textId="40B51621" w:rsidR="00636061" w:rsidRPr="00781112" w:rsidRDefault="00A14B5D" w:rsidP="00BB7BC9">
      <w:pPr>
        <w:rPr>
          <w:rFonts w:cs="Arial"/>
          <w:color w:val="000000" w:themeColor="text1"/>
          <w:szCs w:val="16"/>
        </w:rPr>
      </w:pPr>
      <w:r w:rsidRPr="00781112">
        <w:rPr>
          <w:rFonts w:cs="Arial"/>
          <w:color w:val="000000" w:themeColor="text1"/>
          <w:szCs w:val="16"/>
        </w:rPr>
        <w:t>Describe the results of the State’s examination of the data for the year before the reporting year (e.g., for the FFY 2023 SPP/APR, use data from 2022-2023), including data disaggregated by race and ethnicity to determine if significant discrepancies</w:t>
      </w:r>
      <w:r w:rsidR="001E6FDD" w:rsidRPr="00781112">
        <w:rPr>
          <w:rFonts w:cs="Arial"/>
          <w:szCs w:val="16"/>
        </w:rPr>
        <w:t xml:space="preserve">, as defined by the State, </w:t>
      </w:r>
      <w:r w:rsidRPr="00781112">
        <w:rPr>
          <w:rFonts w:cs="Arial"/>
          <w:color w:val="000000" w:themeColor="text1"/>
          <w:szCs w:val="16"/>
        </w:rPr>
        <w:t xml:space="preserve">are occurring in the rates of long-term suspensions and expulsions </w:t>
      </w:r>
      <w:r w:rsidR="00E14C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p>
    <w:p w14:paraId="4D5D1D9E" w14:textId="7E1ED7D6" w:rsidR="00636061" w:rsidRPr="00781112" w:rsidRDefault="00E52C16" w:rsidP="006A01BD">
      <w:pPr>
        <w:ind w:firstLine="720"/>
        <w:rPr>
          <w:rFonts w:cs="Arial"/>
          <w:color w:val="000000" w:themeColor="text1"/>
          <w:szCs w:val="16"/>
        </w:rPr>
      </w:pPr>
      <w:r>
        <w:rPr>
          <w:rFonts w:cs="Arial"/>
          <w:color w:val="000000" w:themeColor="text1"/>
          <w:szCs w:val="16"/>
        </w:rPr>
        <w:t>-- Option 1: The rates of suspensions and expulsions for children with IEPs among LEAs within the State; or</w:t>
      </w:r>
    </w:p>
    <w:p w14:paraId="671599A1" w14:textId="004B2382" w:rsidR="00636061" w:rsidRPr="00781112" w:rsidRDefault="00E52C16" w:rsidP="00BA3DBE">
      <w:pPr>
        <w:ind w:left="720"/>
        <w:rPr>
          <w:rFonts w:cs="Arial"/>
          <w:color w:val="000000" w:themeColor="text1"/>
          <w:szCs w:val="16"/>
        </w:rPr>
      </w:pPr>
      <w:r>
        <w:rPr>
          <w:rFonts w:cs="Arial"/>
          <w:color w:val="000000" w:themeColor="text1"/>
          <w:szCs w:val="16"/>
        </w:rPr>
        <w:t xml:space="preserve">-- Option 2: The rates of suspensions and expulsions for children with IEPs to </w:t>
      </w:r>
      <w:bookmarkStart w:id="22" w:name="_Hlk150863518"/>
      <w:r w:rsidR="00F65586">
        <w:rPr>
          <w:rFonts w:cs="Arial"/>
          <w:color w:val="000000" w:themeColor="text1"/>
          <w:szCs w:val="16"/>
        </w:rPr>
        <w:t>rates of suspensions and expulsions for</w:t>
      </w:r>
      <w:r w:rsidR="006279F2" w:rsidRPr="00781112">
        <w:rPr>
          <w:rFonts w:cs="Arial"/>
          <w:color w:val="000000" w:themeColor="text1"/>
          <w:szCs w:val="16"/>
        </w:rPr>
        <w:t xml:space="preserve"> </w:t>
      </w:r>
      <w:bookmarkEnd w:id="22"/>
      <w:r w:rsidR="006279F2" w:rsidRPr="00781112">
        <w:rPr>
          <w:rFonts w:cs="Arial"/>
          <w:color w:val="000000" w:themeColor="text1"/>
          <w:szCs w:val="16"/>
        </w:rPr>
        <w:t>nondisabled children within the</w:t>
      </w:r>
      <w:r w:rsidR="00F65586">
        <w:rPr>
          <w:rFonts w:cs="Arial"/>
          <w:color w:val="000000" w:themeColor="text1"/>
          <w:szCs w:val="16"/>
        </w:rPr>
        <w:t xml:space="preserve"> </w:t>
      </w:r>
      <w:r w:rsidR="006279F2" w:rsidRPr="00781112">
        <w:rPr>
          <w:rFonts w:cs="Arial"/>
          <w:color w:val="000000" w:themeColor="text1"/>
          <w:szCs w:val="16"/>
        </w:rPr>
        <w:t>LEAs</w:t>
      </w:r>
      <w:r w:rsidR="00F65586">
        <w:rPr>
          <w:rFonts w:cs="Arial"/>
          <w:color w:val="000000" w:themeColor="text1"/>
          <w:szCs w:val="16"/>
        </w:rPr>
        <w:t>.</w:t>
      </w:r>
    </w:p>
    <w:p w14:paraId="64CB6014" w14:textId="58F4D965" w:rsidR="00636061" w:rsidRPr="00781112" w:rsidRDefault="00636061"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4C45CFCB" w14:textId="77777777" w:rsidR="00E6260F" w:rsidRPr="00CF3FE6" w:rsidRDefault="00E6260F" w:rsidP="00E6260F">
      <w:pPr>
        <w:rPr>
          <w:rFonts w:cs="Arial"/>
          <w:szCs w:val="16"/>
        </w:rPr>
      </w:pPr>
      <w:r w:rsidRPr="00F800E4">
        <w:rPr>
          <w:rFonts w:cs="Arial"/>
          <w:szCs w:val="16"/>
        </w:rPr>
        <w:t xml:space="preserve">If, under Option 1, the State uses a State-level long-term suspension and expulsion rate for children with disabilities to compare to LEA-level long-term suspension and expulsion rates for the purpose of determining whether an LEA has a significant discrepancy, the State must provide the State-level long-term suspension and expulsion rate used in its methodology (e.g., if a State has defined significant discrepancy to exist for an LEA whose long-term suspension/expulsion rate exceeds 2 percentage points above the State-level rate of 0.7%, the State must provide OSEP with the State-level rate of 0.7%). </w:t>
      </w:r>
    </w:p>
    <w:p w14:paraId="4DE22542" w14:textId="77777777" w:rsidR="00E6260F" w:rsidRDefault="00E6260F" w:rsidP="00E6260F">
      <w:pPr>
        <w:rPr>
          <w:rFonts w:cs="Arial"/>
          <w:szCs w:val="16"/>
        </w:rPr>
      </w:pPr>
      <w:r w:rsidRPr="00CF3FE6">
        <w:rPr>
          <w:rFonts w:cs="Arial"/>
          <w:szCs w:val="16"/>
        </w:rPr>
        <w:t>If, under Option 2, the State uses a rate difference to compare the rates of long-term suspensions and expulsions for children with IEPs to the rates of long-term suspensions and expulsions for nondisabled children within the LEA, the State must provide the State-selected rate difference used in its methodology (e.g., if a State has defined significant discrepancy to exist for an LEA whose rate of long-term suspensions and expulsions for children with IEPs is 4 percentage points above the long-term suspension/expulsion rate for nondisabled children, the State must provide OSEP with the rate difference of 4 percentage points). Similarly, if, under Option 2, the State uses a rate ratio to compare the rates of long-term suspensions and expulsions for children with IEPs to the rates of long-term suspensions and expulsions for nondisabled children within the LEA, the State must provide the State-selected rate ratio used in its methodology (e.g., if a State has defined significant discrepancy to exist for an LEA whose ratio of its long-term suspensions and expulsions rate for children with IEPs to long-term suspensions and expulsions rate for nondisabled children is greater than 3.0, the State must provide OSEP with the rate ratio of 3.0).</w:t>
      </w:r>
    </w:p>
    <w:p w14:paraId="222C5D4B" w14:textId="0DC60F50" w:rsidR="004F019B" w:rsidRPr="00781112" w:rsidRDefault="004F019B" w:rsidP="00E6260F">
      <w:pPr>
        <w:rPr>
          <w:rFonts w:cs="Arial"/>
          <w:szCs w:val="16"/>
        </w:rPr>
      </w:pPr>
      <w:r w:rsidRPr="00781112">
        <w:rPr>
          <w:rFonts w:cs="Arial"/>
          <w:szCs w:val="16"/>
        </w:rPr>
        <w:t>Because the Measurement Table requires that the data examined for this indicator are lag year data, States should examine the section 618 data that was submitted by LEAs that were in operation during the school year before the reporting year. For example, if a State has 100 LEAs operating in the 2022-2023 school year, those 100 LEAs would have reported section 618 data in 2022-2023 on the number of children suspended/expelled. If the State then opens 15 new LEAs in 2023-2024, suspension/expulsion data from those 15 new LEAs would not be in the 2022-2023 section 618 data set, and therefore, those 15 new LEAs should not be included in the denominator of the calculation. States must use the number of LEAs from the year before the reporting year in its calculation for this indicator. For the FFY 2023 SPP/APR submission, States must use the number of LEAs reported in 2022-2023 (which can be found in the FFY 2022 SPP/APR introduction).</w:t>
      </w:r>
    </w:p>
    <w:p w14:paraId="2CD8E267" w14:textId="1590FF94" w:rsidR="00636061" w:rsidRPr="00781112" w:rsidRDefault="00636061" w:rsidP="00BB7BC9">
      <w:pPr>
        <w:rPr>
          <w:rFonts w:cs="Arial"/>
          <w:color w:val="000000" w:themeColor="text1"/>
          <w:szCs w:val="16"/>
        </w:rPr>
      </w:pPr>
      <w:r w:rsidRPr="00781112">
        <w:rPr>
          <w:rFonts w:cs="Arial"/>
          <w:color w:val="000000" w:themeColor="text1"/>
          <w:szCs w:val="16"/>
        </w:rPr>
        <w:t>Indicator 4A: Provide the actual numbers used in the calculation (based upon LEAs that met the minimum n and/or cell size requirement, if applicable). If significant discrepancies occurred, describe how the State educational agency reviewed and, if appropriate, revised (or required the affected local educational agency to revise) its policies, procedures, and practices relating to the development and implementation of IEPs, the use of positive behavioral interventions and supports, and procedural safeguards, to ensure that such policies, procedures, and practices comply with applicable requirements.</w:t>
      </w:r>
    </w:p>
    <w:p w14:paraId="03BDAB2D" w14:textId="32FE0BC9" w:rsidR="00636061" w:rsidRPr="00781112" w:rsidRDefault="00636061" w:rsidP="00BB7BC9">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discrepancies occurred and the LEA with discrepancies had policies, procedures or practices that contributed to the significant discrepancy,</w:t>
      </w:r>
      <w:r w:rsidR="00ED1949" w:rsidRPr="00781112">
        <w:rPr>
          <w:rFonts w:cs="Arial"/>
          <w:szCs w:val="16"/>
        </w:rPr>
        <w:t xml:space="preserve"> as defined by the State,</w:t>
      </w:r>
      <w:r w:rsidRPr="00781112">
        <w:rPr>
          <w:rFonts w:cs="Arial"/>
          <w:color w:val="000000" w:themeColor="text1"/>
          <w:szCs w:val="16"/>
        </w:rPr>
        <w:t xml:space="preserve"> 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E52C16">
        <w:rPr>
          <w:rFonts w:cs="Arial"/>
          <w:bCs/>
          <w:color w:val="000000" w:themeColor="text1"/>
          <w:szCs w:val="16"/>
        </w:rPr>
        <w:t>Memorandum</w:t>
      </w:r>
      <w:r w:rsidR="00E52C16" w:rsidRPr="00BA3DBE">
        <w:rPr>
          <w:rFonts w:cs="Arial"/>
          <w:bCs/>
          <w:color w:val="000000" w:themeColor="text1"/>
          <w:szCs w:val="16"/>
        </w:rPr>
        <w:t xml:space="preserve"> </w:t>
      </w:r>
      <w:r w:rsidR="004D1797" w:rsidRPr="00BA3DBE">
        <w:rPr>
          <w:rFonts w:cs="Arial"/>
          <w:bCs/>
          <w:color w:val="000000" w:themeColor="text1"/>
          <w:szCs w:val="16"/>
        </w:rPr>
        <w:t>23-01, dated July</w:t>
      </w:r>
      <w:r w:rsidRPr="00781112">
        <w:rPr>
          <w:rFonts w:cs="Arial"/>
          <w:color w:val="000000" w:themeColor="text1"/>
          <w:szCs w:val="16"/>
        </w:rPr>
        <w:t>.</w:t>
      </w:r>
    </w:p>
    <w:p w14:paraId="6D645554" w14:textId="56914A76" w:rsidR="00636061" w:rsidRPr="00781112" w:rsidRDefault="00636061" w:rsidP="00BB7BC9">
      <w:pPr>
        <w:rPr>
          <w:rFonts w:cs="Arial"/>
          <w:color w:val="000000" w:themeColor="text1"/>
          <w:szCs w:val="16"/>
        </w:rPr>
      </w:pPr>
      <w:r w:rsidRPr="00781112">
        <w:rPr>
          <w:rFonts w:cs="Arial"/>
          <w:color w:val="000000" w:themeColor="text1"/>
          <w:szCs w:val="16"/>
        </w:rPr>
        <w:lastRenderedPageBreak/>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406A7CC3" w14:textId="27ADFEE8" w:rsidR="00636061" w:rsidRDefault="00A14B5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03487116" w14:textId="6ACBDDB4" w:rsidR="00B63772" w:rsidRPr="00FE4611" w:rsidRDefault="00B63772" w:rsidP="00BB7BC9">
      <w:pPr>
        <w:rPr>
          <w:rFonts w:cs="Arial"/>
          <w:szCs w:val="16"/>
        </w:rPr>
      </w:pPr>
      <w:r w:rsidRPr="002049C0">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216100ED" w14:textId="6483EA1E" w:rsidR="006E5AE4" w:rsidRPr="00781112" w:rsidRDefault="00697434" w:rsidP="008645AD">
      <w:pPr>
        <w:pStyle w:val="Heading2"/>
      </w:pPr>
      <w:bookmarkStart w:id="23" w:name="_Toc384383332"/>
      <w:bookmarkStart w:id="24" w:name="_Toc392159284"/>
      <w:bookmarkEnd w:id="20"/>
      <w:bookmarkEnd w:id="21"/>
      <w:r w:rsidRPr="00781112">
        <w:t>4A</w:t>
      </w:r>
      <w:r w:rsidR="00DA3C7A" w:rsidRPr="00781112">
        <w:t xml:space="preserve"> </w:t>
      </w:r>
      <w:r w:rsidRPr="00781112">
        <w:t xml:space="preserve">- </w:t>
      </w:r>
      <w:r w:rsidR="006E5AE4" w:rsidRPr="00781112">
        <w:t>Indicator Data</w:t>
      </w:r>
    </w:p>
    <w:p w14:paraId="4E76A356" w14:textId="4BD9398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ABASELINEDATA"/>
      </w:tblPr>
      <w:tblGrid>
        <w:gridCol w:w="2562"/>
        <w:gridCol w:w="2563"/>
      </w:tblGrid>
      <w:tr w:rsidR="002B6965" w:rsidRPr="00781112" w14:paraId="5B1BF1C8" w14:textId="77777777" w:rsidTr="002B6965">
        <w:trPr>
          <w:trHeight w:val="311"/>
          <w:tblHeader/>
        </w:trPr>
        <w:tc>
          <w:tcPr>
            <w:tcW w:w="2562" w:type="dxa"/>
          </w:tcPr>
          <w:p w14:paraId="3EC58E83" w14:textId="77777777" w:rsidR="002B6965" w:rsidRPr="00781112" w:rsidRDefault="002B6965" w:rsidP="002B6965">
            <w:pPr>
              <w:jc w:val="center"/>
              <w:rPr>
                <w:b/>
                <w:color w:val="000000" w:themeColor="text1"/>
              </w:rPr>
            </w:pPr>
            <w:r w:rsidRPr="00781112">
              <w:rPr>
                <w:rFonts w:cs="Arial"/>
                <w:b/>
                <w:color w:val="000000" w:themeColor="text1"/>
                <w:szCs w:val="16"/>
              </w:rPr>
              <w:t>Baseline Year</w:t>
            </w:r>
          </w:p>
        </w:tc>
        <w:tc>
          <w:tcPr>
            <w:tcW w:w="2563" w:type="dxa"/>
          </w:tcPr>
          <w:p w14:paraId="3BF90404" w14:textId="77777777" w:rsidR="002B6965" w:rsidRPr="00781112" w:rsidRDefault="002B6965" w:rsidP="002B6965">
            <w:pPr>
              <w:jc w:val="center"/>
              <w:rPr>
                <w:b/>
                <w:color w:val="000000" w:themeColor="text1"/>
              </w:rPr>
            </w:pPr>
            <w:r w:rsidRPr="00781112">
              <w:rPr>
                <w:b/>
                <w:color w:val="000000" w:themeColor="text1"/>
              </w:rPr>
              <w:t>Baseline Data</w:t>
            </w:r>
          </w:p>
        </w:tc>
      </w:tr>
      <w:tr w:rsidR="002B6965" w:rsidRPr="00781112" w14:paraId="5EF83473" w14:textId="77777777" w:rsidTr="002B6965">
        <w:trPr>
          <w:trHeight w:val="311"/>
        </w:trPr>
        <w:tc>
          <w:tcPr>
            <w:tcW w:w="2562" w:type="dxa"/>
            <w:vAlign w:val="center"/>
          </w:tcPr>
          <w:p w14:paraId="5A1767D0" w14:textId="7AC9A457" w:rsidR="002B6965" w:rsidRPr="00781112" w:rsidRDefault="002B6965" w:rsidP="002B6965">
            <w:pPr>
              <w:jc w:val="center"/>
              <w:rPr>
                <w:b/>
                <w:color w:val="000000" w:themeColor="text1"/>
              </w:rPr>
            </w:pPr>
            <w:r w:rsidRPr="00781112">
              <w:rPr>
                <w:rFonts w:cs="Arial"/>
                <w:color w:val="000000" w:themeColor="text1"/>
                <w:szCs w:val="16"/>
              </w:rPr>
              <w:t>2023</w:t>
            </w:r>
          </w:p>
        </w:tc>
        <w:tc>
          <w:tcPr>
            <w:tcW w:w="2563" w:type="dxa"/>
            <w:vAlign w:val="center"/>
          </w:tcPr>
          <w:p w14:paraId="4EF66E74" w14:textId="7A5DFEFF" w:rsidR="002B6965" w:rsidRPr="00781112" w:rsidRDefault="002B6965" w:rsidP="002B6965">
            <w:pPr>
              <w:jc w:val="center"/>
              <w:rPr>
                <w:b/>
                <w:color w:val="000000" w:themeColor="text1"/>
              </w:rPr>
            </w:pPr>
            <w:r w:rsidRPr="00781112">
              <w:rPr>
                <w:rFonts w:cs="Arial"/>
                <w:color w:val="000000" w:themeColor="text1"/>
                <w:szCs w:val="16"/>
              </w:rPr>
              <w:t>0.00%</w:t>
            </w:r>
          </w:p>
        </w:tc>
      </w:tr>
    </w:tbl>
    <w:p w14:paraId="6781E363" w14:textId="4867E623" w:rsidR="002B6965" w:rsidRPr="00781112" w:rsidRDefault="002B696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HISTDATA"/>
      </w:tblPr>
      <w:tblGrid>
        <w:gridCol w:w="1798"/>
        <w:gridCol w:w="1798"/>
        <w:gridCol w:w="1798"/>
        <w:gridCol w:w="1798"/>
        <w:gridCol w:w="1798"/>
        <w:gridCol w:w="1800"/>
      </w:tblGrid>
      <w:tr w:rsidR="005C29F8" w:rsidRPr="00781112" w14:paraId="2DAF49AB" w14:textId="32F9B748" w:rsidTr="00E95FBF">
        <w:trPr>
          <w:trHeight w:val="350"/>
        </w:trPr>
        <w:tc>
          <w:tcPr>
            <w:tcW w:w="833" w:type="pct"/>
            <w:tcBorders>
              <w:bottom w:val="single" w:sz="4" w:space="0" w:color="auto"/>
            </w:tcBorders>
            <w:shd w:val="clear" w:color="auto" w:fill="auto"/>
          </w:tcPr>
          <w:p w14:paraId="7844FE4C" w14:textId="77777777" w:rsidR="00E4112E" w:rsidRPr="00781112" w:rsidRDefault="00E4112E" w:rsidP="004369B2">
            <w:pPr>
              <w:jc w:val="center"/>
              <w:rPr>
                <w:b/>
                <w:color w:val="000000" w:themeColor="text1"/>
              </w:rPr>
            </w:pPr>
            <w:r w:rsidRPr="00781112">
              <w:rPr>
                <w:b/>
                <w:color w:val="000000" w:themeColor="text1"/>
              </w:rPr>
              <w:t>FFY</w:t>
            </w:r>
          </w:p>
        </w:tc>
        <w:tc>
          <w:tcPr>
            <w:tcW w:w="833" w:type="pct"/>
            <w:shd w:val="clear" w:color="auto" w:fill="auto"/>
          </w:tcPr>
          <w:p w14:paraId="09DCA0E6" w14:textId="614607D6" w:rsidR="00E4112E"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7015519F" w14:textId="3BECE8C5" w:rsidR="00E4112E" w:rsidRPr="00781112" w:rsidRDefault="002B7490">
            <w:pPr>
              <w:jc w:val="center"/>
              <w:rPr>
                <w:b/>
                <w:color w:val="000000" w:themeColor="text1"/>
              </w:rPr>
            </w:pPr>
            <w:r w:rsidRPr="00781112">
              <w:rPr>
                <w:b/>
                <w:color w:val="000000" w:themeColor="text1"/>
              </w:rPr>
              <w:t>2019</w:t>
            </w:r>
          </w:p>
        </w:tc>
        <w:tc>
          <w:tcPr>
            <w:tcW w:w="833" w:type="pct"/>
            <w:shd w:val="clear" w:color="auto" w:fill="auto"/>
          </w:tcPr>
          <w:p w14:paraId="7CE93832" w14:textId="3E179BB5" w:rsidR="00E4112E" w:rsidRPr="00781112" w:rsidRDefault="002B7490">
            <w:pPr>
              <w:jc w:val="center"/>
              <w:rPr>
                <w:b/>
                <w:color w:val="000000" w:themeColor="text1"/>
              </w:rPr>
            </w:pPr>
            <w:r w:rsidRPr="00781112">
              <w:rPr>
                <w:b/>
                <w:color w:val="000000" w:themeColor="text1"/>
              </w:rPr>
              <w:t>2020</w:t>
            </w:r>
          </w:p>
        </w:tc>
        <w:tc>
          <w:tcPr>
            <w:tcW w:w="833" w:type="pct"/>
            <w:shd w:val="clear" w:color="auto" w:fill="auto"/>
          </w:tcPr>
          <w:p w14:paraId="1A1DC4B0" w14:textId="32B92E1C" w:rsidR="00E4112E" w:rsidRPr="00781112" w:rsidRDefault="002B7490">
            <w:pPr>
              <w:jc w:val="center"/>
              <w:rPr>
                <w:b/>
                <w:color w:val="000000" w:themeColor="text1"/>
              </w:rPr>
            </w:pPr>
            <w:r w:rsidRPr="00781112">
              <w:rPr>
                <w:b/>
                <w:color w:val="000000" w:themeColor="text1"/>
              </w:rPr>
              <w:t>2021</w:t>
            </w:r>
          </w:p>
        </w:tc>
        <w:tc>
          <w:tcPr>
            <w:tcW w:w="834" w:type="pct"/>
            <w:shd w:val="clear" w:color="auto" w:fill="auto"/>
          </w:tcPr>
          <w:p w14:paraId="030F446C" w14:textId="279E0CA2" w:rsidR="00E4112E" w:rsidRPr="00781112" w:rsidRDefault="002B7490">
            <w:pPr>
              <w:jc w:val="center"/>
              <w:rPr>
                <w:b/>
                <w:color w:val="000000" w:themeColor="text1"/>
              </w:rPr>
            </w:pPr>
            <w:r w:rsidRPr="00781112">
              <w:rPr>
                <w:b/>
                <w:color w:val="000000" w:themeColor="text1"/>
              </w:rPr>
              <w:t>2022</w:t>
            </w:r>
          </w:p>
        </w:tc>
      </w:tr>
      <w:tr w:rsidR="005C29F8" w:rsidRPr="00781112" w14:paraId="166D6AFF" w14:textId="0C956946" w:rsidTr="00E95FBF">
        <w:trPr>
          <w:trHeight w:val="357"/>
        </w:trPr>
        <w:tc>
          <w:tcPr>
            <w:tcW w:w="833" w:type="pct"/>
            <w:shd w:val="clear" w:color="auto" w:fill="auto"/>
            <w:vAlign w:val="center"/>
          </w:tcPr>
          <w:p w14:paraId="38AA0076" w14:textId="731BFD6B" w:rsidR="00BB7BC9" w:rsidRPr="00781112" w:rsidRDefault="00BB7BC9" w:rsidP="00BA3DBE">
            <w:pPr>
              <w:jc w:val="center"/>
              <w:rPr>
                <w:rFonts w:cs="Arial"/>
                <w:color w:val="000000" w:themeColor="text1"/>
                <w:szCs w:val="16"/>
              </w:rPr>
            </w:pPr>
            <w:r w:rsidRPr="00781112">
              <w:rPr>
                <w:rFonts w:cs="Arial"/>
                <w:color w:val="000000" w:themeColor="text1"/>
                <w:szCs w:val="16"/>
              </w:rPr>
              <w:t xml:space="preserve">Target </w:t>
            </w:r>
            <w:r w:rsidR="009B02BC" w:rsidRPr="00781112">
              <w:rPr>
                <w:rFonts w:cs="Arial"/>
                <w:color w:val="000000" w:themeColor="text1"/>
                <w:szCs w:val="16"/>
                <w:shd w:val="clear" w:color="auto" w:fill="FFFFFF"/>
              </w:rPr>
              <w:t>&lt;=</w:t>
            </w:r>
          </w:p>
        </w:tc>
        <w:tc>
          <w:tcPr>
            <w:tcW w:w="833" w:type="pct"/>
            <w:shd w:val="clear" w:color="auto" w:fill="auto"/>
            <w:vAlign w:val="center"/>
          </w:tcPr>
          <w:p w14:paraId="6CE07273" w14:textId="702A47D4" w:rsidR="00BB7BC9" w:rsidRPr="00781112" w:rsidRDefault="002B7490" w:rsidP="00A018D4">
            <w:pPr>
              <w:jc w:val="center"/>
              <w:rPr>
                <w:rFonts w:cs="Arial"/>
                <w:color w:val="000000" w:themeColor="text1"/>
                <w:szCs w:val="16"/>
              </w:rPr>
            </w:pPr>
            <w:r w:rsidRPr="00781112">
              <w:rPr>
                <w:rFonts w:cs="Arial"/>
                <w:color w:val="000000" w:themeColor="text1"/>
                <w:szCs w:val="16"/>
              </w:rPr>
              <w:t>5.00%</w:t>
            </w:r>
          </w:p>
        </w:tc>
        <w:tc>
          <w:tcPr>
            <w:tcW w:w="833" w:type="pct"/>
            <w:shd w:val="clear" w:color="auto" w:fill="auto"/>
            <w:vAlign w:val="center"/>
          </w:tcPr>
          <w:p w14:paraId="79939FD5" w14:textId="354F468A" w:rsidR="00BB7BC9" w:rsidRPr="00781112" w:rsidRDefault="002B7490" w:rsidP="00A018D4">
            <w:pPr>
              <w:jc w:val="center"/>
              <w:rPr>
                <w:rFonts w:cs="Arial"/>
                <w:color w:val="000000" w:themeColor="text1"/>
                <w:szCs w:val="16"/>
              </w:rPr>
            </w:pPr>
            <w:r w:rsidRPr="00781112">
              <w:rPr>
                <w:rFonts w:cs="Arial"/>
                <w:color w:val="000000" w:themeColor="text1"/>
                <w:szCs w:val="16"/>
              </w:rPr>
              <w:t>3.50%</w:t>
            </w:r>
          </w:p>
        </w:tc>
        <w:tc>
          <w:tcPr>
            <w:tcW w:w="833" w:type="pct"/>
            <w:shd w:val="clear" w:color="auto" w:fill="auto"/>
            <w:vAlign w:val="center"/>
          </w:tcPr>
          <w:p w14:paraId="2F67AA89" w14:textId="7720B113" w:rsidR="00BB7BC9" w:rsidRPr="00781112" w:rsidRDefault="002B7490" w:rsidP="00A018D4">
            <w:pPr>
              <w:jc w:val="center"/>
              <w:rPr>
                <w:rFonts w:cs="Arial"/>
                <w:color w:val="000000" w:themeColor="text1"/>
                <w:szCs w:val="16"/>
              </w:rPr>
            </w:pPr>
            <w:r w:rsidRPr="00781112">
              <w:rPr>
                <w:rFonts w:cs="Arial"/>
                <w:color w:val="000000" w:themeColor="text1"/>
                <w:szCs w:val="16"/>
              </w:rPr>
              <w:t>3.50%</w:t>
            </w:r>
          </w:p>
        </w:tc>
        <w:tc>
          <w:tcPr>
            <w:tcW w:w="833" w:type="pct"/>
            <w:shd w:val="clear" w:color="auto" w:fill="auto"/>
            <w:vAlign w:val="center"/>
          </w:tcPr>
          <w:p w14:paraId="370622DC" w14:textId="1DC834EA" w:rsidR="00BB7BC9" w:rsidRPr="00781112" w:rsidRDefault="002B7490" w:rsidP="00A018D4">
            <w:pPr>
              <w:jc w:val="center"/>
              <w:rPr>
                <w:rFonts w:cs="Arial"/>
                <w:color w:val="000000" w:themeColor="text1"/>
                <w:szCs w:val="16"/>
              </w:rPr>
            </w:pPr>
            <w:r w:rsidRPr="00781112">
              <w:rPr>
                <w:rFonts w:cs="Arial"/>
                <w:color w:val="000000" w:themeColor="text1"/>
                <w:szCs w:val="16"/>
              </w:rPr>
              <w:t>3.50%</w:t>
            </w:r>
          </w:p>
        </w:tc>
        <w:tc>
          <w:tcPr>
            <w:tcW w:w="834" w:type="pct"/>
            <w:shd w:val="clear" w:color="auto" w:fill="auto"/>
            <w:vAlign w:val="center"/>
          </w:tcPr>
          <w:p w14:paraId="01742AA4" w14:textId="72802F04" w:rsidR="00BB7BC9" w:rsidRPr="00781112" w:rsidRDefault="002B7490" w:rsidP="00A018D4">
            <w:pPr>
              <w:jc w:val="center"/>
              <w:rPr>
                <w:rFonts w:cs="Arial"/>
                <w:color w:val="000000" w:themeColor="text1"/>
                <w:szCs w:val="16"/>
              </w:rPr>
            </w:pPr>
            <w:r w:rsidRPr="00781112">
              <w:rPr>
                <w:rFonts w:cs="Arial"/>
                <w:color w:val="000000" w:themeColor="text1"/>
                <w:szCs w:val="16"/>
              </w:rPr>
              <w:t>3.50%</w:t>
            </w:r>
          </w:p>
        </w:tc>
      </w:tr>
      <w:tr w:rsidR="005C29F8" w:rsidRPr="00781112" w14:paraId="7A0B9513" w14:textId="222C1F8D" w:rsidTr="00E95FBF">
        <w:trPr>
          <w:trHeight w:val="85"/>
        </w:trPr>
        <w:tc>
          <w:tcPr>
            <w:tcW w:w="833" w:type="pct"/>
            <w:shd w:val="clear" w:color="auto" w:fill="auto"/>
            <w:vAlign w:val="center"/>
          </w:tcPr>
          <w:p w14:paraId="7EAE8715"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88137A7" w14:textId="7782C22E" w:rsidR="00BB7BC9" w:rsidRPr="00781112" w:rsidRDefault="002B7490" w:rsidP="00A018D4">
            <w:pPr>
              <w:jc w:val="center"/>
              <w:rPr>
                <w:rFonts w:cs="Arial"/>
                <w:color w:val="000000" w:themeColor="text1"/>
                <w:szCs w:val="16"/>
              </w:rPr>
            </w:pPr>
            <w:r w:rsidRPr="00781112">
              <w:rPr>
                <w:rFonts w:cs="Arial"/>
                <w:color w:val="000000" w:themeColor="text1"/>
                <w:szCs w:val="16"/>
              </w:rPr>
              <w:t>3.51%</w:t>
            </w:r>
          </w:p>
        </w:tc>
        <w:tc>
          <w:tcPr>
            <w:tcW w:w="833" w:type="pct"/>
            <w:shd w:val="clear" w:color="auto" w:fill="auto"/>
            <w:vAlign w:val="center"/>
          </w:tcPr>
          <w:p w14:paraId="6040C16E" w14:textId="1898F821" w:rsidR="00BB7BC9" w:rsidRPr="00781112" w:rsidRDefault="002B7490" w:rsidP="00A018D4">
            <w:pPr>
              <w:jc w:val="center"/>
              <w:rPr>
                <w:rFonts w:cs="Arial"/>
                <w:color w:val="000000" w:themeColor="text1"/>
                <w:szCs w:val="16"/>
              </w:rPr>
            </w:pPr>
            <w:r w:rsidRPr="00781112">
              <w:rPr>
                <w:rFonts w:cs="Arial"/>
                <w:color w:val="000000" w:themeColor="text1"/>
                <w:szCs w:val="16"/>
              </w:rPr>
              <w:t>3.51%</w:t>
            </w:r>
          </w:p>
        </w:tc>
        <w:tc>
          <w:tcPr>
            <w:tcW w:w="833" w:type="pct"/>
            <w:tcBorders>
              <w:bottom w:val="single" w:sz="4" w:space="0" w:color="auto"/>
            </w:tcBorders>
            <w:shd w:val="clear" w:color="auto" w:fill="auto"/>
            <w:vAlign w:val="center"/>
          </w:tcPr>
          <w:p w14:paraId="2F4988E8" w14:textId="56ECA0F8" w:rsidR="00BB7BC9" w:rsidRPr="00781112" w:rsidRDefault="002B7490" w:rsidP="00A018D4">
            <w:pPr>
              <w:jc w:val="center"/>
              <w:rPr>
                <w:rFonts w:cs="Arial"/>
                <w:color w:val="000000" w:themeColor="text1"/>
                <w:szCs w:val="16"/>
              </w:rPr>
            </w:pPr>
            <w:r w:rsidRPr="00781112">
              <w:rPr>
                <w:rFonts w:cs="Arial"/>
                <w:color w:val="000000" w:themeColor="text1"/>
                <w:szCs w:val="16"/>
              </w:rPr>
              <w:t>1.75%</w:t>
            </w:r>
          </w:p>
        </w:tc>
        <w:tc>
          <w:tcPr>
            <w:tcW w:w="833" w:type="pct"/>
            <w:tcBorders>
              <w:bottom w:val="single" w:sz="4" w:space="0" w:color="auto"/>
            </w:tcBorders>
            <w:shd w:val="clear" w:color="auto" w:fill="auto"/>
            <w:vAlign w:val="center"/>
          </w:tcPr>
          <w:p w14:paraId="3315EDFF" w14:textId="1943A2C3"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6B580E93" w14:textId="6155D799" w:rsidR="00BB7BC9" w:rsidRPr="00781112" w:rsidRDefault="002B7490" w:rsidP="00A018D4">
            <w:pPr>
              <w:jc w:val="center"/>
              <w:rPr>
                <w:rFonts w:cs="Arial"/>
                <w:color w:val="000000" w:themeColor="text1"/>
                <w:szCs w:val="16"/>
              </w:rPr>
            </w:pPr>
            <w:r w:rsidRPr="00781112">
              <w:rPr>
                <w:rFonts w:cs="Arial"/>
                <w:color w:val="000000" w:themeColor="text1"/>
                <w:szCs w:val="16"/>
              </w:rPr>
              <w:t>8.33%</w:t>
            </w:r>
          </w:p>
        </w:tc>
      </w:tr>
    </w:tbl>
    <w:p w14:paraId="5F34812B" w14:textId="77777777" w:rsidR="006478FC" w:rsidRPr="00781112" w:rsidRDefault="006478FC" w:rsidP="004369B2">
      <w:pPr>
        <w:rPr>
          <w:color w:val="000000" w:themeColor="text1"/>
        </w:rPr>
      </w:pPr>
    </w:p>
    <w:p w14:paraId="4841771C" w14:textId="2E3FC34F" w:rsidR="00ED5FCE" w:rsidRPr="00781112" w:rsidRDefault="00ED5FCE" w:rsidP="004369B2">
      <w:pPr>
        <w:rPr>
          <w:color w:val="000000" w:themeColor="text1"/>
        </w:rPr>
      </w:pPr>
      <w:r w:rsidRPr="00781112">
        <w:rPr>
          <w:b/>
          <w:color w:val="000000" w:themeColor="text1"/>
        </w:rPr>
        <w:t>Targets</w:t>
      </w:r>
    </w:p>
    <w:tbl>
      <w:tblPr>
        <w:tblW w:w="38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ATARGETS"/>
      </w:tblPr>
      <w:tblGrid>
        <w:gridCol w:w="679"/>
        <w:gridCol w:w="2401"/>
        <w:gridCol w:w="2566"/>
        <w:gridCol w:w="2565"/>
      </w:tblGrid>
      <w:tr w:rsidR="0094481B" w:rsidRPr="00781112" w14:paraId="00255703" w14:textId="57B86D35" w:rsidTr="00FE4611">
        <w:trPr>
          <w:trHeight w:val="350"/>
        </w:trPr>
        <w:tc>
          <w:tcPr>
            <w:tcW w:w="391" w:type="pct"/>
            <w:tcBorders>
              <w:bottom w:val="single" w:sz="4" w:space="0" w:color="auto"/>
            </w:tcBorders>
            <w:shd w:val="clear" w:color="auto" w:fill="auto"/>
          </w:tcPr>
          <w:p w14:paraId="12833EEC" w14:textId="77777777" w:rsidR="0094481B" w:rsidRPr="00781112" w:rsidRDefault="0094481B" w:rsidP="00373F78">
            <w:pPr>
              <w:jc w:val="center"/>
              <w:rPr>
                <w:b/>
                <w:color w:val="000000" w:themeColor="text1"/>
              </w:rPr>
            </w:pPr>
            <w:r w:rsidRPr="00781112">
              <w:rPr>
                <w:b/>
                <w:color w:val="000000" w:themeColor="text1"/>
              </w:rPr>
              <w:t>FFY</w:t>
            </w:r>
          </w:p>
        </w:tc>
        <w:tc>
          <w:tcPr>
            <w:tcW w:w="1470" w:type="pct"/>
            <w:shd w:val="clear" w:color="auto" w:fill="auto"/>
          </w:tcPr>
          <w:p w14:paraId="50119DBA" w14:textId="04DC2A77" w:rsidR="0094481B" w:rsidRPr="00781112" w:rsidRDefault="0094481B" w:rsidP="00373F78">
            <w:pPr>
              <w:jc w:val="center"/>
              <w:rPr>
                <w:b/>
                <w:color w:val="000000" w:themeColor="text1"/>
              </w:rPr>
            </w:pPr>
            <w:r w:rsidRPr="00781112">
              <w:rPr>
                <w:b/>
                <w:color w:val="000000" w:themeColor="text1"/>
              </w:rPr>
              <w:t>2023</w:t>
            </w:r>
          </w:p>
        </w:tc>
        <w:tc>
          <w:tcPr>
            <w:tcW w:w="1570" w:type="pct"/>
          </w:tcPr>
          <w:p w14:paraId="59425E52" w14:textId="30A73A95" w:rsidR="0094481B" w:rsidRPr="00781112" w:rsidRDefault="0094481B" w:rsidP="00373F78">
            <w:pPr>
              <w:jc w:val="center"/>
              <w:rPr>
                <w:b/>
                <w:color w:val="000000" w:themeColor="text1"/>
              </w:rPr>
            </w:pPr>
            <w:r w:rsidRPr="00781112">
              <w:rPr>
                <w:rFonts w:cs="Arial"/>
                <w:b/>
                <w:color w:val="000000" w:themeColor="text1"/>
                <w:szCs w:val="16"/>
              </w:rPr>
              <w:t>2024</w:t>
            </w:r>
          </w:p>
        </w:tc>
        <w:tc>
          <w:tcPr>
            <w:tcW w:w="1570" w:type="pct"/>
          </w:tcPr>
          <w:p w14:paraId="62296859" w14:textId="1A7F3D46" w:rsidR="0094481B" w:rsidRPr="00781112" w:rsidRDefault="0094481B" w:rsidP="00373F78">
            <w:pPr>
              <w:jc w:val="center"/>
              <w:rPr>
                <w:b/>
                <w:color w:val="000000" w:themeColor="text1"/>
              </w:rPr>
            </w:pPr>
            <w:r w:rsidRPr="00781112">
              <w:rPr>
                <w:rFonts w:cs="Arial"/>
                <w:b/>
                <w:color w:val="000000" w:themeColor="text1"/>
                <w:szCs w:val="16"/>
              </w:rPr>
              <w:t>2025</w:t>
            </w:r>
          </w:p>
        </w:tc>
      </w:tr>
      <w:tr w:rsidR="0094481B" w:rsidRPr="00781112" w14:paraId="1ACE760A" w14:textId="1AE21F6E" w:rsidTr="00FE4611">
        <w:trPr>
          <w:trHeight w:val="357"/>
        </w:trPr>
        <w:tc>
          <w:tcPr>
            <w:tcW w:w="391" w:type="pct"/>
            <w:shd w:val="clear" w:color="auto" w:fill="auto"/>
            <w:vAlign w:val="center"/>
          </w:tcPr>
          <w:p w14:paraId="3387B9B3" w14:textId="0ED5756F" w:rsidR="0094481B" w:rsidRPr="00781112" w:rsidRDefault="0094481B" w:rsidP="00BA3DBE">
            <w:pPr>
              <w:jc w:val="center"/>
              <w:rPr>
                <w:rFonts w:cs="Arial"/>
                <w:color w:val="000000" w:themeColor="text1"/>
                <w:szCs w:val="16"/>
              </w:rPr>
            </w:pPr>
            <w:r w:rsidRPr="00781112">
              <w:rPr>
                <w:rFonts w:cs="Arial"/>
                <w:color w:val="000000" w:themeColor="text1"/>
                <w:szCs w:val="16"/>
              </w:rPr>
              <w:t xml:space="preserve">Target </w:t>
            </w:r>
            <w:r w:rsidRPr="00781112">
              <w:rPr>
                <w:rFonts w:cs="Arial"/>
                <w:color w:val="000000" w:themeColor="text1"/>
                <w:szCs w:val="16"/>
                <w:shd w:val="clear" w:color="auto" w:fill="FFFFFF"/>
              </w:rPr>
              <w:t>&lt;=</w:t>
            </w:r>
          </w:p>
        </w:tc>
        <w:tc>
          <w:tcPr>
            <w:tcW w:w="1470" w:type="pct"/>
            <w:shd w:val="clear" w:color="auto" w:fill="auto"/>
            <w:vAlign w:val="center"/>
          </w:tcPr>
          <w:p w14:paraId="78EBD6ED" w14:textId="4FA09BBD" w:rsidR="0094481B" w:rsidRPr="00781112" w:rsidRDefault="0094481B" w:rsidP="00373F78">
            <w:pPr>
              <w:jc w:val="center"/>
              <w:rPr>
                <w:rFonts w:cs="Arial"/>
                <w:color w:val="000000" w:themeColor="text1"/>
                <w:szCs w:val="16"/>
              </w:rPr>
            </w:pPr>
            <w:r w:rsidRPr="00781112">
              <w:rPr>
                <w:rFonts w:cs="Arial"/>
                <w:color w:val="000000" w:themeColor="text1"/>
                <w:szCs w:val="16"/>
              </w:rPr>
              <w:t>0.00%</w:t>
            </w:r>
          </w:p>
        </w:tc>
        <w:tc>
          <w:tcPr>
            <w:tcW w:w="1570" w:type="pct"/>
          </w:tcPr>
          <w:p w14:paraId="6FDC82B2" w14:textId="0C85D604" w:rsidR="0094481B" w:rsidRPr="00781112" w:rsidRDefault="0094481B" w:rsidP="00373F78">
            <w:pPr>
              <w:jc w:val="center"/>
              <w:rPr>
                <w:rFonts w:cs="Arial"/>
                <w:color w:val="000000" w:themeColor="text1"/>
                <w:szCs w:val="16"/>
              </w:rPr>
            </w:pPr>
            <w:r w:rsidRPr="00781112">
              <w:rPr>
                <w:color w:val="000000" w:themeColor="text1"/>
                <w:szCs w:val="16"/>
              </w:rPr>
              <w:t>0.00%</w:t>
            </w:r>
          </w:p>
        </w:tc>
        <w:tc>
          <w:tcPr>
            <w:tcW w:w="1570" w:type="pct"/>
          </w:tcPr>
          <w:p w14:paraId="798EC84B" w14:textId="0E47DBF4" w:rsidR="0094481B" w:rsidRPr="00781112" w:rsidRDefault="0094481B" w:rsidP="00373F78">
            <w:pPr>
              <w:jc w:val="center"/>
              <w:rPr>
                <w:rFonts w:cs="Arial"/>
                <w:color w:val="000000" w:themeColor="text1"/>
                <w:szCs w:val="16"/>
              </w:rPr>
            </w:pPr>
            <w:r w:rsidRPr="00781112">
              <w:rPr>
                <w:color w:val="000000" w:themeColor="text1"/>
                <w:szCs w:val="16"/>
              </w:rPr>
              <w:t>0.00%</w:t>
            </w:r>
          </w:p>
        </w:tc>
      </w:tr>
    </w:tbl>
    <w:p w14:paraId="05EA20CB" w14:textId="0A0E8C80" w:rsidR="002D145D" w:rsidRPr="00781112" w:rsidRDefault="002D145D" w:rsidP="004369B2">
      <w:pPr>
        <w:rPr>
          <w:b/>
          <w:color w:val="000000" w:themeColor="text1"/>
        </w:rPr>
      </w:pPr>
      <w:r w:rsidRPr="00781112">
        <w:rPr>
          <w:b/>
          <w:color w:val="000000" w:themeColor="text1"/>
        </w:rPr>
        <w:t xml:space="preserve">Targets: Description of Stakeholder Input </w:t>
      </w:r>
    </w:p>
    <w:p w14:paraId="3FD5337B" w14:textId="54E74935" w:rsidR="002D145D" w:rsidRPr="00781112" w:rsidRDefault="002B7490" w:rsidP="002D145D">
      <w:pPr>
        <w:rPr>
          <w:rFonts w:cs="Arial"/>
          <w:color w:val="000000" w:themeColor="text1"/>
          <w:szCs w:val="16"/>
        </w:rPr>
      </w:pPr>
      <w:r w:rsidRPr="00781112">
        <w:rPr>
          <w:rFonts w:cs="Arial"/>
          <w:color w:val="000000" w:themeColor="text1"/>
          <w:szCs w:val="16"/>
        </w:rPr>
        <w:t>*METHODOLOGY REVISION*</w:t>
      </w:r>
      <w:r w:rsidRPr="00781112">
        <w:rPr>
          <w:rFonts w:cs="Arial"/>
          <w:color w:val="000000" w:themeColor="text1"/>
          <w:szCs w:val="16"/>
        </w:rPr>
        <w:br/>
        <w:t>In November 2023, WVDE/OSE initiated a comprehensive stakeholder engagement process to gather feedback on potential changes to the methodology used for SPP/APR Indicator 4A. This initiative was driven by the Office of Special Education Programs' (OSEP) increased emphasis on the rigor states apply to this indicator.</w:t>
      </w:r>
      <w:r w:rsidRPr="00781112">
        <w:rPr>
          <w:rFonts w:cs="Arial"/>
          <w:color w:val="000000" w:themeColor="text1"/>
          <w:szCs w:val="16"/>
        </w:rPr>
        <w:br/>
      </w:r>
      <w:r w:rsidRPr="00781112">
        <w:rPr>
          <w:rFonts w:cs="Arial"/>
          <w:color w:val="000000" w:themeColor="text1"/>
          <w:szCs w:val="16"/>
        </w:rPr>
        <w:br/>
        <w:t>The process began with informing stakeholders about the current methodology and its limitations, particularly highlighting the impact of COVID-19 on discipline data. Stakeholders were presented with two options: maintaining the current methodology or exploring alternative methodologies with different inclusion criteria and thresholds to represent a significant discrepancy.</w:t>
      </w:r>
      <w:r w:rsidRPr="00781112">
        <w:rPr>
          <w:rFonts w:cs="Arial"/>
          <w:color w:val="000000" w:themeColor="text1"/>
          <w:szCs w:val="16"/>
        </w:rPr>
        <w:br/>
      </w:r>
      <w:r w:rsidRPr="00781112">
        <w:rPr>
          <w:rFonts w:cs="Arial"/>
          <w:color w:val="000000" w:themeColor="text1"/>
          <w:szCs w:val="16"/>
        </w:rPr>
        <w:br/>
        <w:t>Feedback on the methodology revisions was solicited from a diverse group of stakeholders, including WV directors of special education from small, medium, and large LEAs, including a public charter school, as well as representatives from the following groups:</w:t>
      </w:r>
      <w:r w:rsidRPr="00781112">
        <w:rPr>
          <w:rFonts w:cs="Arial"/>
          <w:color w:val="000000" w:themeColor="text1"/>
          <w:szCs w:val="16"/>
        </w:rPr>
        <w:br/>
        <w:t>— The West Virginia Parent Training and Information, Inc.</w:t>
      </w:r>
      <w:r w:rsidRPr="00781112">
        <w:rPr>
          <w:rFonts w:cs="Arial"/>
          <w:color w:val="000000" w:themeColor="text1"/>
          <w:szCs w:val="16"/>
        </w:rPr>
        <w:br/>
        <w:t>— The West Virginia Advisory Council for the Education of Exceptional Children (WVACEEC)</w:t>
      </w:r>
      <w:r w:rsidRPr="00781112">
        <w:rPr>
          <w:rFonts w:cs="Arial"/>
          <w:color w:val="000000" w:themeColor="text1"/>
          <w:szCs w:val="16"/>
        </w:rPr>
        <w:br/>
        <w:t>— WVDE Office of School Improvement</w:t>
      </w:r>
      <w:r w:rsidRPr="00781112">
        <w:rPr>
          <w:rFonts w:cs="Arial"/>
          <w:color w:val="000000" w:themeColor="text1"/>
          <w:szCs w:val="16"/>
        </w:rPr>
        <w:br/>
        <w:t>— WVDE Office of Student Support and Well-Being</w:t>
      </w:r>
      <w:r w:rsidRPr="00781112">
        <w:rPr>
          <w:rFonts w:cs="Arial"/>
          <w:color w:val="000000" w:themeColor="text1"/>
          <w:szCs w:val="16"/>
        </w:rPr>
        <w:br/>
        <w:t>— WVDE Office of Special Education</w:t>
      </w:r>
      <w:r w:rsidRPr="00781112">
        <w:rPr>
          <w:rFonts w:cs="Arial"/>
          <w:color w:val="000000" w:themeColor="text1"/>
          <w:szCs w:val="16"/>
        </w:rPr>
        <w:br/>
      </w:r>
      <w:r w:rsidRPr="00781112">
        <w:rPr>
          <w:rFonts w:cs="Arial"/>
          <w:color w:val="000000" w:themeColor="text1"/>
          <w:szCs w:val="16"/>
        </w:rPr>
        <w:br/>
        <w:t xml:space="preserve">Stakeholders were asked to provide their opinions on the appropriateness of the current methodology and the potential changes. The feedback received was insightful. The majority of stakeholders supported exploring changes to increase the number of LEAs included in the analysis each year and to better capture disparities is discipline. However, concerns were raised about the impact on small LEAs and the implementation timeline. </w:t>
      </w:r>
      <w:r w:rsidRPr="00781112">
        <w:rPr>
          <w:rFonts w:cs="Arial"/>
          <w:color w:val="000000" w:themeColor="text1"/>
          <w:szCs w:val="16"/>
        </w:rPr>
        <w:br/>
      </w:r>
      <w:r w:rsidRPr="00781112">
        <w:rPr>
          <w:rFonts w:cs="Arial"/>
          <w:color w:val="000000" w:themeColor="text1"/>
          <w:szCs w:val="16"/>
        </w:rPr>
        <w:br/>
        <w:t>In response to this feedback, WVDE/OSE proposed a refined methodology. This included a new rate ratio calculation and the elimination of the minimum cell size requirement. The threshold for significant discrepancy was adjusted to a rate ratio of 3.00. Additionally, a two-year rolling review was proposed for Indicator 4A to provide LEAs time to implement improvements.</w:t>
      </w:r>
      <w:r w:rsidRPr="00781112">
        <w:rPr>
          <w:rFonts w:cs="Arial"/>
          <w:color w:val="000000" w:themeColor="text1"/>
          <w:szCs w:val="16"/>
        </w:rPr>
        <w:br/>
      </w:r>
      <w:r w:rsidRPr="00781112">
        <w:rPr>
          <w:rFonts w:cs="Arial"/>
          <w:color w:val="000000" w:themeColor="text1"/>
          <w:szCs w:val="16"/>
        </w:rPr>
        <w:br/>
        <w:t>The stakeholder feedback received was overwhelmingly positive, with stakeholders expressing strong support for the proposed changes. They appreciated the clarity and thoroughness of the explanations provided, found the new methodology easy to understand, and believed it would offer a clearer and more comprehensive picture statewide. Overall, there was a consensus that the changes would be beneficial for West Virginia.</w:t>
      </w:r>
      <w:r w:rsidRPr="00781112">
        <w:rPr>
          <w:rFonts w:cs="Arial"/>
          <w:color w:val="000000" w:themeColor="text1"/>
          <w:szCs w:val="16"/>
        </w:rPr>
        <w:br/>
      </w:r>
      <w:r w:rsidRPr="00781112">
        <w:rPr>
          <w:rFonts w:cs="Arial"/>
          <w:color w:val="000000" w:themeColor="text1"/>
          <w:szCs w:val="16"/>
        </w:rPr>
        <w:br/>
        <w:t>Following these developments, WVDE/OSE shared the new methodology with OSEP for review. OSEP confirmed that the methodology was well-explained and had no further questions. Subsequently, an update was communicated to all directors of special education, detailing the changes in methodology that would take effect for SY 2023-24. This communication included a simplified explanation to ensure clarity.</w:t>
      </w:r>
      <w:r w:rsidRPr="00781112">
        <w:rPr>
          <w:rFonts w:cs="Arial"/>
          <w:color w:val="000000" w:themeColor="text1"/>
          <w:szCs w:val="16"/>
        </w:rPr>
        <w:br/>
      </w:r>
      <w:r w:rsidRPr="00781112">
        <w:rPr>
          <w:rFonts w:cs="Arial"/>
          <w:color w:val="000000" w:themeColor="text1"/>
          <w:szCs w:val="16"/>
        </w:rPr>
        <w:br/>
        <w:t>*TARGET SETTING*</w:t>
      </w:r>
      <w:r w:rsidRPr="00781112">
        <w:rPr>
          <w:rFonts w:cs="Arial"/>
          <w:color w:val="000000" w:themeColor="text1"/>
          <w:szCs w:val="16"/>
        </w:rPr>
        <w:br/>
        <w:t>With the change in methodology, WVDE/OSE also needed to revise the baseline and targets for this indicator to ensure that comparisons are accurate and meaningful. For Indicator 4A, the baseline for FFY 2023 was established using discipline data from SY 2021-22 and SY 2022-23. Zero LEAs exceeded a rate ratio of 3.00 for two consecutive years, resulting in a baseline of 0.00%. Consequently, the targets for FFY 2023 through FFY 2025 were set at 0%.</w:t>
      </w:r>
      <w:r w:rsidRPr="00781112">
        <w:rPr>
          <w:rFonts w:cs="Arial"/>
          <w:color w:val="000000" w:themeColor="text1"/>
          <w:szCs w:val="16"/>
        </w:rPr>
        <w:br/>
      </w:r>
      <w:r w:rsidRPr="00781112">
        <w:rPr>
          <w:rFonts w:cs="Arial"/>
          <w:color w:val="000000" w:themeColor="text1"/>
          <w:szCs w:val="16"/>
        </w:rPr>
        <w:br/>
        <w:t>This engagement process ensured that stakeholder input was integral in refining the methodology to better identify and address significant discrepancies in disciplinary practices for students with disabilities (SWD).</w:t>
      </w:r>
    </w:p>
    <w:p w14:paraId="2AE297AB" w14:textId="77777777" w:rsidR="007E6F97" w:rsidRPr="00781112" w:rsidRDefault="007E6F97" w:rsidP="004369B2">
      <w:pPr>
        <w:rPr>
          <w:color w:val="000000" w:themeColor="text1"/>
        </w:rPr>
      </w:pPr>
    </w:p>
    <w:bookmarkEnd w:id="23"/>
    <w:bookmarkEnd w:id="24"/>
    <w:p w14:paraId="2E616696" w14:textId="5918C7CC" w:rsidR="00D03701" w:rsidRPr="00781112" w:rsidRDefault="0047313F">
      <w:pPr>
        <w:rPr>
          <w:b/>
          <w:color w:val="000000" w:themeColor="text1"/>
        </w:rPr>
      </w:pPr>
      <w:r>
        <w:rPr>
          <w:b/>
          <w:color w:val="000000" w:themeColor="text1"/>
        </w:rPr>
        <w:t>FFY 2023 SPP/APR Data</w:t>
      </w:r>
    </w:p>
    <w:p w14:paraId="01DBD317" w14:textId="57913AA7" w:rsidR="009B02BC" w:rsidRPr="00781112" w:rsidRDefault="009B02BC">
      <w:pPr>
        <w:rPr>
          <w:rFonts w:cs="Arial"/>
          <w:b/>
          <w:color w:val="000000" w:themeColor="text1"/>
          <w:szCs w:val="16"/>
        </w:rPr>
      </w:pPr>
      <w:r w:rsidRPr="00781112">
        <w:rPr>
          <w:rFonts w:cs="Arial"/>
          <w:b/>
          <w:color w:val="000000" w:themeColor="text1"/>
          <w:szCs w:val="16"/>
        </w:rPr>
        <w:lastRenderedPageBreak/>
        <w:t>Has the state established a minimum n/cell-size requirement? (yes/no)</w:t>
      </w:r>
    </w:p>
    <w:p w14:paraId="6A8BDBAB" w14:textId="22481006" w:rsidR="009B02BC" w:rsidRPr="00781112" w:rsidRDefault="009B02BC">
      <w:pPr>
        <w:rPr>
          <w:rFonts w:cs="Arial"/>
          <w:color w:val="000000" w:themeColor="text1"/>
          <w:szCs w:val="16"/>
        </w:rPr>
      </w:pPr>
      <w:r w:rsidRPr="00781112">
        <w:rPr>
          <w:rFonts w:cs="Arial"/>
          <w:color w:val="000000" w:themeColor="text1"/>
          <w:szCs w:val="16"/>
        </w:rPr>
        <w:t>YES</w:t>
      </w:r>
    </w:p>
    <w:p w14:paraId="023C4A53" w14:textId="77777777" w:rsidR="00E52C16" w:rsidRPr="00FE4611" w:rsidRDefault="00E52C16" w:rsidP="00E52C16">
      <w:pPr>
        <w:rPr>
          <w:rFonts w:cs="Arial"/>
          <w:b/>
          <w:bCs/>
          <w:szCs w:val="16"/>
        </w:rPr>
      </w:pPr>
      <w:r w:rsidRPr="00FE4611">
        <w:rPr>
          <w:rFonts w:cs="Arial"/>
          <w:b/>
          <w:bCs/>
          <w:szCs w:val="16"/>
        </w:rPr>
        <w:t>If yes, the State must provide a definition of its minimum n and/or cell size itself and a description thereof (e.g., a State’s n size of 15 represents the number of children with disabilities enrolled in an LEA, and a State’s cell size of 5 represents the number of children with disabilities who have received out-of-school suspensions and expulsions of more than 10 days within the LEA).</w:t>
      </w:r>
    </w:p>
    <w:p w14:paraId="0BC43372" w14:textId="0071CE49" w:rsidR="00E52C16" w:rsidRDefault="00E52C16" w:rsidP="00E52C16">
      <w:pPr>
        <w:rPr>
          <w:rFonts w:cs="Arial"/>
          <w:szCs w:val="16"/>
        </w:rPr>
      </w:pPr>
      <w:r>
        <w:rPr>
          <w:rFonts w:cs="Arial"/>
          <w:szCs w:val="16"/>
        </w:rPr>
        <w:t xml:space="preserve">WVDE/OSE’s n-size of 20 represents the minimum number of students with disabilities (SWD) enrolled in an LEA to be used as the denominator in significant discrepancy calculations. </w:t>
      </w:r>
      <w:r>
        <w:rPr>
          <w:rFonts w:cs="Arial"/>
          <w:szCs w:val="16"/>
        </w:rPr>
        <w:br/>
      </w:r>
      <w:r>
        <w:rPr>
          <w:rFonts w:cs="Arial"/>
          <w:szCs w:val="16"/>
        </w:rPr>
        <w:br/>
        <w:t>The minimum cell size (i.e., the minimum number of SWDs enrolled in an LEA to be used as the numerator in significant discrepancy calculations) was removed from the updated methodology.</w:t>
      </w:r>
    </w:p>
    <w:p w14:paraId="53A12C6A" w14:textId="19E49E21" w:rsidR="00E52C16" w:rsidRPr="00E52C16" w:rsidRDefault="00E52C16" w:rsidP="00E52C16">
      <w:pPr>
        <w:rPr>
          <w:b/>
          <w:bCs/>
        </w:rPr>
      </w:pPr>
      <w:r w:rsidRPr="00FE4611">
        <w:rPr>
          <w:rFonts w:cs="Arial"/>
          <w:b/>
          <w:bCs/>
          <w:szCs w:val="16"/>
        </w:rPr>
        <w:t xml:space="preserve">If yes, the State </w:t>
      </w:r>
      <w:r w:rsidR="00F27659">
        <w:rPr>
          <w:rFonts w:cs="Arial"/>
          <w:b/>
          <w:bCs/>
          <w:szCs w:val="16"/>
        </w:rPr>
        <w:t xml:space="preserve">must </w:t>
      </w:r>
      <w:r w:rsidRPr="00FE4611">
        <w:rPr>
          <w:rFonts w:cs="Arial"/>
          <w:b/>
          <w:bCs/>
          <w:szCs w:val="16"/>
        </w:rPr>
        <w:t>also provide rationales for its minimum n and/or cell size, including why the definitions chosen are reasonable and based on stakeholder input, and how the definitions ensure that the State is appropriately analyzing and identifying LEAs with significant discrepancy.</w:t>
      </w:r>
    </w:p>
    <w:p w14:paraId="09D8A575" w14:textId="351AAC22" w:rsidR="00E52C16" w:rsidRPr="00FE4611" w:rsidRDefault="00E52C16" w:rsidP="00E52C16">
      <w:pPr>
        <w:rPr>
          <w:bCs/>
        </w:rPr>
      </w:pPr>
      <w:r w:rsidRPr="00FE4611">
        <w:rPr>
          <w:bCs/>
        </w:rPr>
        <w:t>The n-size (denominator) of 20 is consistent with WVDE’s minimum n-size for ESEA accountability reporting for subgroups. This ensures that the analysis includes a sufficient number of students to provide reliable data while maintaining consistency with other WV reporting requirements.</w:t>
      </w:r>
      <w:r w:rsidRPr="00FE4611">
        <w:rPr>
          <w:bCs/>
        </w:rPr>
        <w:br/>
      </w:r>
      <w:r w:rsidRPr="00FE4611">
        <w:rPr>
          <w:bCs/>
        </w:rPr>
        <w:br/>
        <w:t>The minimum cell size (numerator) requirement was eliminated to increase the inclusion of LEAs in the analysis. This change was based on stakeholder feedback, which highlighted the need for a more comprehensive analysis.</w:t>
      </w:r>
    </w:p>
    <w:p w14:paraId="04BE6AD8" w14:textId="77777777" w:rsidR="00E52C16" w:rsidRPr="00FE4611" w:rsidRDefault="00E52C16" w:rsidP="00E52C16">
      <w:pPr>
        <w:rPr>
          <w:rFonts w:cs="Arial"/>
          <w:b/>
          <w:bCs/>
          <w:szCs w:val="16"/>
        </w:rPr>
      </w:pPr>
      <w:r w:rsidRPr="00FE4611">
        <w:rPr>
          <w:rFonts w:cs="Arial"/>
          <w:b/>
          <w:bCs/>
          <w:szCs w:val="16"/>
        </w:rPr>
        <w:t xml:space="preserve">If yes, the State must also indicate whether the minimum n and/or cell size represents a change from the prior SPP/APR reporting period. </w:t>
      </w:r>
    </w:p>
    <w:p w14:paraId="7777FAFF" w14:textId="35AE62FF" w:rsidR="00E52C16" w:rsidRPr="00FE4611" w:rsidRDefault="00E52C16" w:rsidP="00E52C16">
      <w:r w:rsidRPr="00FE4611">
        <w:t>While the minimum n-size (denominator) did not change from the prior SPP/APR reporting period, the minimum cell size (numerator) was removed.</w:t>
      </w:r>
    </w:p>
    <w:p w14:paraId="793792D6" w14:textId="77777777" w:rsidR="00E52C16" w:rsidRPr="00E52C16" w:rsidRDefault="00E52C16" w:rsidP="007F76DD">
      <w:pPr>
        <w:rPr>
          <w:b/>
          <w:bCs/>
        </w:rPr>
      </w:pPr>
      <w:r w:rsidRPr="00FE4611">
        <w:rPr>
          <w:rFonts w:cs="Arial"/>
          <w:b/>
          <w:bCs/>
          <w:szCs w:val="16"/>
        </w:rPr>
        <w:t>If yes, the State must provide an explanation why the minimum n and/or cell size was changed.</w:t>
      </w:r>
    </w:p>
    <w:p w14:paraId="5EF3130E" w14:textId="74C10974" w:rsidR="00E52C16" w:rsidRPr="00FE4611" w:rsidRDefault="00E52C16" w:rsidP="00E52C16">
      <w:pPr>
        <w:rPr>
          <w:bCs/>
        </w:rPr>
      </w:pPr>
      <w:r w:rsidRPr="00FE4611">
        <w:rPr>
          <w:bCs/>
        </w:rPr>
        <w:t>The minimum cell size (numerator) requirement was eliminated to increase the number of LEAs included in the analysis. This change was based on stakeholder feedback, which highlighted the need for a more comprehensive approach.</w:t>
      </w:r>
    </w:p>
    <w:p w14:paraId="1DB615CF" w14:textId="24F3318C" w:rsidR="009B02BC" w:rsidRPr="00781112" w:rsidRDefault="009B02BC">
      <w:pPr>
        <w:rPr>
          <w:rFonts w:cs="Arial"/>
          <w:b/>
          <w:color w:val="000000" w:themeColor="text1"/>
          <w:szCs w:val="16"/>
        </w:rPr>
      </w:pPr>
      <w:r w:rsidRPr="00781112">
        <w:rPr>
          <w:rFonts w:cs="Arial"/>
          <w:b/>
          <w:color w:val="000000" w:themeColor="text1"/>
          <w:szCs w:val="16"/>
        </w:rPr>
        <w:t>If yes, the State may only include, in both the numerator and the denominator, LEAs that met that State-established n/cell size</w:t>
      </w:r>
      <w:r w:rsidRPr="00FE4611">
        <w:rPr>
          <w:rFonts w:cs="Arial"/>
          <w:bCs/>
          <w:color w:val="000000" w:themeColor="text1"/>
          <w:szCs w:val="16"/>
        </w:rPr>
        <w:t xml:space="preserve">. </w:t>
      </w:r>
      <w:r w:rsidR="00E52C16" w:rsidRPr="00FE4611">
        <w:rPr>
          <w:rFonts w:cs="Arial"/>
          <w:b/>
          <w:szCs w:val="16"/>
        </w:rPr>
        <w:t>If the State used a minimum n and/or cell size requirement, report the number of LEAs totally excluded from the calculation as a result of this requirement.</w:t>
      </w:r>
    </w:p>
    <w:p w14:paraId="5F36FA89" w14:textId="7B8DA8B5" w:rsidR="009B02BC" w:rsidRPr="00781112" w:rsidRDefault="009B02BC" w:rsidP="004369B2">
      <w:pPr>
        <w:rPr>
          <w:rFonts w:cs="Arial"/>
          <w:color w:val="000000" w:themeColor="text1"/>
          <w:szCs w:val="16"/>
        </w:rPr>
      </w:pPr>
      <w:r w:rsidRPr="00781112">
        <w:rPr>
          <w:rFonts w:cs="Arial"/>
          <w:color w:val="000000" w:themeColor="text1"/>
          <w:szCs w:val="16"/>
        </w:rPr>
        <w:t>0</w:t>
      </w:r>
    </w:p>
    <w:p w14:paraId="4E14BC0D" w14:textId="77777777" w:rsidR="00A14B5D" w:rsidRPr="00781112" w:rsidRDefault="00A14B5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CFFYAPRDATA"/>
      </w:tblPr>
      <w:tblGrid>
        <w:gridCol w:w="1410"/>
        <w:gridCol w:w="1897"/>
        <w:gridCol w:w="1368"/>
        <w:gridCol w:w="1890"/>
        <w:gridCol w:w="1260"/>
        <w:gridCol w:w="1439"/>
        <w:gridCol w:w="1526"/>
      </w:tblGrid>
      <w:tr w:rsidR="00450F98" w:rsidRPr="00781112" w14:paraId="25961F2E" w14:textId="5D241BED" w:rsidTr="00E95FBF">
        <w:trPr>
          <w:trHeight w:val="994"/>
          <w:jc w:val="center"/>
        </w:trPr>
        <w:tc>
          <w:tcPr>
            <w:tcW w:w="653" w:type="pct"/>
            <w:shd w:val="clear" w:color="auto" w:fill="auto"/>
            <w:vAlign w:val="bottom"/>
          </w:tcPr>
          <w:p w14:paraId="1D711F21" w14:textId="471FE8E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have a significant discrepancy</w:t>
            </w:r>
          </w:p>
        </w:tc>
        <w:tc>
          <w:tcPr>
            <w:tcW w:w="879" w:type="pct"/>
            <w:shd w:val="clear" w:color="auto" w:fill="auto"/>
            <w:vAlign w:val="bottom"/>
          </w:tcPr>
          <w:p w14:paraId="196C509D" w14:textId="54B65E7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634" w:type="pct"/>
            <w:shd w:val="clear" w:color="auto" w:fill="auto"/>
            <w:vAlign w:val="bottom"/>
          </w:tcPr>
          <w:p w14:paraId="20C8255F" w14:textId="20C07B90" w:rsidR="00450F98" w:rsidRPr="00073BD7" w:rsidRDefault="00450F98" w:rsidP="00450F98">
            <w:pPr>
              <w:jc w:val="center"/>
              <w:rPr>
                <w:rFonts w:cs="Arial"/>
                <w:b/>
                <w:bCs/>
                <w:color w:val="000000" w:themeColor="text1"/>
                <w:szCs w:val="16"/>
              </w:rPr>
            </w:pPr>
            <w:r w:rsidRPr="00073BD7">
              <w:rPr>
                <w:b/>
                <w:bCs/>
              </w:rPr>
              <w:t>FFY 2022 Data</w:t>
            </w:r>
          </w:p>
        </w:tc>
        <w:tc>
          <w:tcPr>
            <w:tcW w:w="876" w:type="pct"/>
            <w:shd w:val="clear" w:color="auto" w:fill="auto"/>
            <w:vAlign w:val="bottom"/>
          </w:tcPr>
          <w:p w14:paraId="2298BC2C" w14:textId="13510387" w:rsidR="00450F98" w:rsidRPr="00073BD7" w:rsidRDefault="00450F98" w:rsidP="00450F98">
            <w:pPr>
              <w:jc w:val="center"/>
              <w:rPr>
                <w:rFonts w:cs="Arial"/>
                <w:b/>
                <w:bCs/>
                <w:color w:val="000000" w:themeColor="text1"/>
                <w:szCs w:val="16"/>
              </w:rPr>
            </w:pPr>
            <w:r w:rsidRPr="00073BD7">
              <w:rPr>
                <w:b/>
                <w:bCs/>
              </w:rPr>
              <w:t>FFY 2023 Target</w:t>
            </w:r>
          </w:p>
        </w:tc>
        <w:tc>
          <w:tcPr>
            <w:tcW w:w="584" w:type="pct"/>
            <w:shd w:val="clear" w:color="auto" w:fill="auto"/>
            <w:vAlign w:val="bottom"/>
          </w:tcPr>
          <w:p w14:paraId="3E9B682A" w14:textId="26011F12" w:rsidR="00450F98" w:rsidRPr="00073BD7" w:rsidRDefault="00450F98" w:rsidP="00450F98">
            <w:pPr>
              <w:jc w:val="center"/>
              <w:rPr>
                <w:rFonts w:cs="Arial"/>
                <w:b/>
                <w:bCs/>
                <w:color w:val="000000" w:themeColor="text1"/>
                <w:szCs w:val="16"/>
              </w:rPr>
            </w:pPr>
            <w:r w:rsidRPr="00073BD7">
              <w:rPr>
                <w:b/>
                <w:bCs/>
              </w:rPr>
              <w:t>FFY 2023 Data</w:t>
            </w:r>
          </w:p>
        </w:tc>
        <w:tc>
          <w:tcPr>
            <w:tcW w:w="667" w:type="pct"/>
            <w:shd w:val="clear" w:color="auto" w:fill="auto"/>
            <w:vAlign w:val="bottom"/>
          </w:tcPr>
          <w:p w14:paraId="7B5A071B" w14:textId="6C45C0BB" w:rsidR="00450F98" w:rsidRPr="00781112" w:rsidRDefault="00450F98" w:rsidP="00450F98">
            <w:pPr>
              <w:jc w:val="center"/>
              <w:rPr>
                <w:rFonts w:cs="Arial"/>
                <w:b/>
                <w:color w:val="000000" w:themeColor="text1"/>
                <w:szCs w:val="16"/>
              </w:rPr>
            </w:pPr>
            <w:r w:rsidRPr="00781112">
              <w:rPr>
                <w:rFonts w:cs="Arial"/>
                <w:b/>
                <w:color w:val="000000" w:themeColor="text1"/>
                <w:szCs w:val="16"/>
              </w:rPr>
              <w:t>Status</w:t>
            </w:r>
          </w:p>
        </w:tc>
        <w:tc>
          <w:tcPr>
            <w:tcW w:w="707" w:type="pct"/>
            <w:shd w:val="clear" w:color="auto" w:fill="auto"/>
            <w:vAlign w:val="bottom"/>
          </w:tcPr>
          <w:p w14:paraId="4D50491C" w14:textId="7F184394" w:rsidR="00450F98" w:rsidRPr="00781112" w:rsidRDefault="00450F98" w:rsidP="00450F98">
            <w:pPr>
              <w:jc w:val="center"/>
              <w:rPr>
                <w:rFonts w:cs="Arial"/>
                <w:b/>
                <w:color w:val="000000" w:themeColor="text1"/>
                <w:szCs w:val="16"/>
              </w:rPr>
            </w:pPr>
            <w:r w:rsidRPr="00781112">
              <w:rPr>
                <w:rFonts w:cs="Arial"/>
                <w:b/>
                <w:color w:val="000000" w:themeColor="text1"/>
                <w:szCs w:val="16"/>
              </w:rPr>
              <w:t>Slippage</w:t>
            </w:r>
          </w:p>
        </w:tc>
      </w:tr>
      <w:tr w:rsidR="005C29F8" w:rsidRPr="00781112" w14:paraId="0246961D" w14:textId="1C11943C" w:rsidTr="00E95FBF">
        <w:trPr>
          <w:trHeight w:val="233"/>
          <w:jc w:val="center"/>
        </w:trPr>
        <w:tc>
          <w:tcPr>
            <w:tcW w:w="653" w:type="pct"/>
            <w:shd w:val="clear" w:color="auto" w:fill="auto"/>
            <w:vAlign w:val="center"/>
          </w:tcPr>
          <w:p w14:paraId="0B36F15E" w14:textId="239D7181" w:rsidR="00A862C3"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879" w:type="pct"/>
            <w:shd w:val="clear" w:color="auto" w:fill="auto"/>
          </w:tcPr>
          <w:p w14:paraId="77E03427" w14:textId="31D4B2F4" w:rsidR="00A862C3" w:rsidRPr="00781112" w:rsidRDefault="002B7490" w:rsidP="00A018D4">
            <w:pPr>
              <w:jc w:val="center"/>
              <w:rPr>
                <w:rFonts w:cs="Arial"/>
                <w:color w:val="000000" w:themeColor="text1"/>
                <w:szCs w:val="16"/>
              </w:rPr>
            </w:pPr>
            <w:r w:rsidRPr="00781112">
              <w:rPr>
                <w:rFonts w:cs="Arial"/>
                <w:color w:val="000000" w:themeColor="text1"/>
                <w:szCs w:val="16"/>
              </w:rPr>
              <w:t>61</w:t>
            </w:r>
          </w:p>
        </w:tc>
        <w:tc>
          <w:tcPr>
            <w:tcW w:w="634" w:type="pct"/>
            <w:shd w:val="clear" w:color="auto" w:fill="auto"/>
          </w:tcPr>
          <w:p w14:paraId="12EAED8C" w14:textId="23973C25" w:rsidR="00A862C3" w:rsidRPr="00781112" w:rsidRDefault="002B7490" w:rsidP="00A018D4">
            <w:pPr>
              <w:jc w:val="center"/>
              <w:rPr>
                <w:rFonts w:cs="Arial"/>
                <w:color w:val="000000" w:themeColor="text1"/>
                <w:szCs w:val="16"/>
              </w:rPr>
            </w:pPr>
            <w:r w:rsidRPr="00781112">
              <w:rPr>
                <w:rFonts w:cs="Arial"/>
                <w:color w:val="000000" w:themeColor="text1"/>
                <w:szCs w:val="16"/>
              </w:rPr>
              <w:t>8.33%</w:t>
            </w:r>
          </w:p>
        </w:tc>
        <w:tc>
          <w:tcPr>
            <w:tcW w:w="876" w:type="pct"/>
            <w:shd w:val="clear" w:color="auto" w:fill="auto"/>
          </w:tcPr>
          <w:p w14:paraId="0310AC78" w14:textId="48F7D944" w:rsidR="00A862C3"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584" w:type="pct"/>
            <w:shd w:val="clear" w:color="auto" w:fill="auto"/>
          </w:tcPr>
          <w:p w14:paraId="411F4E7C" w14:textId="0AFD7B4B" w:rsidR="00A862C3"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667" w:type="pct"/>
            <w:shd w:val="clear" w:color="auto" w:fill="auto"/>
          </w:tcPr>
          <w:p w14:paraId="000F74CB" w14:textId="0986D493" w:rsidR="00A862C3"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707" w:type="pct"/>
            <w:shd w:val="clear" w:color="auto" w:fill="auto"/>
          </w:tcPr>
          <w:p w14:paraId="69708C33" w14:textId="1D4517AD" w:rsidR="00A862C3"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278EEC3E" w14:textId="77777777" w:rsidR="006D741F" w:rsidRPr="00781112" w:rsidRDefault="00082667" w:rsidP="00286BDF">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444FB8E0" w14:textId="3109DE1E" w:rsidR="002C705B" w:rsidRPr="00781112" w:rsidRDefault="002B7490" w:rsidP="00286BDF">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4F94634D" w14:textId="77777777" w:rsidR="00082667" w:rsidRPr="00781112" w:rsidRDefault="00082667" w:rsidP="00286BDF">
      <w:pPr>
        <w:rPr>
          <w:rFonts w:cs="Arial"/>
          <w:b/>
          <w:color w:val="000000" w:themeColor="text1"/>
          <w:szCs w:val="16"/>
        </w:rPr>
      </w:pPr>
      <w:r w:rsidRPr="00781112">
        <w:rPr>
          <w:rFonts w:cs="Arial"/>
          <w:b/>
          <w:color w:val="000000" w:themeColor="text1"/>
          <w:szCs w:val="16"/>
        </w:rPr>
        <w:t>State’s definition of “significant discrepancy” and methodology</w:t>
      </w:r>
    </w:p>
    <w:p w14:paraId="37248070" w14:textId="1657C005" w:rsidR="00A869E9" w:rsidRPr="00781112" w:rsidRDefault="002B7490" w:rsidP="0085119E">
      <w:pPr>
        <w:rPr>
          <w:rFonts w:cs="Arial"/>
          <w:color w:val="000000" w:themeColor="text1"/>
          <w:szCs w:val="16"/>
        </w:rPr>
      </w:pPr>
      <w:r w:rsidRPr="00781112">
        <w:rPr>
          <w:rFonts w:cs="Arial"/>
          <w:color w:val="000000" w:themeColor="text1"/>
          <w:szCs w:val="16"/>
        </w:rPr>
        <w:t>DEFINITION OF “SIGNIFICANT DISCREPANCY”</w:t>
      </w:r>
      <w:r w:rsidRPr="00781112">
        <w:rPr>
          <w:rFonts w:cs="Arial"/>
          <w:color w:val="000000" w:themeColor="text1"/>
          <w:szCs w:val="16"/>
        </w:rPr>
        <w:br/>
        <w:t xml:space="preserve">A “significant discrepancy” is identified when an LEA's rate ratio of suspensions/expulsions of more than 10 days for students with disabilities (SWD) is 3.00 or higher for two consecutive years. This means the LEA's rate of suspensions/expulsions of more than 10 days for SWDs is three or more times the state rate of suspensions/expulsions of more than 10 days for SWDs for two years in a row. The two-year rolling review allows LEAs time to implement systemic improvements before being identified for further review. </w:t>
      </w:r>
      <w:r w:rsidRPr="00781112">
        <w:rPr>
          <w:rFonts w:cs="Arial"/>
          <w:color w:val="000000" w:themeColor="text1"/>
          <w:szCs w:val="16"/>
        </w:rPr>
        <w:br/>
      </w:r>
      <w:r w:rsidRPr="00781112">
        <w:rPr>
          <w:rFonts w:cs="Arial"/>
          <w:color w:val="000000" w:themeColor="text1"/>
          <w:szCs w:val="16"/>
        </w:rPr>
        <w:br/>
        <w:t>RATE RATIO CALCULATION</w:t>
      </w:r>
      <w:r w:rsidRPr="00781112">
        <w:rPr>
          <w:rFonts w:cs="Arial"/>
          <w:color w:val="000000" w:themeColor="text1"/>
          <w:szCs w:val="16"/>
        </w:rPr>
        <w:br/>
        <w:t>The calculation includes the number of SWDs suspended/expelled greater than 10 days in an LEA as the numerator, and the number of SWDs in an LEA as the denominator, multiplied by 100. The rate ratio is then calculated by dividing each LEA's rate of suspensions/expulsions of more than 10 days for SWDs by the state's overall rate.</w:t>
      </w:r>
      <w:r w:rsidRPr="00781112">
        <w:rPr>
          <w:rFonts w:cs="Arial"/>
          <w:color w:val="000000" w:themeColor="text1"/>
          <w:szCs w:val="16"/>
        </w:rPr>
        <w:br/>
      </w:r>
      <w:r w:rsidRPr="00781112">
        <w:rPr>
          <w:rFonts w:cs="Arial"/>
          <w:color w:val="000000" w:themeColor="text1"/>
          <w:szCs w:val="16"/>
        </w:rPr>
        <w:br/>
        <w:t>The state-level long-term suspension and expulsion rates for SWDs are variable and calculated annually. Each year, the state-level long-term suspension and expulsion rate is used dynamically in the methodology to determine whether an LEA's rate ratio is 3.00 or higher. For this reporting period (i.e., for the FFY 2023 SPP/APR, using data from SY 2022–23), the state-level long-term suspension and expulsion rate was 1.79%. This annual update ensures that the comparison reflects the most current data and accurately captures any changes in trends over time. Using a variable state-level long-term suspension and expulsion rate accounts for shifts in suspension and expulsion trends, ensuring that the methodology remains responsive to changes in policies, practices, and student populations. This approach promotes fairness by comparing LEAs to the most recent state-level data available each year.</w:t>
      </w:r>
      <w:r w:rsidRPr="00781112">
        <w:rPr>
          <w:rFonts w:cs="Arial"/>
          <w:color w:val="000000" w:themeColor="text1"/>
          <w:szCs w:val="16"/>
        </w:rPr>
        <w:br/>
      </w:r>
      <w:r w:rsidRPr="00781112">
        <w:rPr>
          <w:rFonts w:cs="Arial"/>
          <w:color w:val="000000" w:themeColor="text1"/>
          <w:szCs w:val="16"/>
        </w:rPr>
        <w:br/>
        <w:t>RATE RATIO INTERPRETATION</w:t>
      </w:r>
      <w:r w:rsidRPr="00781112">
        <w:rPr>
          <w:rFonts w:cs="Arial"/>
          <w:color w:val="000000" w:themeColor="text1"/>
          <w:szCs w:val="16"/>
        </w:rPr>
        <w:br/>
        <w:t>— A rate ratio of 1.00 means the LEA rate is the same as the state rate.</w:t>
      </w:r>
      <w:r w:rsidRPr="00781112">
        <w:rPr>
          <w:rFonts w:cs="Arial"/>
          <w:color w:val="000000" w:themeColor="text1"/>
          <w:szCs w:val="16"/>
        </w:rPr>
        <w:br/>
        <w:t>— A rate ratio above 1.00 means the LEA rate is higher than the state rate. For example, a rate ratio of 2.00 means the LEA rate is twice as high as the state rate.</w:t>
      </w:r>
      <w:r w:rsidRPr="00781112">
        <w:rPr>
          <w:rFonts w:cs="Arial"/>
          <w:color w:val="000000" w:themeColor="text1"/>
          <w:szCs w:val="16"/>
        </w:rPr>
        <w:br/>
        <w:t>— A rate ratio below 1.00 means the LEA rate is lower than the state rate. For example, a rate ratio of 0.50 means the LEA rate is half as high as the state rate.</w:t>
      </w:r>
      <w:r w:rsidRPr="00781112">
        <w:rPr>
          <w:rFonts w:cs="Arial"/>
          <w:color w:val="000000" w:themeColor="text1"/>
          <w:szCs w:val="16"/>
        </w:rPr>
        <w:br/>
      </w:r>
      <w:r w:rsidRPr="00781112">
        <w:rPr>
          <w:rFonts w:cs="Arial"/>
          <w:color w:val="000000" w:themeColor="text1"/>
          <w:szCs w:val="16"/>
        </w:rPr>
        <w:br/>
        <w:t>INCLUSION CRITERIA</w:t>
      </w:r>
      <w:r w:rsidRPr="00781112">
        <w:rPr>
          <w:rFonts w:cs="Arial"/>
          <w:color w:val="000000" w:themeColor="text1"/>
          <w:szCs w:val="16"/>
        </w:rPr>
        <w:br/>
        <w:t>The analysis includes all LEAs with a minimum n-size (denominator) of 20 SWDs.</w:t>
      </w:r>
    </w:p>
    <w:p w14:paraId="47F07052" w14:textId="3420EC7A" w:rsidR="00BB504D" w:rsidRPr="00781112" w:rsidRDefault="00BB504D" w:rsidP="004369B2">
      <w:pPr>
        <w:rPr>
          <w:b/>
          <w:color w:val="000000" w:themeColor="text1"/>
        </w:rPr>
      </w:pPr>
      <w:bookmarkStart w:id="25" w:name="_Toc384383334"/>
      <w:bookmarkStart w:id="26" w:name="_Toc392159286"/>
      <w:r w:rsidRPr="00781112">
        <w:rPr>
          <w:b/>
          <w:color w:val="000000" w:themeColor="text1"/>
        </w:rPr>
        <w:t>Provide additional information about this indicator (optional)</w:t>
      </w:r>
    </w:p>
    <w:p w14:paraId="0275E470" w14:textId="5748926D" w:rsidR="00A869E9" w:rsidRPr="00781112" w:rsidRDefault="002B7490" w:rsidP="000E33D0">
      <w:pPr>
        <w:rPr>
          <w:rFonts w:cs="Arial"/>
          <w:color w:val="000000" w:themeColor="text1"/>
          <w:szCs w:val="16"/>
        </w:rPr>
      </w:pPr>
      <w:r w:rsidRPr="00781112">
        <w:rPr>
          <w:rFonts w:cs="Arial"/>
          <w:color w:val="000000" w:themeColor="text1"/>
          <w:szCs w:val="16"/>
        </w:rPr>
        <w:t>Although 62 LEAs are reflected in the total number of LEAs in the FFY 2023 SPP/APR Introduction, this indicator is based on data from the 61 LEAs in operation during SY 2022-23.</w:t>
      </w:r>
    </w:p>
    <w:bookmarkEnd w:id="25"/>
    <w:bookmarkEnd w:id="26"/>
    <w:p w14:paraId="227CCB46" w14:textId="77777777" w:rsidR="007E6F97" w:rsidRPr="00781112" w:rsidRDefault="007E6F97" w:rsidP="004369B2">
      <w:pPr>
        <w:rPr>
          <w:color w:val="000000" w:themeColor="text1"/>
        </w:rPr>
      </w:pPr>
    </w:p>
    <w:p w14:paraId="3F63E777" w14:textId="0DC81458" w:rsidR="00082667" w:rsidRPr="00781112" w:rsidRDefault="00082667" w:rsidP="004369B2">
      <w:pPr>
        <w:rPr>
          <w:color w:val="000000" w:themeColor="text1"/>
        </w:rPr>
      </w:pPr>
      <w:r w:rsidRPr="00781112">
        <w:rPr>
          <w:b/>
          <w:color w:val="000000" w:themeColor="text1"/>
        </w:rPr>
        <w:lastRenderedPageBreak/>
        <w:t>Review of Policies, Procedures, and Practices (completed in FFY 2023 using 2022-2023 data)</w:t>
      </w:r>
    </w:p>
    <w:p w14:paraId="76B39D83" w14:textId="1E1AB613" w:rsidR="00082667" w:rsidRPr="00781112" w:rsidRDefault="00571EAB" w:rsidP="00162F4A">
      <w:pPr>
        <w:rPr>
          <w:b/>
          <w:color w:val="000000" w:themeColor="text1"/>
        </w:rPr>
      </w:pPr>
      <w:r w:rsidRPr="00781112">
        <w:rPr>
          <w:b/>
          <w:color w:val="000000" w:themeColor="text1"/>
        </w:rPr>
        <w:t>Provide a description of the review of policies, procedures, and practices relating to the development and implementation of IEPs, the use of positive behavioral interventions and supports, and procedural safeguards.</w:t>
      </w:r>
    </w:p>
    <w:p w14:paraId="040DE8B4" w14:textId="52454A8A" w:rsidR="002D57DA" w:rsidRPr="00781112" w:rsidRDefault="002B7490" w:rsidP="00082667">
      <w:pPr>
        <w:rPr>
          <w:rFonts w:cs="Arial"/>
          <w:color w:val="000000" w:themeColor="text1"/>
          <w:szCs w:val="16"/>
        </w:rPr>
      </w:pPr>
      <w:r w:rsidRPr="00781112">
        <w:rPr>
          <w:rFonts w:cs="Arial"/>
          <w:color w:val="000000" w:themeColor="text1"/>
          <w:szCs w:val="16"/>
        </w:rPr>
        <w:t xml:space="preserve">Following our analysis, based on the two-year rolling review methodology, zero (0) LEAs were identified with a significant discrepancy. </w:t>
      </w:r>
      <w:r w:rsidRPr="00781112">
        <w:rPr>
          <w:rFonts w:cs="Arial"/>
          <w:color w:val="000000" w:themeColor="text1"/>
          <w:szCs w:val="16"/>
        </w:rPr>
        <w:br/>
      </w:r>
      <w:r w:rsidRPr="00781112">
        <w:rPr>
          <w:rFonts w:cs="Arial"/>
          <w:color w:val="000000" w:themeColor="text1"/>
          <w:szCs w:val="16"/>
        </w:rPr>
        <w:br/>
        <w:t>Furthermore, in the first year of implementing this methodology and using SY 2022-23 data, zero (0) LEAs exceeded the 3.00 rate ratio for suspensions/expulsions of more than 10 days for students with disabilities. Consequently, a review of policies, procedures, and practices relating to the development and implementation of IEPs, the use of positive behavioral interventions and supports, and procedural safeguards was not required, consistent with 34 CFR 300.170(b).</w:t>
      </w:r>
    </w:p>
    <w:p w14:paraId="47497C41" w14:textId="77777777" w:rsidR="003B64C0" w:rsidRPr="00781112" w:rsidRDefault="003B64C0" w:rsidP="00082667">
      <w:pPr>
        <w:rPr>
          <w:rFonts w:cs="Arial"/>
          <w:color w:val="000000" w:themeColor="text1"/>
          <w:szCs w:val="16"/>
        </w:rPr>
      </w:pPr>
    </w:p>
    <w:p w14:paraId="38E1E629" w14:textId="1EF02333" w:rsidR="003B64C0" w:rsidRPr="00781112" w:rsidRDefault="003B64C0" w:rsidP="00082667">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14:paraId="1295BAEB" w14:textId="77777777" w:rsidR="007E6F97" w:rsidRPr="00781112" w:rsidRDefault="007E6F97" w:rsidP="004369B2">
      <w:pPr>
        <w:rPr>
          <w:color w:val="000000" w:themeColor="text1"/>
        </w:rPr>
      </w:pPr>
      <w:bookmarkStart w:id="27" w:name="_Toc381956335"/>
      <w:bookmarkStart w:id="28" w:name="_Toc384383336"/>
      <w:bookmarkStart w:id="29" w:name="_Toc392159288"/>
    </w:p>
    <w:p w14:paraId="0496594E" w14:textId="4FC1341B" w:rsidR="00B9048A"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PFFYNCFINDINGS"/>
      </w:tblPr>
      <w:tblGrid>
        <w:gridCol w:w="2613"/>
        <w:gridCol w:w="2743"/>
        <w:gridCol w:w="2620"/>
        <w:gridCol w:w="2814"/>
      </w:tblGrid>
      <w:tr w:rsidR="005C29F8" w:rsidRPr="00781112" w14:paraId="5E5B522D" w14:textId="77777777" w:rsidTr="000D3273">
        <w:trPr>
          <w:trHeight w:val="389"/>
          <w:tblHeader/>
        </w:trPr>
        <w:tc>
          <w:tcPr>
            <w:tcW w:w="1211" w:type="pct"/>
            <w:shd w:val="clear" w:color="auto" w:fill="auto"/>
            <w:vAlign w:val="bottom"/>
          </w:tcPr>
          <w:p w14:paraId="16ECB6B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122A58D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7D9FA33F"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704691F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1836014" w14:textId="77777777" w:rsidTr="000D3273">
        <w:tc>
          <w:tcPr>
            <w:tcW w:w="1211" w:type="pct"/>
            <w:shd w:val="clear" w:color="auto" w:fill="auto"/>
          </w:tcPr>
          <w:p w14:paraId="706C7C42" w14:textId="616D64A9" w:rsidR="00B9048A" w:rsidRPr="00781112" w:rsidRDefault="002B7490" w:rsidP="00A018D4">
            <w:pPr>
              <w:jc w:val="center"/>
              <w:rPr>
                <w:rFonts w:cs="Arial"/>
                <w:color w:val="000000" w:themeColor="text1"/>
                <w:szCs w:val="16"/>
              </w:rPr>
            </w:pPr>
            <w:r w:rsidRPr="00781112">
              <w:rPr>
                <w:rFonts w:cs="Arial"/>
                <w:color w:val="000000" w:themeColor="text1"/>
                <w:szCs w:val="16"/>
              </w:rPr>
              <w:t>3</w:t>
            </w:r>
          </w:p>
        </w:tc>
        <w:tc>
          <w:tcPr>
            <w:tcW w:w="1271" w:type="pct"/>
            <w:shd w:val="clear" w:color="auto" w:fill="auto"/>
          </w:tcPr>
          <w:p w14:paraId="0CE7F01B" w14:textId="4009BBFE" w:rsidR="00B9048A" w:rsidRPr="00781112" w:rsidRDefault="002B7490" w:rsidP="00A018D4">
            <w:pPr>
              <w:jc w:val="center"/>
              <w:rPr>
                <w:rFonts w:cs="Arial"/>
                <w:color w:val="000000" w:themeColor="text1"/>
                <w:szCs w:val="16"/>
              </w:rPr>
            </w:pPr>
            <w:r w:rsidRPr="00781112">
              <w:rPr>
                <w:rFonts w:cs="Arial"/>
                <w:color w:val="000000" w:themeColor="text1"/>
                <w:szCs w:val="16"/>
              </w:rPr>
              <w:t>3</w:t>
            </w:r>
          </w:p>
        </w:tc>
        <w:tc>
          <w:tcPr>
            <w:tcW w:w="1214" w:type="pct"/>
            <w:shd w:val="clear" w:color="auto" w:fill="auto"/>
          </w:tcPr>
          <w:p w14:paraId="38F306AA" w14:textId="2CC74FE3"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E536CD7" w14:textId="387A8666"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24A37C77" w14:textId="41F8DC3B" w:rsidR="000C7B90" w:rsidRPr="00781112" w:rsidRDefault="00450F98" w:rsidP="004369B2">
      <w:pPr>
        <w:rPr>
          <w:color w:val="000000" w:themeColor="text1"/>
        </w:rPr>
      </w:pPr>
      <w:r>
        <w:rPr>
          <w:b/>
          <w:color w:val="000000" w:themeColor="text1"/>
        </w:rPr>
        <w:t>FFY 2022 Findings of Noncompliance Verified as Corrected</w:t>
      </w:r>
    </w:p>
    <w:p w14:paraId="2EEAB142" w14:textId="77777777" w:rsidR="000C7B90" w:rsidRPr="00781112" w:rsidRDefault="000C7B90" w:rsidP="000C7B90">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122C88BB" w14:textId="2B7DB81A" w:rsidR="002D57DA" w:rsidRPr="00781112" w:rsidRDefault="002B7490" w:rsidP="000C7B90">
      <w:pPr>
        <w:rPr>
          <w:rFonts w:cs="Arial"/>
          <w:color w:val="000000" w:themeColor="text1"/>
          <w:szCs w:val="16"/>
        </w:rPr>
      </w:pPr>
      <w:r w:rsidRPr="00781112">
        <w:rPr>
          <w:rFonts w:cs="Arial"/>
          <w:color w:val="000000" w:themeColor="text1"/>
          <w:szCs w:val="16"/>
        </w:rPr>
        <w:t>Consistent with OSEP QA 23-01, correct implementation of the specific regulatory requirements was verified through a review of updated data for the three (3) LEAs identified in FFY 2022 as having both a significant discrepancy and related findings of noncompliance with Part B requirements. Subsequent file reviews of additional students were conducted by WVDE/OSE to verify correction of noncompliance for each issue identified in the initial file reviews. Ongoing feedback and technical assistance were provided by WVDE/OSE after each subsequent review. Upon completion of subsequent reviews, WVDE/OSE verified that the three (3) LEAs were each correctly implementing state and federal regulatory requirements. Further, none of the three (3) LEAs exceeded the rate ratio threshold for significant discrepancy for Indicator 4A the following school year.</w:t>
      </w:r>
    </w:p>
    <w:p w14:paraId="19EA66A5" w14:textId="77777777" w:rsidR="000C7B90" w:rsidRPr="00781112" w:rsidRDefault="000C7B90" w:rsidP="000C7B90">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28F91843" w14:textId="555534F3" w:rsidR="002D57DA" w:rsidRPr="00781112" w:rsidRDefault="002B7490" w:rsidP="000C7B90">
      <w:pPr>
        <w:rPr>
          <w:rFonts w:cs="Arial"/>
          <w:color w:val="000000" w:themeColor="text1"/>
          <w:szCs w:val="16"/>
        </w:rPr>
      </w:pPr>
      <w:r w:rsidRPr="00781112">
        <w:rPr>
          <w:rFonts w:cs="Arial"/>
          <w:color w:val="000000" w:themeColor="text1"/>
          <w:szCs w:val="16"/>
        </w:rPr>
        <w:t>Of the twenty (20) individual cases of noncompliance from the three (3) LEAs identified as having a significant discrepancy, WVDE/OSE verified through a subsequent review of updated data obtained from WVEIS, documentation submitted by the LEAs, or an on-site visit that six (6) students were no longer within the jurisdiction of the LEAs, and that the other fourteen (14) individual cases of noncompliance were verified as corrected if those students were no longer being suspended/expelled for more than 10 days in a school year, if the individual corrections to the previously noncompliant procedures and practices were completed and verified, or, if suspensions/expulsions exceeded 10 days, the subsequent reviews of those student files indicated compliance with the relevant regulatory requirements consistent with OSEP QA 23-01.</w:t>
      </w:r>
    </w:p>
    <w:p w14:paraId="6809AF49" w14:textId="541B0318" w:rsidR="00B9048A"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PPFFYNCFINDINGS"/>
      </w:tblPr>
      <w:tblGrid>
        <w:gridCol w:w="2216"/>
        <w:gridCol w:w="2922"/>
        <w:gridCol w:w="2913"/>
        <w:gridCol w:w="2739"/>
      </w:tblGrid>
      <w:tr w:rsidR="005C29F8" w:rsidRPr="00781112" w14:paraId="6E94B7A5" w14:textId="77777777" w:rsidTr="00AB0D6A">
        <w:trPr>
          <w:tblHeader/>
        </w:trPr>
        <w:tc>
          <w:tcPr>
            <w:tcW w:w="1027" w:type="pct"/>
            <w:shd w:val="clear" w:color="auto" w:fill="auto"/>
            <w:vAlign w:val="bottom"/>
          </w:tcPr>
          <w:p w14:paraId="673CA265" w14:textId="007E8E78" w:rsidR="00B9048A" w:rsidRPr="00781112" w:rsidRDefault="0016730D" w:rsidP="001F692C">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54" w:type="pct"/>
            <w:shd w:val="clear" w:color="auto" w:fill="auto"/>
            <w:vAlign w:val="bottom"/>
          </w:tcPr>
          <w:p w14:paraId="1C2EE691" w14:textId="2B528E22" w:rsidR="00B9048A" w:rsidRPr="00781112" w:rsidRDefault="00450F98" w:rsidP="001F692C">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50" w:type="pct"/>
            <w:shd w:val="clear" w:color="auto" w:fill="auto"/>
            <w:vAlign w:val="bottom"/>
          </w:tcPr>
          <w:p w14:paraId="4E50156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7151EA41"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80087A2" w14:textId="77777777" w:rsidTr="00AB0D6A">
        <w:tc>
          <w:tcPr>
            <w:tcW w:w="1027" w:type="pct"/>
            <w:shd w:val="clear" w:color="auto" w:fill="auto"/>
          </w:tcPr>
          <w:p w14:paraId="5A5634D8" w14:textId="5AC3BEAC" w:rsidR="000C7B90" w:rsidRPr="00781112" w:rsidRDefault="000C7B90" w:rsidP="00A018D4">
            <w:pPr>
              <w:jc w:val="center"/>
              <w:rPr>
                <w:rFonts w:cs="Arial"/>
                <w:color w:val="000000" w:themeColor="text1"/>
                <w:szCs w:val="16"/>
              </w:rPr>
            </w:pPr>
          </w:p>
        </w:tc>
        <w:tc>
          <w:tcPr>
            <w:tcW w:w="1354" w:type="pct"/>
            <w:shd w:val="clear" w:color="auto" w:fill="auto"/>
          </w:tcPr>
          <w:p w14:paraId="38361EB5" w14:textId="479B3693" w:rsidR="000C7B90" w:rsidRPr="00781112" w:rsidRDefault="000C7B90">
            <w:pPr>
              <w:jc w:val="center"/>
              <w:rPr>
                <w:rFonts w:cs="Arial"/>
                <w:noProof/>
                <w:color w:val="000000" w:themeColor="text1"/>
                <w:szCs w:val="16"/>
              </w:rPr>
            </w:pPr>
          </w:p>
        </w:tc>
        <w:tc>
          <w:tcPr>
            <w:tcW w:w="1350" w:type="pct"/>
            <w:shd w:val="clear" w:color="auto" w:fill="auto"/>
          </w:tcPr>
          <w:p w14:paraId="0F44D03C" w14:textId="3887F715" w:rsidR="000C7B90" w:rsidRPr="00781112" w:rsidRDefault="000C7B90">
            <w:pPr>
              <w:jc w:val="center"/>
              <w:rPr>
                <w:rFonts w:cs="Arial"/>
                <w:noProof/>
                <w:color w:val="000000" w:themeColor="text1"/>
                <w:szCs w:val="16"/>
              </w:rPr>
            </w:pPr>
          </w:p>
        </w:tc>
        <w:tc>
          <w:tcPr>
            <w:tcW w:w="1269" w:type="pct"/>
            <w:shd w:val="clear" w:color="auto" w:fill="auto"/>
          </w:tcPr>
          <w:p w14:paraId="5DF55667" w14:textId="0913E6B4" w:rsidR="000C7B90" w:rsidRPr="00781112" w:rsidRDefault="000C7B90">
            <w:pPr>
              <w:jc w:val="center"/>
              <w:rPr>
                <w:rFonts w:cs="Arial"/>
                <w:noProof/>
                <w:color w:val="000000" w:themeColor="text1"/>
                <w:szCs w:val="16"/>
              </w:rPr>
            </w:pPr>
          </w:p>
        </w:tc>
      </w:tr>
      <w:tr w:rsidR="005C29F8" w:rsidRPr="00781112" w14:paraId="3BB76F7F" w14:textId="77777777" w:rsidTr="00AB0D6A">
        <w:tc>
          <w:tcPr>
            <w:tcW w:w="1027" w:type="pct"/>
            <w:shd w:val="clear" w:color="auto" w:fill="auto"/>
          </w:tcPr>
          <w:p w14:paraId="3E53BDFC" w14:textId="49B50F7D" w:rsidR="000C7B90" w:rsidRPr="00781112" w:rsidRDefault="000C7B90" w:rsidP="00A018D4">
            <w:pPr>
              <w:jc w:val="center"/>
              <w:rPr>
                <w:rFonts w:cs="Arial"/>
                <w:color w:val="000000" w:themeColor="text1"/>
                <w:szCs w:val="16"/>
              </w:rPr>
            </w:pPr>
          </w:p>
        </w:tc>
        <w:tc>
          <w:tcPr>
            <w:tcW w:w="1354" w:type="pct"/>
            <w:shd w:val="clear" w:color="auto" w:fill="auto"/>
          </w:tcPr>
          <w:p w14:paraId="2DAC4ACF" w14:textId="6DFB36C9" w:rsidR="000C7B90" w:rsidRPr="00781112" w:rsidRDefault="000C7B90">
            <w:pPr>
              <w:jc w:val="center"/>
              <w:rPr>
                <w:rFonts w:cs="Arial"/>
                <w:noProof/>
                <w:color w:val="000000" w:themeColor="text1"/>
                <w:szCs w:val="16"/>
              </w:rPr>
            </w:pPr>
          </w:p>
        </w:tc>
        <w:tc>
          <w:tcPr>
            <w:tcW w:w="1350" w:type="pct"/>
            <w:shd w:val="clear" w:color="auto" w:fill="auto"/>
          </w:tcPr>
          <w:p w14:paraId="45BEAE02" w14:textId="10E4F499" w:rsidR="000C7B90" w:rsidRPr="00781112" w:rsidRDefault="000C7B90">
            <w:pPr>
              <w:jc w:val="center"/>
              <w:rPr>
                <w:rFonts w:cs="Arial"/>
                <w:noProof/>
                <w:color w:val="000000" w:themeColor="text1"/>
                <w:szCs w:val="16"/>
              </w:rPr>
            </w:pPr>
          </w:p>
        </w:tc>
        <w:tc>
          <w:tcPr>
            <w:tcW w:w="1269" w:type="pct"/>
            <w:shd w:val="clear" w:color="auto" w:fill="auto"/>
          </w:tcPr>
          <w:p w14:paraId="3F264F27" w14:textId="46B36D97" w:rsidR="000C7B90" w:rsidRPr="00781112" w:rsidRDefault="000C7B90">
            <w:pPr>
              <w:jc w:val="center"/>
              <w:rPr>
                <w:rFonts w:cs="Arial"/>
                <w:noProof/>
                <w:color w:val="000000" w:themeColor="text1"/>
                <w:szCs w:val="16"/>
              </w:rPr>
            </w:pPr>
          </w:p>
        </w:tc>
      </w:tr>
      <w:tr w:rsidR="005C29F8" w:rsidRPr="00781112" w14:paraId="21B66B81" w14:textId="77777777" w:rsidTr="00AB0D6A">
        <w:tc>
          <w:tcPr>
            <w:tcW w:w="1027" w:type="pct"/>
            <w:shd w:val="clear" w:color="auto" w:fill="auto"/>
          </w:tcPr>
          <w:p w14:paraId="65918C5C" w14:textId="6650DAE7" w:rsidR="000C7B90" w:rsidRPr="00781112" w:rsidRDefault="000C7B90" w:rsidP="00A018D4">
            <w:pPr>
              <w:jc w:val="center"/>
              <w:rPr>
                <w:rFonts w:cs="Arial"/>
                <w:color w:val="000000" w:themeColor="text1"/>
                <w:szCs w:val="16"/>
              </w:rPr>
            </w:pPr>
          </w:p>
        </w:tc>
        <w:tc>
          <w:tcPr>
            <w:tcW w:w="1354" w:type="pct"/>
            <w:shd w:val="clear" w:color="auto" w:fill="auto"/>
          </w:tcPr>
          <w:p w14:paraId="1BC28F5F" w14:textId="383929AE" w:rsidR="000C7B90" w:rsidRPr="00781112" w:rsidRDefault="000C7B90">
            <w:pPr>
              <w:jc w:val="center"/>
              <w:rPr>
                <w:rFonts w:cs="Arial"/>
                <w:noProof/>
                <w:color w:val="000000" w:themeColor="text1"/>
                <w:szCs w:val="16"/>
              </w:rPr>
            </w:pPr>
          </w:p>
        </w:tc>
        <w:tc>
          <w:tcPr>
            <w:tcW w:w="1350" w:type="pct"/>
            <w:shd w:val="clear" w:color="auto" w:fill="auto"/>
          </w:tcPr>
          <w:p w14:paraId="12030336" w14:textId="25AE5462" w:rsidR="000C7B90" w:rsidRPr="00781112" w:rsidRDefault="000C7B90">
            <w:pPr>
              <w:jc w:val="center"/>
              <w:rPr>
                <w:rFonts w:cs="Arial"/>
                <w:noProof/>
                <w:color w:val="000000" w:themeColor="text1"/>
                <w:szCs w:val="16"/>
              </w:rPr>
            </w:pPr>
          </w:p>
        </w:tc>
        <w:tc>
          <w:tcPr>
            <w:tcW w:w="1269" w:type="pct"/>
            <w:shd w:val="clear" w:color="auto" w:fill="auto"/>
          </w:tcPr>
          <w:p w14:paraId="189EDDF9" w14:textId="00F3EE08" w:rsidR="000C7B90" w:rsidRPr="00781112" w:rsidRDefault="000C7B90">
            <w:pPr>
              <w:jc w:val="center"/>
              <w:rPr>
                <w:rFonts w:cs="Arial"/>
                <w:noProof/>
                <w:color w:val="000000" w:themeColor="text1"/>
                <w:szCs w:val="16"/>
              </w:rPr>
            </w:pPr>
          </w:p>
        </w:tc>
      </w:tr>
      <w:tr w:rsidR="004C5DF4" w:rsidRPr="00781112" w14:paraId="7C579D4A" w14:textId="77777777" w:rsidTr="00AB0D6A">
        <w:tc>
          <w:tcPr>
            <w:tcW w:w="1027" w:type="pct"/>
            <w:shd w:val="clear" w:color="auto" w:fill="auto"/>
          </w:tcPr>
          <w:p w14:paraId="2B92F4F2" w14:textId="5AAF6AE3" w:rsidR="004C5DF4" w:rsidRPr="00781112" w:rsidRDefault="004C5DF4" w:rsidP="004C5DF4">
            <w:pPr>
              <w:jc w:val="center"/>
              <w:rPr>
                <w:rFonts w:cs="Arial"/>
                <w:color w:val="000000" w:themeColor="text1"/>
                <w:szCs w:val="16"/>
              </w:rPr>
            </w:pPr>
          </w:p>
        </w:tc>
        <w:tc>
          <w:tcPr>
            <w:tcW w:w="1354" w:type="pct"/>
            <w:shd w:val="clear" w:color="auto" w:fill="auto"/>
          </w:tcPr>
          <w:p w14:paraId="3FCBA488" w14:textId="7394AB3D" w:rsidR="004C5DF4" w:rsidRPr="00781112" w:rsidRDefault="004C5DF4" w:rsidP="004C5DF4">
            <w:pPr>
              <w:jc w:val="center"/>
              <w:rPr>
                <w:rFonts w:cs="Arial"/>
                <w:color w:val="000000" w:themeColor="text1"/>
                <w:szCs w:val="16"/>
              </w:rPr>
            </w:pPr>
          </w:p>
        </w:tc>
        <w:tc>
          <w:tcPr>
            <w:tcW w:w="1350" w:type="pct"/>
            <w:shd w:val="clear" w:color="auto" w:fill="auto"/>
          </w:tcPr>
          <w:p w14:paraId="0273CD3A" w14:textId="76228D3D" w:rsidR="004C5DF4" w:rsidRPr="00781112" w:rsidRDefault="004C5DF4" w:rsidP="004C5DF4">
            <w:pPr>
              <w:jc w:val="center"/>
              <w:rPr>
                <w:rFonts w:cs="Arial"/>
                <w:color w:val="000000" w:themeColor="text1"/>
                <w:szCs w:val="16"/>
              </w:rPr>
            </w:pPr>
          </w:p>
        </w:tc>
        <w:tc>
          <w:tcPr>
            <w:tcW w:w="1269" w:type="pct"/>
            <w:shd w:val="clear" w:color="auto" w:fill="auto"/>
          </w:tcPr>
          <w:p w14:paraId="2F94D90D" w14:textId="46195C23" w:rsidR="004C5DF4" w:rsidRPr="00781112" w:rsidRDefault="004C5DF4" w:rsidP="004C5DF4">
            <w:pPr>
              <w:jc w:val="center"/>
              <w:rPr>
                <w:rFonts w:cs="Arial"/>
                <w:color w:val="000000" w:themeColor="text1"/>
                <w:szCs w:val="16"/>
              </w:rPr>
            </w:pPr>
          </w:p>
        </w:tc>
      </w:tr>
      <w:tr w:rsidR="004C5DF4" w:rsidRPr="00781112" w14:paraId="7E70640E" w14:textId="77777777" w:rsidTr="00AB0D6A">
        <w:tc>
          <w:tcPr>
            <w:tcW w:w="1027" w:type="pct"/>
            <w:shd w:val="clear" w:color="auto" w:fill="auto"/>
          </w:tcPr>
          <w:p w14:paraId="32E87A6E" w14:textId="4CC65F23" w:rsidR="004C5DF4" w:rsidRPr="00781112" w:rsidRDefault="004C5DF4" w:rsidP="004C5DF4">
            <w:pPr>
              <w:jc w:val="center"/>
              <w:rPr>
                <w:rFonts w:cs="Arial"/>
                <w:color w:val="000000" w:themeColor="text1"/>
                <w:szCs w:val="16"/>
              </w:rPr>
            </w:pPr>
          </w:p>
        </w:tc>
        <w:tc>
          <w:tcPr>
            <w:tcW w:w="1354" w:type="pct"/>
            <w:shd w:val="clear" w:color="auto" w:fill="auto"/>
          </w:tcPr>
          <w:p w14:paraId="1BAD93A6" w14:textId="0DBDC82C" w:rsidR="004C5DF4" w:rsidRPr="00781112" w:rsidRDefault="004C5DF4" w:rsidP="004C5DF4">
            <w:pPr>
              <w:jc w:val="center"/>
              <w:rPr>
                <w:rFonts w:cs="Arial"/>
                <w:color w:val="000000" w:themeColor="text1"/>
                <w:szCs w:val="16"/>
              </w:rPr>
            </w:pPr>
          </w:p>
        </w:tc>
        <w:tc>
          <w:tcPr>
            <w:tcW w:w="1350" w:type="pct"/>
            <w:shd w:val="clear" w:color="auto" w:fill="auto"/>
          </w:tcPr>
          <w:p w14:paraId="6D05F7EE" w14:textId="2C1BB100" w:rsidR="004C5DF4" w:rsidRPr="00781112" w:rsidRDefault="004C5DF4" w:rsidP="004C5DF4">
            <w:pPr>
              <w:jc w:val="center"/>
              <w:rPr>
                <w:rFonts w:cs="Arial"/>
                <w:color w:val="000000" w:themeColor="text1"/>
                <w:szCs w:val="16"/>
              </w:rPr>
            </w:pPr>
          </w:p>
        </w:tc>
        <w:tc>
          <w:tcPr>
            <w:tcW w:w="1269" w:type="pct"/>
            <w:shd w:val="clear" w:color="auto" w:fill="auto"/>
          </w:tcPr>
          <w:p w14:paraId="1905613F" w14:textId="4451076C" w:rsidR="004C5DF4" w:rsidRPr="00781112" w:rsidRDefault="004C5DF4" w:rsidP="004C5DF4">
            <w:pPr>
              <w:jc w:val="center"/>
              <w:rPr>
                <w:rFonts w:cs="Arial"/>
                <w:color w:val="000000" w:themeColor="text1"/>
                <w:szCs w:val="16"/>
              </w:rPr>
            </w:pPr>
          </w:p>
        </w:tc>
      </w:tr>
    </w:tbl>
    <w:p w14:paraId="5AF33F49" w14:textId="77777777" w:rsidR="00685C73" w:rsidRPr="00781112" w:rsidRDefault="00685C73" w:rsidP="000C7B90">
      <w:pPr>
        <w:rPr>
          <w:rFonts w:cs="Arial"/>
          <w:color w:val="000000" w:themeColor="text1"/>
          <w:szCs w:val="16"/>
        </w:rPr>
      </w:pPr>
    </w:p>
    <w:p w14:paraId="21AE82C7" w14:textId="33B9781C" w:rsidR="004E2151" w:rsidRPr="00781112" w:rsidRDefault="00697434" w:rsidP="008645AD">
      <w:pPr>
        <w:pStyle w:val="Heading2"/>
      </w:pPr>
      <w:r w:rsidRPr="00781112">
        <w:t>4A</w:t>
      </w:r>
      <w:r w:rsidR="00DA3C7A" w:rsidRPr="00781112">
        <w:t xml:space="preserve"> </w:t>
      </w:r>
      <w:r w:rsidRPr="00781112">
        <w:t xml:space="preserve">- </w:t>
      </w:r>
      <w:r w:rsidR="004E2151" w:rsidRPr="00781112">
        <w:t>Prior FFY Required Actions</w:t>
      </w:r>
    </w:p>
    <w:p w14:paraId="3EDBC3E4" w14:textId="0BA98152" w:rsidR="004E2151" w:rsidRPr="00781112" w:rsidRDefault="002B7490" w:rsidP="004E2151">
      <w:pPr>
        <w:rPr>
          <w:rFonts w:cs="Arial"/>
          <w:color w:val="000000" w:themeColor="text1"/>
          <w:szCs w:val="16"/>
        </w:rPr>
      </w:pPr>
      <w:r w:rsidRPr="00781112">
        <w:rPr>
          <w:rFonts w:cs="Arial"/>
          <w:color w:val="000000" w:themeColor="text1"/>
          <w:szCs w:val="16"/>
        </w:rPr>
        <w:t>The State must report, in the FFY 2023 SPP/APR, on the correction of noncompliance that the State identified in FFY 2022 as a result of the review it conducted pursuant to 34 C.F.R. § 300.170(b). When reporting on the correction of this noncompliance, the State must report that it has verified that each district with noncompliance identified by the State is correctly implementing the specific regulatory requirements (i.e., achieved 100% compliance) based on a review of updated data such as data subsequently collected through on-site monitoring or a State data system; and has corrected each individual case of noncompliance, unless the child is no longer within the jurisdiction of the district, consistent with OSEP QA 23-01. In the FFY 2023 SPP/APR, the State must describe the specific actions that were taken to verify the correction.</w:t>
      </w:r>
    </w:p>
    <w:p w14:paraId="54E863CC" w14:textId="77777777" w:rsidR="009B02BC" w:rsidRPr="00781112" w:rsidRDefault="009B02BC" w:rsidP="004E2151">
      <w:pPr>
        <w:rPr>
          <w:rFonts w:cs="Arial"/>
          <w:color w:val="000000" w:themeColor="text1"/>
          <w:szCs w:val="16"/>
        </w:rPr>
      </w:pPr>
    </w:p>
    <w:p w14:paraId="0FF6D321" w14:textId="192373BD" w:rsidR="004E2151" w:rsidRPr="00781112" w:rsidRDefault="007639D7" w:rsidP="004369B2">
      <w:pPr>
        <w:rPr>
          <w:b/>
          <w:color w:val="000000" w:themeColor="text1"/>
        </w:rPr>
      </w:pPr>
      <w:r>
        <w:rPr>
          <w:b/>
          <w:color w:val="000000" w:themeColor="text1"/>
        </w:rPr>
        <w:t>Response to actions required in FFY 2022 SPP/APR</w:t>
      </w:r>
    </w:p>
    <w:p w14:paraId="0B0E4F8A" w14:textId="671C6BE6" w:rsidR="004E2151" w:rsidRPr="00781112" w:rsidRDefault="002B7490" w:rsidP="004E2151">
      <w:pPr>
        <w:rPr>
          <w:rFonts w:cs="Arial"/>
          <w:color w:val="000000" w:themeColor="text1"/>
          <w:szCs w:val="16"/>
        </w:rPr>
      </w:pPr>
      <w:r w:rsidRPr="00781112">
        <w:rPr>
          <w:rFonts w:cs="Arial"/>
          <w:color w:val="000000" w:themeColor="text1"/>
          <w:szCs w:val="16"/>
        </w:rPr>
        <w:t>For detailed information on the status of correction of noncompliance identified in FFY 2022, please refer to the sections “Correction of Findings of Noncompliance Identified in FFY 2022” and “FFY 2022 Findings of Noncompliance Verified as Corrected.”</w:t>
      </w:r>
    </w:p>
    <w:p w14:paraId="1480A7D2" w14:textId="5B38CB62" w:rsidR="009B02BC" w:rsidRPr="00781112" w:rsidRDefault="009B02BC" w:rsidP="004E2151">
      <w:pPr>
        <w:rPr>
          <w:rFonts w:cs="Arial"/>
          <w:color w:val="000000" w:themeColor="text1"/>
          <w:szCs w:val="16"/>
        </w:rPr>
      </w:pPr>
    </w:p>
    <w:p w14:paraId="537673C8" w14:textId="6D41A3A2" w:rsidR="005115D6" w:rsidRPr="00781112" w:rsidRDefault="001E2193" w:rsidP="008645AD">
      <w:pPr>
        <w:pStyle w:val="Heading2"/>
      </w:pPr>
      <w:r w:rsidRPr="00781112">
        <w:t>4A - OSEP Response</w:t>
      </w:r>
    </w:p>
    <w:p w14:paraId="6408916F" w14:textId="5ADBBBB9" w:rsidR="002D57DA" w:rsidRPr="00781112" w:rsidRDefault="002B7490" w:rsidP="00212954">
      <w:pPr>
        <w:rPr>
          <w:rFonts w:cs="Arial"/>
          <w:color w:val="000000" w:themeColor="text1"/>
          <w:szCs w:val="16"/>
        </w:rPr>
      </w:pPr>
      <w:r w:rsidRPr="00781112">
        <w:rPr>
          <w:rFonts w:cs="Arial"/>
          <w:color w:val="000000" w:themeColor="text1"/>
          <w:szCs w:val="16"/>
        </w:rPr>
        <w:t>The State has revised the baseline for this indicator, using data from FFY 2023, and OSEP accepts that revision.</w:t>
      </w:r>
      <w:r w:rsidRPr="00781112">
        <w:rPr>
          <w:rFonts w:cs="Arial"/>
          <w:color w:val="000000" w:themeColor="text1"/>
          <w:szCs w:val="16"/>
        </w:rPr>
        <w:br/>
      </w:r>
      <w:r w:rsidRPr="00781112">
        <w:rPr>
          <w:rFonts w:cs="Arial"/>
          <w:color w:val="000000" w:themeColor="text1"/>
          <w:szCs w:val="16"/>
        </w:rPr>
        <w:br/>
        <w:t>The State revised its FFY 2023 through FFY 2025 targets for this indicator, and OSEP accepts those targets.</w:t>
      </w:r>
    </w:p>
    <w:p w14:paraId="146BDB91" w14:textId="0A2F7969" w:rsidR="005115D6" w:rsidRPr="00781112" w:rsidRDefault="00697434" w:rsidP="008645AD">
      <w:pPr>
        <w:pStyle w:val="Heading2"/>
      </w:pPr>
      <w:r w:rsidRPr="00781112">
        <w:t>4A - Required Actions</w:t>
      </w:r>
    </w:p>
    <w:p w14:paraId="37BECDFE" w14:textId="2A43AB88" w:rsidR="002D57DA" w:rsidRPr="00781112" w:rsidRDefault="002D57DA" w:rsidP="00212954">
      <w:pPr>
        <w:rPr>
          <w:rFonts w:cs="Arial"/>
          <w:color w:val="000000" w:themeColor="text1"/>
          <w:szCs w:val="16"/>
        </w:rPr>
      </w:pPr>
    </w:p>
    <w:p w14:paraId="5E6ED969"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lastRenderedPageBreak/>
        <w:br w:type="page"/>
      </w:r>
    </w:p>
    <w:p w14:paraId="658544B7" w14:textId="204E8DB3" w:rsidR="00D03701" w:rsidRPr="00781112" w:rsidRDefault="00D03701" w:rsidP="000444E2">
      <w:pPr>
        <w:pStyle w:val="Heading1"/>
        <w:rPr>
          <w:color w:val="000000" w:themeColor="text1"/>
          <w:sz w:val="22"/>
        </w:rPr>
      </w:pPr>
      <w:r w:rsidRPr="00781112">
        <w:rPr>
          <w:color w:val="000000" w:themeColor="text1"/>
          <w:sz w:val="22"/>
        </w:rPr>
        <w:lastRenderedPageBreak/>
        <w:t>Indicator 4B: Suspension/Expulsion</w:t>
      </w:r>
      <w:bookmarkEnd w:id="27"/>
      <w:bookmarkEnd w:id="28"/>
      <w:bookmarkEnd w:id="29"/>
    </w:p>
    <w:p w14:paraId="1BA30D93" w14:textId="515996E4" w:rsidR="008637F8" w:rsidRPr="002C274F" w:rsidRDefault="008637F8" w:rsidP="002C274F">
      <w:pPr>
        <w:rPr>
          <w:b/>
          <w:bCs/>
          <w:sz w:val="20"/>
          <w:szCs w:val="20"/>
        </w:rPr>
      </w:pPr>
      <w:bookmarkStart w:id="30" w:name="_Toc384383338"/>
      <w:bookmarkStart w:id="31" w:name="_Toc392159290"/>
      <w:r w:rsidRPr="002C274F">
        <w:rPr>
          <w:b/>
          <w:bCs/>
          <w:sz w:val="20"/>
          <w:szCs w:val="20"/>
        </w:rPr>
        <w:t xml:space="preserve">Instructions and Measurement </w:t>
      </w:r>
    </w:p>
    <w:p w14:paraId="0904D95C" w14:textId="6ABD6544" w:rsidR="00413366" w:rsidRPr="00781112" w:rsidRDefault="00413366"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7516B53F" w14:textId="25CEE127" w:rsidR="00413366" w:rsidRPr="00781112" w:rsidRDefault="00C56D79" w:rsidP="009A755E">
      <w:pPr>
        <w:rPr>
          <w:rFonts w:cs="Arial"/>
          <w:color w:val="000000" w:themeColor="text1"/>
          <w:szCs w:val="16"/>
        </w:rPr>
      </w:pPr>
      <w:r w:rsidRPr="00781112">
        <w:rPr>
          <w:rFonts w:cs="Arial"/>
          <w:b/>
          <w:color w:val="000000" w:themeColor="text1"/>
          <w:szCs w:val="16"/>
        </w:rPr>
        <w:t>Compliance Indicator:</w:t>
      </w:r>
      <w:r w:rsidR="009A755E" w:rsidRPr="00781112">
        <w:rPr>
          <w:rFonts w:cs="Arial"/>
          <w:color w:val="000000" w:themeColor="text1"/>
          <w:szCs w:val="16"/>
        </w:rPr>
        <w:t xml:space="preserve"> </w:t>
      </w:r>
      <w:r w:rsidR="00413366" w:rsidRPr="00781112">
        <w:rPr>
          <w:rFonts w:cs="Arial"/>
          <w:color w:val="000000" w:themeColor="text1"/>
          <w:szCs w:val="16"/>
        </w:rPr>
        <w:t>Rates of suspension and expulsion:</w:t>
      </w:r>
    </w:p>
    <w:p w14:paraId="3739388D" w14:textId="512C0A32" w:rsidR="00B01978" w:rsidRPr="00781112" w:rsidRDefault="00B01978" w:rsidP="00360DD6">
      <w:pPr>
        <w:ind w:left="360"/>
        <w:rPr>
          <w:rFonts w:cs="Arial"/>
          <w:szCs w:val="16"/>
        </w:rPr>
      </w:pPr>
      <w:r w:rsidRPr="00781112">
        <w:rPr>
          <w:rFonts w:cs="Arial"/>
          <w:color w:val="000000" w:themeColor="text1"/>
          <w:szCs w:val="16"/>
        </w:rPr>
        <w:tab/>
        <w:t xml:space="preserve">A. </w:t>
      </w:r>
      <w:r w:rsidRPr="00741A36">
        <w:rPr>
          <w:rFonts w:cs="Arial"/>
          <w:szCs w:val="16"/>
        </w:rPr>
        <w:t>Percent of local educational</w:t>
      </w:r>
      <w:r w:rsidRPr="00781112">
        <w:rPr>
          <w:rFonts w:cs="Arial"/>
          <w:szCs w:val="16"/>
        </w:rPr>
        <w:t xml:space="preserve"> agencies (LEA) that have a significant discrepancy, as defined by the State, in the rate of suspensions and </w:t>
      </w:r>
      <w:r w:rsidR="002D3270" w:rsidRPr="00781112">
        <w:rPr>
          <w:rFonts w:cs="Arial"/>
          <w:szCs w:val="16"/>
        </w:rPr>
        <w:tab/>
      </w:r>
      <w:r w:rsidRPr="00781112">
        <w:rPr>
          <w:rFonts w:cs="Arial"/>
          <w:szCs w:val="16"/>
        </w:rPr>
        <w:t>expulsions of greater than 10 days in a school year for children with IEPs; and</w:t>
      </w:r>
    </w:p>
    <w:p w14:paraId="021F68CD" w14:textId="4F839DD4" w:rsidR="00413366" w:rsidRPr="00781112" w:rsidRDefault="001D5BAF" w:rsidP="006A01BD">
      <w:pPr>
        <w:ind w:left="720"/>
        <w:rPr>
          <w:rFonts w:cs="Arial"/>
          <w:color w:val="000000" w:themeColor="text1"/>
          <w:szCs w:val="16"/>
        </w:rPr>
      </w:pPr>
      <w:r w:rsidRPr="00781112">
        <w:rPr>
          <w:rFonts w:cs="Arial"/>
          <w:color w:val="000000" w:themeColor="text1"/>
          <w:szCs w:val="16"/>
        </w:rPr>
        <w:t>B. Percent of LEAs that have: (a) a significant discrepancy,</w:t>
      </w:r>
      <w:r w:rsidR="007F1D12" w:rsidRPr="00781112">
        <w:rPr>
          <w:rFonts w:cs="Arial"/>
          <w:szCs w:val="16"/>
        </w:rPr>
        <w:t xml:space="preserve"> as defined by the State, </w:t>
      </w:r>
      <w:r w:rsidRPr="00781112">
        <w:rPr>
          <w:rFonts w:cs="Arial"/>
          <w:color w:val="000000" w:themeColor="text1"/>
          <w:szCs w:val="16"/>
        </w:rPr>
        <w:t>by race or ethnicity</w:t>
      </w:r>
      <w:r w:rsidR="00413366" w:rsidRPr="00781112">
        <w:rPr>
          <w:rFonts w:cs="Arial"/>
          <w:bCs/>
          <w:color w:val="000000" w:themeColor="text1"/>
          <w:szCs w:val="16"/>
          <w:shd w:val="clear" w:color="auto" w:fill="FFFFFF"/>
        </w:rPr>
        <w:t>, in the rate of suspensions and expulsions of greater than 10 days in a school year for children with IEPs; and (b) policies, procedures or practices that contribute to the significant discrepancy</w:t>
      </w:r>
      <w:r w:rsidR="000C0565" w:rsidRPr="00781112">
        <w:rPr>
          <w:rFonts w:cs="Arial"/>
          <w:bCs/>
          <w:color w:val="000000" w:themeColor="text1"/>
          <w:szCs w:val="16"/>
          <w:shd w:val="clear" w:color="auto" w:fill="FFFFFF"/>
        </w:rPr>
        <w:t xml:space="preserve">, </w:t>
      </w:r>
      <w:r w:rsidR="000C0565" w:rsidRPr="00781112">
        <w:rPr>
          <w:rFonts w:cs="Arial"/>
          <w:szCs w:val="16"/>
        </w:rPr>
        <w:t xml:space="preserve">as defined by the State, </w:t>
      </w:r>
      <w:r w:rsidR="00413366" w:rsidRPr="00781112">
        <w:rPr>
          <w:rFonts w:cs="Arial"/>
          <w:bCs/>
          <w:color w:val="000000" w:themeColor="text1"/>
          <w:szCs w:val="16"/>
          <w:shd w:val="clear" w:color="auto" w:fill="FFFFFF"/>
        </w:rPr>
        <w:t>and do not comply with requirements relating to the development and implementation of IEPs, the use of positive behavioral interventions and supports, and procedural safeguards.</w:t>
      </w:r>
    </w:p>
    <w:p w14:paraId="7034F485" w14:textId="41B53DB5"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5F946B13" w14:textId="77777777" w:rsidR="00413366" w:rsidRPr="00781112" w:rsidRDefault="00413366" w:rsidP="004369B2">
      <w:pPr>
        <w:rPr>
          <w:color w:val="000000" w:themeColor="text1"/>
        </w:rPr>
      </w:pPr>
      <w:r w:rsidRPr="00781112">
        <w:rPr>
          <w:b/>
          <w:color w:val="000000" w:themeColor="text1"/>
        </w:rPr>
        <w:t>Data Source</w:t>
      </w:r>
    </w:p>
    <w:p w14:paraId="5BDC9967" w14:textId="77777777" w:rsidR="00413366" w:rsidRPr="00781112" w:rsidRDefault="00413366" w:rsidP="00BB7BC9">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38F5E274" w14:textId="77777777" w:rsidR="00413366" w:rsidRPr="00781112" w:rsidRDefault="00413366" w:rsidP="004369B2">
      <w:pPr>
        <w:rPr>
          <w:color w:val="000000" w:themeColor="text1"/>
        </w:rPr>
      </w:pPr>
      <w:r w:rsidRPr="00781112">
        <w:rPr>
          <w:b/>
          <w:color w:val="000000" w:themeColor="text1"/>
        </w:rPr>
        <w:t>Measurement</w:t>
      </w:r>
    </w:p>
    <w:p w14:paraId="509BF292" w14:textId="47666D05" w:rsidR="00413366" w:rsidRPr="00781112" w:rsidRDefault="00413366"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 xml:space="preserve">of </w:t>
      </w:r>
      <w:r w:rsidR="000C0565"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that meet the State-established n </w:t>
      </w:r>
      <w:r w:rsidR="000C0565"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 xml:space="preserve">size (if applicable) for one or more racial/ethnic groups that have: (a) a significant discrepancy, </w:t>
      </w:r>
      <w:r w:rsidR="000C0565" w:rsidRPr="00781112">
        <w:rPr>
          <w:rFonts w:cs="Arial"/>
          <w:szCs w:val="16"/>
        </w:rPr>
        <w:t xml:space="preserve">as defined by the State, </w:t>
      </w:r>
      <w:r w:rsidRPr="00781112">
        <w:rPr>
          <w:rFonts w:cs="Arial"/>
          <w:color w:val="000000" w:themeColor="text1"/>
          <w:szCs w:val="16"/>
          <w:shd w:val="clear" w:color="auto" w:fill="FFFFFF"/>
        </w:rPr>
        <w:t xml:space="preserve">by race or ethnicity, in the rates of suspensions and expulsions of </w:t>
      </w:r>
      <w:r w:rsidR="00D124AA"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D124AA" w:rsidRPr="00781112">
        <w:rPr>
          <w:rFonts w:cs="Arial"/>
          <w:color w:val="000000" w:themeColor="text1"/>
          <w:szCs w:val="16"/>
          <w:shd w:val="clear" w:color="auto" w:fill="FFFFFF"/>
        </w:rPr>
        <w:t xml:space="preserve">during the </w:t>
      </w:r>
      <w:r w:rsidRPr="00781112">
        <w:rPr>
          <w:rFonts w:cs="Arial"/>
          <w:color w:val="000000" w:themeColor="text1"/>
          <w:szCs w:val="16"/>
          <w:shd w:val="clear" w:color="auto" w:fill="FFFFFF"/>
        </w:rPr>
        <w:t>school year of children with IEPs; and (b) policies, procedures or practices that contribute to the significant discrepancy</w:t>
      </w:r>
      <w:r w:rsidR="0024349E" w:rsidRPr="00781112">
        <w:rPr>
          <w:rFonts w:cs="Arial"/>
          <w:color w:val="000000" w:themeColor="text1"/>
          <w:szCs w:val="16"/>
          <w:shd w:val="clear" w:color="auto" w:fill="FFFFFF"/>
        </w:rPr>
        <w:t xml:space="preserve">, as defined by the State, </w:t>
      </w:r>
      <w:r w:rsidRPr="00781112">
        <w:rPr>
          <w:rFonts w:cs="Arial"/>
          <w:color w:val="000000" w:themeColor="text1"/>
          <w:szCs w:val="16"/>
          <w:shd w:val="clear" w:color="auto" w:fill="FFFFFF"/>
        </w:rPr>
        <w:t xml:space="preserve">and do not comply with requirements relating to the development and implementation of IEPs, the use of positive behavioral interventions and supports, and procedural safeguards) divided by the (# of </w:t>
      </w:r>
      <w:r w:rsidR="003929E1"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in the State that meet the State-established n </w:t>
      </w:r>
      <w:r w:rsidR="003929E1"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size (if applicable) for one or more racial/ethnic groups</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times 100.</w:t>
      </w:r>
    </w:p>
    <w:p w14:paraId="09B5AE3F" w14:textId="77777777" w:rsidR="00413366" w:rsidRPr="00781112" w:rsidRDefault="00413366"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19EA6D3F" w14:textId="77777777" w:rsidR="00413366" w:rsidRPr="00781112" w:rsidRDefault="00413366" w:rsidP="004369B2">
      <w:pPr>
        <w:rPr>
          <w:color w:val="000000" w:themeColor="text1"/>
        </w:rPr>
      </w:pPr>
      <w:r w:rsidRPr="00781112">
        <w:rPr>
          <w:b/>
          <w:color w:val="000000" w:themeColor="text1"/>
        </w:rPr>
        <w:t>Instructions</w:t>
      </w:r>
    </w:p>
    <w:p w14:paraId="6859FE14" w14:textId="58F72E17" w:rsidR="00E52C16" w:rsidRDefault="00413366" w:rsidP="00E52C16">
      <w:pPr>
        <w:rPr>
          <w:rFonts w:cs="Arial"/>
          <w:szCs w:val="16"/>
        </w:rPr>
      </w:pPr>
      <w:r w:rsidRPr="00781112">
        <w:rPr>
          <w:rFonts w:cs="Arial"/>
          <w:color w:val="000000" w:themeColor="text1"/>
          <w:szCs w:val="16"/>
        </w:rPr>
        <w:t xml:space="preserve">If the State has established a minimum n and/or cell size requirement, the State </w:t>
      </w:r>
      <w:r w:rsidR="00E52C16">
        <w:rPr>
          <w:rFonts w:cs="Arial"/>
          <w:szCs w:val="16"/>
        </w:rPr>
        <w:t xml:space="preserve">must provide a definition of its minimum n and/or cell size itself and a description thereof </w:t>
      </w:r>
      <w:r w:rsidR="00E52C16" w:rsidRPr="00814333">
        <w:rPr>
          <w:rFonts w:cs="Arial"/>
          <w:szCs w:val="16"/>
        </w:rPr>
        <w:t>(e.g., a State’s n size of 15 represents the number of children with disabilities enrolled in an LEA</w:t>
      </w:r>
      <w:r w:rsidR="00E52C16">
        <w:rPr>
          <w:rFonts w:cs="Arial"/>
          <w:szCs w:val="16"/>
        </w:rPr>
        <w:t>, by race and ethnicity</w:t>
      </w:r>
      <w:r w:rsidR="00E52C16" w:rsidRPr="00814333">
        <w:rPr>
          <w:rFonts w:cs="Arial"/>
          <w:szCs w:val="16"/>
        </w:rPr>
        <w:t xml:space="preserve">, and a State’s cell size of 5 </w:t>
      </w:r>
      <w:r w:rsidR="00E52C16">
        <w:rPr>
          <w:rFonts w:cs="Arial"/>
          <w:szCs w:val="16"/>
        </w:rPr>
        <w:t>r</w:t>
      </w:r>
      <w:r w:rsidR="00E52C16" w:rsidRPr="00814333">
        <w:rPr>
          <w:rFonts w:cs="Arial"/>
          <w:szCs w:val="16"/>
        </w:rPr>
        <w:t>epresents the number of children with disabilities who have received out-of-school suspensions and expulsions of more than 10 days within the LEA</w:t>
      </w:r>
      <w:r w:rsidR="00E52C16">
        <w:rPr>
          <w:rFonts w:cs="Arial"/>
          <w:szCs w:val="16"/>
        </w:rPr>
        <w:t>, by race and ethnicity</w:t>
      </w:r>
      <w:r w:rsidR="00E52C16" w:rsidRPr="00814333">
        <w:rPr>
          <w:rFonts w:cs="Arial"/>
          <w:szCs w:val="16"/>
        </w:rPr>
        <w:t xml:space="preserve">). </w:t>
      </w:r>
    </w:p>
    <w:p w14:paraId="5F753F19" w14:textId="77777777" w:rsidR="00E52C16" w:rsidRPr="00A70EDD" w:rsidRDefault="00E52C16" w:rsidP="00E52C16">
      <w:pPr>
        <w:rPr>
          <w:rFonts w:cs="Arial"/>
          <w:szCs w:val="16"/>
        </w:rPr>
      </w:pPr>
      <w:r w:rsidRPr="007743F7">
        <w:rPr>
          <w:rFonts w:cs="Arial"/>
          <w:szCs w:val="16"/>
        </w:rPr>
        <w:t>The State must also provide rationales for its minimum n and/or cell size, including why the definitions chosen are reasonable and based on stakeholder input, and how the definitions ensure that the State is appropriately analyzing and identifying LEAs with significant discrepancy, by race and ethnicity. The State must also indicate whether the minimum n and/or cell size represents a change from the prior SPP/APR reporting period. If so, the State must provide an explanation why the minimum n and/or cell size was changed.</w:t>
      </w:r>
    </w:p>
    <w:p w14:paraId="516DD2DE" w14:textId="001BD4C8" w:rsidR="00413366" w:rsidRPr="00FE4611" w:rsidRDefault="00E52C16" w:rsidP="00BB7BC9">
      <w:pPr>
        <w:rPr>
          <w:rFonts w:cs="Arial"/>
          <w:szCs w:val="16"/>
        </w:rPr>
      </w:pPr>
      <w:r>
        <w:rPr>
          <w:rFonts w:cs="Arial"/>
          <w:szCs w:val="16"/>
        </w:rPr>
        <w:t>The State may only include, in both the numerator and the denominator, LEAs that met that State established n and/or cell size. If the State used a minimum n and/or cell size requirement, report the number of LEAs totally excluded from the calculation as a result of this requirement.</w:t>
      </w:r>
    </w:p>
    <w:p w14:paraId="7D3F6556" w14:textId="173C985B" w:rsidR="00413366" w:rsidRPr="00781112" w:rsidRDefault="0016730D" w:rsidP="00BB7BC9">
      <w:pPr>
        <w:rPr>
          <w:rFonts w:cs="Arial"/>
          <w:color w:val="000000" w:themeColor="text1"/>
          <w:szCs w:val="16"/>
        </w:rPr>
      </w:pPr>
      <w:r w:rsidRPr="00781112">
        <w:rPr>
          <w:rFonts w:cs="Arial"/>
          <w:color w:val="000000" w:themeColor="text1"/>
          <w:szCs w:val="16"/>
        </w:rPr>
        <w:t xml:space="preserve">Describe the results of the State’s examination of the data for the year before the reporting year (e.g., for the FFY 2023 SPP/APR, use data from 2022-2023), including data disaggregated by race and ethnicity to determine if significant discrepancies, as defined by the State, are occurring in the rates of long-term suspensions and expulsions </w:t>
      </w:r>
      <w:r w:rsidR="00B315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r w:rsidR="007D116C" w:rsidRPr="00781112">
        <w:rPr>
          <w:rFonts w:cs="Arial"/>
          <w:color w:val="000000" w:themeColor="text1"/>
          <w:szCs w:val="16"/>
        </w:rPr>
        <w:t>:</w:t>
      </w:r>
    </w:p>
    <w:p w14:paraId="041F9A85" w14:textId="34216E20" w:rsidR="00413366" w:rsidRPr="00781112" w:rsidRDefault="00515E61" w:rsidP="006A01BD">
      <w:pPr>
        <w:ind w:firstLine="720"/>
        <w:rPr>
          <w:rFonts w:cs="Arial"/>
          <w:color w:val="000000" w:themeColor="text1"/>
          <w:szCs w:val="16"/>
        </w:rPr>
      </w:pPr>
      <w:r w:rsidRPr="00781112">
        <w:rPr>
          <w:rFonts w:cs="Arial"/>
          <w:color w:val="000000" w:themeColor="text1"/>
          <w:szCs w:val="16"/>
        </w:rPr>
        <w:t>-- Option 1: The rates of suspensions and expulsions for children with IEPs among LEAs within the State; or</w:t>
      </w:r>
    </w:p>
    <w:p w14:paraId="4B77809C" w14:textId="0F98B237" w:rsidR="00413366" w:rsidRPr="00781112" w:rsidRDefault="00515E61" w:rsidP="00BA3DBE">
      <w:pPr>
        <w:ind w:left="720"/>
        <w:rPr>
          <w:rFonts w:cs="Arial"/>
          <w:color w:val="000000" w:themeColor="text1"/>
          <w:szCs w:val="16"/>
        </w:rPr>
      </w:pPr>
      <w:r w:rsidRPr="00781112">
        <w:rPr>
          <w:rFonts w:cs="Arial"/>
          <w:color w:val="000000" w:themeColor="text1"/>
          <w:szCs w:val="16"/>
        </w:rPr>
        <w:t xml:space="preserve">-- Option </w:t>
      </w:r>
      <w:r w:rsidR="00F0304D">
        <w:rPr>
          <w:rFonts w:cs="Arial"/>
          <w:color w:val="000000" w:themeColor="text1"/>
          <w:szCs w:val="16"/>
        </w:rPr>
        <w:t>2</w:t>
      </w:r>
      <w:r w:rsidRPr="00781112">
        <w:rPr>
          <w:rFonts w:cs="Arial"/>
          <w:color w:val="000000" w:themeColor="text1"/>
          <w:szCs w:val="16"/>
        </w:rPr>
        <w:t xml:space="preserve">: The rates of suspensions and expulsions for children with IEPs to </w:t>
      </w:r>
      <w:bookmarkStart w:id="32" w:name="_Hlk150863741"/>
      <w:r w:rsidR="00FC69E3">
        <w:rPr>
          <w:rFonts w:cs="Arial"/>
          <w:color w:val="000000" w:themeColor="text1"/>
          <w:szCs w:val="16"/>
        </w:rPr>
        <w:t xml:space="preserve">the rates of suspensions and expulsions for </w:t>
      </w:r>
      <w:bookmarkEnd w:id="32"/>
      <w:r w:rsidRPr="00781112">
        <w:rPr>
          <w:rFonts w:cs="Arial"/>
          <w:color w:val="000000" w:themeColor="text1"/>
          <w:szCs w:val="16"/>
        </w:rPr>
        <w:t>nondisabled children within the LEAs</w:t>
      </w:r>
    </w:p>
    <w:p w14:paraId="428DC587" w14:textId="18ECA0E1" w:rsidR="00413366" w:rsidRPr="00781112" w:rsidRDefault="00413366"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4FF87B9F" w14:textId="77777777" w:rsidR="00E52C16" w:rsidRPr="00CF3FE6" w:rsidRDefault="00E52C16" w:rsidP="00E52C16">
      <w:pPr>
        <w:rPr>
          <w:rFonts w:cs="Arial"/>
          <w:szCs w:val="16"/>
        </w:rPr>
      </w:pPr>
      <w:r>
        <w:rPr>
          <w:rFonts w:cs="Arial"/>
          <w:szCs w:val="16"/>
        </w:rPr>
        <w:t xml:space="preserve">If, under Option 1, the State uses a State-level long-term suspension and expulsion rate for children with disabilities to compare to LEA-level long-term suspension and expulsion rates for the purpose of determining whether an LEA has a significant discrepancy, by race and ethnicity, the State must provide the State-level long-term suspension and expulsion rate used in its methodology (e.g., if a State has defined significant discrepancy to exist for an LEA whose long-term suspension/expulsion rate exceeds 2 percentage points above the State-level rate of 0.7%, the State must provide OSEP with the State-level rate of 0.7%). </w:t>
      </w:r>
    </w:p>
    <w:p w14:paraId="6E7615F1" w14:textId="77777777" w:rsidR="00C82B08" w:rsidRDefault="00E52C16" w:rsidP="00474DB4">
      <w:pPr>
        <w:rPr>
          <w:rFonts w:cs="Arial"/>
          <w:szCs w:val="16"/>
        </w:rPr>
      </w:pPr>
      <w:r w:rsidRPr="00CF3FE6">
        <w:rPr>
          <w:rFonts w:cs="Arial"/>
          <w:szCs w:val="16"/>
        </w:rPr>
        <w:t>If, under Option 2, the State uses a rate difference to compare the rates of long-term suspensions and expulsions for children with IEPs, by race and ethnicity, to the rates of long-term suspensions and expulsions for nondisabled children within the LEA, the State must provide the State-selected rate difference used in its methodology (e.g., if a State has defined significant discrepancy to exist for an LEA whose rate of long-term suspensions and expulsions for children with IEPs, by race and ethnicity, is 4 percentage points above the long-term suspension/expulsion rate for nondisabled children, the State must provide OSEP with the rate difference of 4 percentage points). Similarly, if, under Option 2, the State uses a rate ratio to compare the rates of long-term suspensions and expulsions for children with IEPs, by race and ethnicity, to the rates of long-term suspensions and expulsions for nondisabled children within the LEA, the State must provide the State-selected rate ratio used in its methodology (e.g., if a State has defined significant discrepancy to exist for an LEA whose ratio of its long-term suspensions and expulsions rate for children with IEPs, by race and ethnicity, to long-term suspensions and expulsions rate for nondisabled children is greater than 3.0, the State must provide OSEP with the rate ratio of 3.0).</w:t>
      </w:r>
    </w:p>
    <w:p w14:paraId="2537B541" w14:textId="15A26A01" w:rsidR="00474DB4" w:rsidRPr="00781112" w:rsidRDefault="00474DB4" w:rsidP="00474DB4">
      <w:pPr>
        <w:rPr>
          <w:rFonts w:cs="Arial"/>
          <w:szCs w:val="16"/>
        </w:rPr>
      </w:pPr>
      <w:r w:rsidRPr="00781112">
        <w:rPr>
          <w:rFonts w:cs="Arial"/>
          <w:szCs w:val="16"/>
        </w:rPr>
        <w:t>Because the Measurement Table requires that the data examined for this indicator are lag year data, States should examine the section 618 data that was submitted by LEAs that were in operation during the school year before the reporting year. For example, if a State has 100 LEAs operating in the 2022-2023 school year, those 100 LEAs would have reported section 618 data in 2022-2023 on the number of children suspended/expelled. If the State then opens 15 new LEAs in 2023-2024, suspension/expulsion data from those 15 new LEAs would not be in the 2022-2023 section 618 data set, and therefore, those 15 new LEAs should not be included in the denominator of the calculation. States must use the number of LEAs from the year before the reporting year in its calculation for this indicator. For the FFY 2022 SPP/APR submission, States must use the number of LEAs reported in 2022-2023 (which can be found in the FFY 2022 SPP/APR introduction).</w:t>
      </w:r>
    </w:p>
    <w:p w14:paraId="42FA82A8" w14:textId="6C4178AE" w:rsidR="00413366" w:rsidRPr="00781112" w:rsidRDefault="00413366" w:rsidP="00BB7BC9">
      <w:pPr>
        <w:rPr>
          <w:rFonts w:cs="Arial"/>
          <w:color w:val="000000" w:themeColor="text1"/>
          <w:szCs w:val="16"/>
        </w:rPr>
      </w:pPr>
      <w:r w:rsidRPr="00781112">
        <w:rPr>
          <w:rFonts w:cs="Arial"/>
          <w:color w:val="000000" w:themeColor="text1"/>
          <w:szCs w:val="16"/>
        </w:rPr>
        <w:t>Indicator 4B: Provide the following: (a) the number of LEAs that met the State-established n and/or cell size (if applicable) for one or more racial/ethnic groups that have a significant discrepancy, as defined by the State, by race or ethnicity, in the rates of long-term suspensions and expulsions (more than 10 days during the school year) for children with IEPs; and (b) the number of those LEAs in which policies, procedures or practices contribute to the significant discrepancy, as defined by the State, and do not comply with requirements relating to the development and implementation of IEPs, the use of positive behavioral interventions and supports, and procedural safeguards.</w:t>
      </w:r>
    </w:p>
    <w:p w14:paraId="1F7345F8" w14:textId="29EDCD85" w:rsidR="00413366" w:rsidRPr="00781112" w:rsidRDefault="00413366" w:rsidP="00BB7BC9">
      <w:pPr>
        <w:rPr>
          <w:rFonts w:cs="Arial"/>
          <w:color w:val="000000" w:themeColor="text1"/>
          <w:szCs w:val="16"/>
        </w:rPr>
      </w:pPr>
      <w:r w:rsidRPr="00781112">
        <w:rPr>
          <w:rFonts w:cs="Arial"/>
          <w:color w:val="000000" w:themeColor="text1"/>
          <w:szCs w:val="16"/>
        </w:rPr>
        <w:lastRenderedPageBreak/>
        <w:t xml:space="preserve">Provide detailed information about the timely correction of noncompliance as noted in OSEP’s response for the previous SPP/APR. If discrepancies occurred and the LEA with discrepancies had policies, procedures or practices that contributed to the significant discrepancy, </w:t>
      </w:r>
      <w:r w:rsidR="00844FD2" w:rsidRPr="00781112">
        <w:rPr>
          <w:rFonts w:cs="Arial"/>
          <w:szCs w:val="16"/>
        </w:rPr>
        <w:t>as defined by the State,</w:t>
      </w:r>
      <w:r w:rsidR="005440A4" w:rsidRPr="00781112">
        <w:rPr>
          <w:rFonts w:cs="Arial"/>
          <w:szCs w:val="16"/>
        </w:rPr>
        <w:t xml:space="preserve"> </w:t>
      </w:r>
      <w:r w:rsidRPr="00781112">
        <w:rPr>
          <w:rFonts w:cs="Arial"/>
          <w:color w:val="000000" w:themeColor="text1"/>
          <w:szCs w:val="16"/>
        </w:rPr>
        <w:t>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E52C16">
        <w:rPr>
          <w:rFonts w:cs="Arial"/>
          <w:bCs/>
          <w:color w:val="000000" w:themeColor="text1"/>
          <w:szCs w:val="16"/>
        </w:rPr>
        <w:t>Memorandum</w:t>
      </w:r>
      <w:r w:rsidR="00E52C16" w:rsidRPr="00BA3DBE">
        <w:rPr>
          <w:rFonts w:cs="Arial"/>
          <w:bCs/>
          <w:color w:val="000000" w:themeColor="text1"/>
          <w:szCs w:val="16"/>
        </w:rPr>
        <w:t xml:space="preserve"> </w:t>
      </w:r>
      <w:r w:rsidR="004D1797" w:rsidRPr="00BA3DBE">
        <w:rPr>
          <w:rFonts w:cs="Arial"/>
          <w:bCs/>
          <w:color w:val="000000" w:themeColor="text1"/>
          <w:szCs w:val="16"/>
        </w:rPr>
        <w:t>23-01, dated July</w:t>
      </w:r>
      <w:r w:rsidRPr="00781112">
        <w:rPr>
          <w:rFonts w:cs="Arial"/>
          <w:color w:val="000000" w:themeColor="text1"/>
          <w:szCs w:val="16"/>
        </w:rPr>
        <w:t>.</w:t>
      </w:r>
    </w:p>
    <w:p w14:paraId="244FF3E4" w14:textId="056A3966" w:rsidR="00413366" w:rsidRPr="00781112" w:rsidRDefault="00413366"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2A4C3F88" w14:textId="41E5B6C6" w:rsidR="00413366" w:rsidRDefault="0016730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11E2EA8D" w14:textId="77777777" w:rsidR="00655489" w:rsidRPr="00FE4611" w:rsidRDefault="00655489" w:rsidP="00655489">
      <w:pPr>
        <w:rPr>
          <w:rFonts w:cs="Arial"/>
          <w:szCs w:val="16"/>
        </w:rPr>
      </w:pPr>
      <w:r w:rsidRPr="002049C0">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4A2E05BE" w14:textId="77777777" w:rsidR="00413366" w:rsidRPr="00781112" w:rsidRDefault="00413366" w:rsidP="00BB7BC9">
      <w:pPr>
        <w:rPr>
          <w:rFonts w:cs="Arial"/>
          <w:color w:val="000000" w:themeColor="text1"/>
          <w:szCs w:val="16"/>
        </w:rPr>
      </w:pPr>
      <w:r w:rsidRPr="00781112">
        <w:rPr>
          <w:rFonts w:cs="Arial"/>
          <w:color w:val="000000" w:themeColor="text1"/>
          <w:szCs w:val="16"/>
        </w:rPr>
        <w:t>Targets must be 0% for 4B.</w:t>
      </w:r>
    </w:p>
    <w:p w14:paraId="1D15A8F4" w14:textId="6546AA23" w:rsidR="00D90B7C" w:rsidRPr="00781112" w:rsidRDefault="00D11730" w:rsidP="008645AD">
      <w:pPr>
        <w:pStyle w:val="Heading2"/>
      </w:pPr>
      <w:r w:rsidRPr="00781112">
        <w:t>4B</w:t>
      </w:r>
      <w:r w:rsidR="00E90DE9" w:rsidRPr="00781112">
        <w:t xml:space="preserve"> </w:t>
      </w:r>
      <w:r w:rsidRPr="00781112">
        <w:t xml:space="preserve">- </w:t>
      </w:r>
      <w:r w:rsidR="00D90B7C" w:rsidRPr="00781112">
        <w:t>Indicator Data</w:t>
      </w:r>
    </w:p>
    <w:p w14:paraId="435C0FC5" w14:textId="77777777" w:rsidR="0091098C" w:rsidRPr="00781112" w:rsidRDefault="0091098C" w:rsidP="004369B2">
      <w:pPr>
        <w:rPr>
          <w:color w:val="000000" w:themeColor="text1"/>
        </w:rPr>
      </w:pPr>
    </w:p>
    <w:p w14:paraId="113E64CF" w14:textId="7EACB9AD" w:rsidR="00CA0009" w:rsidRPr="00781112" w:rsidRDefault="0091098C" w:rsidP="004369B2">
      <w:pPr>
        <w:rPr>
          <w:color w:val="000000" w:themeColor="text1"/>
        </w:rPr>
      </w:pPr>
      <w:r w:rsidRPr="00781112">
        <w:rPr>
          <w:b/>
          <w:color w:val="000000" w:themeColor="text1"/>
        </w:rPr>
        <w:t>Not Applicable</w:t>
      </w:r>
    </w:p>
    <w:p w14:paraId="01A6DC15" w14:textId="244F6F21" w:rsidR="00F9524E" w:rsidRPr="00781112" w:rsidRDefault="00C144E3" w:rsidP="004369B2">
      <w:pPr>
        <w:rPr>
          <w:b/>
          <w:color w:val="000000" w:themeColor="text1"/>
        </w:rPr>
      </w:pPr>
      <w:r w:rsidRPr="00781112">
        <w:rPr>
          <w:b/>
          <w:color w:val="000000" w:themeColor="text1"/>
        </w:rPr>
        <w:t>Select yes if this indicator is not applicable.</w:t>
      </w:r>
    </w:p>
    <w:p w14:paraId="53F0BC7A" w14:textId="32C15B12" w:rsidR="00F85593" w:rsidRPr="00781112" w:rsidRDefault="00F85593" w:rsidP="004369B2">
      <w:pPr>
        <w:rPr>
          <w:rFonts w:cs="Arial"/>
          <w:color w:val="000000" w:themeColor="text1"/>
          <w:szCs w:val="16"/>
        </w:rPr>
      </w:pPr>
      <w:r w:rsidRPr="00781112">
        <w:rPr>
          <w:rFonts w:cs="Arial"/>
          <w:color w:val="000000" w:themeColor="text1"/>
          <w:szCs w:val="16"/>
        </w:rPr>
        <w:t>NO</w:t>
      </w:r>
    </w:p>
    <w:p w14:paraId="2A73B0E0" w14:textId="77777777" w:rsidR="00CF0A73" w:rsidRPr="00781112" w:rsidRDefault="00CF0A73" w:rsidP="004369B2">
      <w:pPr>
        <w:rPr>
          <w:color w:val="000000" w:themeColor="text1"/>
        </w:rPr>
      </w:pPr>
    </w:p>
    <w:p w14:paraId="069D75E9" w14:textId="5200D253" w:rsidR="00BB7BC9" w:rsidRPr="00781112" w:rsidRDefault="00BB7BC9"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BBASELINEDATA"/>
      </w:tblPr>
      <w:tblGrid>
        <w:gridCol w:w="2562"/>
        <w:gridCol w:w="2563"/>
      </w:tblGrid>
      <w:tr w:rsidR="001F64DB" w:rsidRPr="00781112" w14:paraId="79576181" w14:textId="77777777" w:rsidTr="00123D76">
        <w:trPr>
          <w:trHeight w:val="311"/>
          <w:tblHeader/>
        </w:trPr>
        <w:tc>
          <w:tcPr>
            <w:tcW w:w="2562" w:type="dxa"/>
          </w:tcPr>
          <w:p w14:paraId="3F975A24" w14:textId="77777777" w:rsidR="001F64DB" w:rsidRPr="00781112" w:rsidRDefault="001F64DB" w:rsidP="00123D76">
            <w:pPr>
              <w:jc w:val="center"/>
              <w:rPr>
                <w:b/>
                <w:color w:val="000000" w:themeColor="text1"/>
              </w:rPr>
            </w:pPr>
            <w:r w:rsidRPr="00781112">
              <w:rPr>
                <w:rFonts w:cs="Arial"/>
                <w:b/>
                <w:color w:val="000000" w:themeColor="text1"/>
                <w:szCs w:val="16"/>
              </w:rPr>
              <w:t>Baseline Year</w:t>
            </w:r>
          </w:p>
        </w:tc>
        <w:tc>
          <w:tcPr>
            <w:tcW w:w="2563" w:type="dxa"/>
          </w:tcPr>
          <w:p w14:paraId="2C69FE8E" w14:textId="77777777" w:rsidR="001F64DB" w:rsidRPr="00781112" w:rsidRDefault="001F64DB" w:rsidP="00123D76">
            <w:pPr>
              <w:jc w:val="center"/>
              <w:rPr>
                <w:b/>
                <w:color w:val="000000" w:themeColor="text1"/>
              </w:rPr>
            </w:pPr>
            <w:r w:rsidRPr="00781112">
              <w:rPr>
                <w:b/>
                <w:color w:val="000000" w:themeColor="text1"/>
              </w:rPr>
              <w:t>Baseline Data</w:t>
            </w:r>
          </w:p>
        </w:tc>
      </w:tr>
      <w:tr w:rsidR="001F64DB" w:rsidRPr="00781112" w14:paraId="53FC8895" w14:textId="77777777" w:rsidTr="00123D76">
        <w:trPr>
          <w:trHeight w:val="311"/>
        </w:trPr>
        <w:tc>
          <w:tcPr>
            <w:tcW w:w="2562" w:type="dxa"/>
            <w:vAlign w:val="center"/>
          </w:tcPr>
          <w:p w14:paraId="28447C7D" w14:textId="6D0F8050" w:rsidR="001F64DB" w:rsidRPr="00781112" w:rsidRDefault="001F64DB" w:rsidP="00123D76">
            <w:pPr>
              <w:jc w:val="center"/>
              <w:rPr>
                <w:b/>
                <w:color w:val="000000" w:themeColor="text1"/>
              </w:rPr>
            </w:pPr>
            <w:r w:rsidRPr="00781112">
              <w:rPr>
                <w:rFonts w:cs="Arial"/>
                <w:color w:val="000000" w:themeColor="text1"/>
                <w:szCs w:val="16"/>
              </w:rPr>
              <w:t>2023</w:t>
            </w:r>
          </w:p>
        </w:tc>
        <w:tc>
          <w:tcPr>
            <w:tcW w:w="2563" w:type="dxa"/>
            <w:vAlign w:val="center"/>
          </w:tcPr>
          <w:p w14:paraId="66688D2B" w14:textId="7F6A1027" w:rsidR="001F64DB" w:rsidRPr="00781112" w:rsidRDefault="001F64DB" w:rsidP="00123D76">
            <w:pPr>
              <w:jc w:val="center"/>
              <w:rPr>
                <w:b/>
                <w:color w:val="000000" w:themeColor="text1"/>
              </w:rPr>
            </w:pPr>
            <w:r w:rsidRPr="00781112">
              <w:rPr>
                <w:rFonts w:cs="Arial"/>
                <w:color w:val="000000" w:themeColor="text1"/>
                <w:szCs w:val="16"/>
              </w:rPr>
              <w:t>9.84%</w:t>
            </w:r>
          </w:p>
        </w:tc>
      </w:tr>
    </w:tbl>
    <w:p w14:paraId="5B271C5C" w14:textId="77777777" w:rsidR="001F64DB" w:rsidRPr="00781112" w:rsidRDefault="001F64DB"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BHISTDATA"/>
      </w:tblPr>
      <w:tblGrid>
        <w:gridCol w:w="1798"/>
        <w:gridCol w:w="1798"/>
        <w:gridCol w:w="1798"/>
        <w:gridCol w:w="1798"/>
        <w:gridCol w:w="1798"/>
        <w:gridCol w:w="1800"/>
      </w:tblGrid>
      <w:tr w:rsidR="005C29F8" w:rsidRPr="00781112" w14:paraId="6E379028" w14:textId="77777777" w:rsidTr="00F90636">
        <w:trPr>
          <w:trHeight w:val="350"/>
        </w:trPr>
        <w:tc>
          <w:tcPr>
            <w:tcW w:w="833" w:type="pct"/>
            <w:tcBorders>
              <w:bottom w:val="single" w:sz="4" w:space="0" w:color="auto"/>
            </w:tcBorders>
            <w:shd w:val="clear" w:color="auto" w:fill="auto"/>
          </w:tcPr>
          <w:p w14:paraId="23D7B707" w14:textId="77777777" w:rsidR="00BB7BC9" w:rsidRPr="00781112" w:rsidRDefault="00BB7BC9" w:rsidP="004369B2">
            <w:pPr>
              <w:jc w:val="center"/>
              <w:rPr>
                <w:b/>
                <w:color w:val="000000" w:themeColor="text1"/>
              </w:rPr>
            </w:pPr>
            <w:r w:rsidRPr="00781112">
              <w:rPr>
                <w:b/>
                <w:color w:val="000000" w:themeColor="text1"/>
              </w:rPr>
              <w:t>FFY</w:t>
            </w:r>
          </w:p>
        </w:tc>
        <w:tc>
          <w:tcPr>
            <w:tcW w:w="833" w:type="pct"/>
            <w:shd w:val="clear" w:color="auto" w:fill="auto"/>
          </w:tcPr>
          <w:p w14:paraId="25954044" w14:textId="160ED41F" w:rsidR="00BB7BC9"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69CF376F" w14:textId="7375A3F7" w:rsidR="00BB7BC9" w:rsidRPr="00781112" w:rsidRDefault="002B7490">
            <w:pPr>
              <w:jc w:val="center"/>
              <w:rPr>
                <w:b/>
                <w:color w:val="000000" w:themeColor="text1"/>
              </w:rPr>
            </w:pPr>
            <w:r w:rsidRPr="00781112">
              <w:rPr>
                <w:b/>
                <w:color w:val="000000" w:themeColor="text1"/>
              </w:rPr>
              <w:t>2019</w:t>
            </w:r>
          </w:p>
        </w:tc>
        <w:tc>
          <w:tcPr>
            <w:tcW w:w="833" w:type="pct"/>
            <w:shd w:val="clear" w:color="auto" w:fill="auto"/>
          </w:tcPr>
          <w:p w14:paraId="4D8E8925" w14:textId="689058A4" w:rsidR="00BB7BC9" w:rsidRPr="00781112" w:rsidRDefault="002B7490">
            <w:pPr>
              <w:jc w:val="center"/>
              <w:rPr>
                <w:b/>
                <w:color w:val="000000" w:themeColor="text1"/>
              </w:rPr>
            </w:pPr>
            <w:r w:rsidRPr="00781112">
              <w:rPr>
                <w:b/>
                <w:color w:val="000000" w:themeColor="text1"/>
              </w:rPr>
              <w:t>2020</w:t>
            </w:r>
          </w:p>
        </w:tc>
        <w:tc>
          <w:tcPr>
            <w:tcW w:w="833" w:type="pct"/>
            <w:shd w:val="clear" w:color="auto" w:fill="auto"/>
          </w:tcPr>
          <w:p w14:paraId="703038E4" w14:textId="1BE5FB5A" w:rsidR="00BB7BC9" w:rsidRPr="00781112" w:rsidRDefault="002B7490">
            <w:pPr>
              <w:jc w:val="center"/>
              <w:rPr>
                <w:b/>
                <w:color w:val="000000" w:themeColor="text1"/>
              </w:rPr>
            </w:pPr>
            <w:r w:rsidRPr="00781112">
              <w:rPr>
                <w:b/>
                <w:color w:val="000000" w:themeColor="text1"/>
              </w:rPr>
              <w:t>2021</w:t>
            </w:r>
          </w:p>
        </w:tc>
        <w:tc>
          <w:tcPr>
            <w:tcW w:w="834" w:type="pct"/>
            <w:shd w:val="clear" w:color="auto" w:fill="auto"/>
          </w:tcPr>
          <w:p w14:paraId="0503649D" w14:textId="176B5064" w:rsidR="00BB7BC9" w:rsidRPr="00781112" w:rsidRDefault="002B7490">
            <w:pPr>
              <w:jc w:val="center"/>
              <w:rPr>
                <w:b/>
                <w:color w:val="000000" w:themeColor="text1"/>
              </w:rPr>
            </w:pPr>
            <w:r w:rsidRPr="00781112">
              <w:rPr>
                <w:b/>
                <w:color w:val="000000" w:themeColor="text1"/>
              </w:rPr>
              <w:t>2022</w:t>
            </w:r>
          </w:p>
        </w:tc>
      </w:tr>
      <w:tr w:rsidR="005C29F8" w:rsidRPr="00781112" w14:paraId="39522776" w14:textId="77777777" w:rsidTr="00F90636">
        <w:trPr>
          <w:trHeight w:val="357"/>
        </w:trPr>
        <w:tc>
          <w:tcPr>
            <w:tcW w:w="833" w:type="pct"/>
            <w:shd w:val="clear" w:color="auto" w:fill="auto"/>
            <w:vAlign w:val="center"/>
          </w:tcPr>
          <w:p w14:paraId="64A2466A" w14:textId="3DCD7D97" w:rsidR="00BB7BC9" w:rsidRPr="00781112" w:rsidRDefault="00BB7BC9"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vAlign w:val="center"/>
          </w:tcPr>
          <w:p w14:paraId="40744253" w14:textId="30F05132"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4721409F" w14:textId="0E67B113"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61B8DEC3" w14:textId="3B00EB70"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0C46D83A" w14:textId="2D54F0BE"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vAlign w:val="center"/>
          </w:tcPr>
          <w:p w14:paraId="14E1E671" w14:textId="1E800737" w:rsidR="00BB7BC9"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2F4BE991" w14:textId="77777777" w:rsidTr="00F90636">
        <w:trPr>
          <w:trHeight w:val="85"/>
        </w:trPr>
        <w:tc>
          <w:tcPr>
            <w:tcW w:w="833" w:type="pct"/>
            <w:shd w:val="clear" w:color="auto" w:fill="auto"/>
            <w:vAlign w:val="center"/>
          </w:tcPr>
          <w:p w14:paraId="1FC0AC5E"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3DA1451A" w14:textId="7F17AC6B" w:rsidR="00BB7BC9" w:rsidRPr="00781112" w:rsidRDefault="002B7490" w:rsidP="00A018D4">
            <w:pPr>
              <w:jc w:val="center"/>
              <w:rPr>
                <w:rFonts w:cs="Arial"/>
                <w:color w:val="000000" w:themeColor="text1"/>
                <w:szCs w:val="16"/>
              </w:rPr>
            </w:pPr>
            <w:r w:rsidRPr="00781112">
              <w:rPr>
                <w:rFonts w:cs="Arial"/>
                <w:color w:val="000000" w:themeColor="text1"/>
                <w:szCs w:val="16"/>
              </w:rPr>
              <w:t>5.26%</w:t>
            </w:r>
          </w:p>
        </w:tc>
        <w:tc>
          <w:tcPr>
            <w:tcW w:w="833" w:type="pct"/>
            <w:shd w:val="clear" w:color="auto" w:fill="auto"/>
            <w:vAlign w:val="center"/>
          </w:tcPr>
          <w:p w14:paraId="6EE4BDB3" w14:textId="2442769C" w:rsidR="00BB7BC9" w:rsidRPr="00781112" w:rsidRDefault="002B7490" w:rsidP="00A018D4">
            <w:pPr>
              <w:jc w:val="center"/>
              <w:rPr>
                <w:rFonts w:cs="Arial"/>
                <w:color w:val="000000" w:themeColor="text1"/>
                <w:szCs w:val="16"/>
              </w:rPr>
            </w:pPr>
            <w:r w:rsidRPr="00781112">
              <w:rPr>
                <w:rFonts w:cs="Arial"/>
                <w:color w:val="000000" w:themeColor="text1"/>
                <w:szCs w:val="16"/>
              </w:rPr>
              <w:t>3.51%</w:t>
            </w:r>
          </w:p>
        </w:tc>
        <w:tc>
          <w:tcPr>
            <w:tcW w:w="833" w:type="pct"/>
            <w:tcBorders>
              <w:bottom w:val="single" w:sz="4" w:space="0" w:color="auto"/>
            </w:tcBorders>
            <w:shd w:val="clear" w:color="auto" w:fill="auto"/>
            <w:vAlign w:val="center"/>
          </w:tcPr>
          <w:p w14:paraId="584E7243" w14:textId="6DD2B85E" w:rsidR="00BB7BC9" w:rsidRPr="00781112" w:rsidRDefault="002B7490" w:rsidP="00A018D4">
            <w:pPr>
              <w:jc w:val="center"/>
              <w:rPr>
                <w:rFonts w:cs="Arial"/>
                <w:color w:val="000000" w:themeColor="text1"/>
                <w:szCs w:val="16"/>
              </w:rPr>
            </w:pPr>
            <w:r w:rsidRPr="00781112">
              <w:rPr>
                <w:rFonts w:cs="Arial"/>
                <w:color w:val="000000" w:themeColor="text1"/>
                <w:szCs w:val="16"/>
              </w:rPr>
              <w:t>5.26%</w:t>
            </w:r>
          </w:p>
        </w:tc>
        <w:tc>
          <w:tcPr>
            <w:tcW w:w="833" w:type="pct"/>
            <w:tcBorders>
              <w:bottom w:val="single" w:sz="4" w:space="0" w:color="auto"/>
            </w:tcBorders>
            <w:shd w:val="clear" w:color="auto" w:fill="auto"/>
            <w:vAlign w:val="center"/>
          </w:tcPr>
          <w:p w14:paraId="54826674" w14:textId="13F0F281"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9A1627C" w14:textId="5AC2DD55" w:rsidR="00BB7BC9" w:rsidRPr="00781112" w:rsidRDefault="002B7490" w:rsidP="00A018D4">
            <w:pPr>
              <w:jc w:val="center"/>
              <w:rPr>
                <w:rFonts w:cs="Arial"/>
                <w:color w:val="000000" w:themeColor="text1"/>
                <w:szCs w:val="16"/>
              </w:rPr>
            </w:pPr>
            <w:r w:rsidRPr="00781112">
              <w:rPr>
                <w:rFonts w:cs="Arial"/>
                <w:color w:val="000000" w:themeColor="text1"/>
                <w:szCs w:val="16"/>
              </w:rPr>
              <w:t>5.88%</w:t>
            </w:r>
          </w:p>
        </w:tc>
      </w:tr>
    </w:tbl>
    <w:p w14:paraId="746FB06B" w14:textId="77777777" w:rsidR="00C15355" w:rsidRPr="00781112" w:rsidRDefault="00C15355" w:rsidP="004369B2">
      <w:pPr>
        <w:rPr>
          <w:color w:val="000000" w:themeColor="text1"/>
        </w:rPr>
      </w:pPr>
    </w:p>
    <w:p w14:paraId="31722FA9" w14:textId="62FF3A62" w:rsidR="0016730D" w:rsidRPr="00781112" w:rsidRDefault="0016730D" w:rsidP="004369B2">
      <w:pPr>
        <w:rPr>
          <w:color w:val="000000" w:themeColor="text1"/>
        </w:rPr>
      </w:pPr>
      <w:r w:rsidRPr="00781112">
        <w:rPr>
          <w:b/>
          <w:color w:val="000000" w:themeColor="text1"/>
        </w:rPr>
        <w:t>Targets</w:t>
      </w:r>
    </w:p>
    <w:tbl>
      <w:tblPr>
        <w:tblW w:w="38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TARGETS"/>
      </w:tblPr>
      <w:tblGrid>
        <w:gridCol w:w="679"/>
        <w:gridCol w:w="2400"/>
        <w:gridCol w:w="2567"/>
        <w:gridCol w:w="2567"/>
      </w:tblGrid>
      <w:tr w:rsidR="003234C9" w:rsidRPr="00781112" w14:paraId="1019C6DC" w14:textId="17898954" w:rsidTr="003234C9">
        <w:trPr>
          <w:trHeight w:val="325"/>
        </w:trPr>
        <w:tc>
          <w:tcPr>
            <w:tcW w:w="394" w:type="pct"/>
            <w:tcBorders>
              <w:bottom w:val="single" w:sz="4" w:space="0" w:color="auto"/>
            </w:tcBorders>
            <w:shd w:val="clear" w:color="auto" w:fill="auto"/>
          </w:tcPr>
          <w:p w14:paraId="049B323A" w14:textId="77777777" w:rsidR="003234C9" w:rsidRPr="00781112" w:rsidRDefault="003234C9" w:rsidP="00D62058">
            <w:pPr>
              <w:jc w:val="center"/>
              <w:rPr>
                <w:b/>
                <w:color w:val="000000" w:themeColor="text1"/>
              </w:rPr>
            </w:pPr>
            <w:r w:rsidRPr="00781112">
              <w:rPr>
                <w:b/>
                <w:color w:val="000000" w:themeColor="text1"/>
              </w:rPr>
              <w:t>FFY</w:t>
            </w:r>
          </w:p>
        </w:tc>
        <w:tc>
          <w:tcPr>
            <w:tcW w:w="1468" w:type="pct"/>
            <w:shd w:val="clear" w:color="auto" w:fill="auto"/>
          </w:tcPr>
          <w:p w14:paraId="50E287A7" w14:textId="77777777" w:rsidR="003234C9" w:rsidRPr="00781112" w:rsidRDefault="003234C9" w:rsidP="00D62058">
            <w:pPr>
              <w:jc w:val="center"/>
              <w:rPr>
                <w:b/>
                <w:color w:val="000000" w:themeColor="text1"/>
              </w:rPr>
            </w:pPr>
            <w:r w:rsidRPr="00781112">
              <w:rPr>
                <w:b/>
                <w:color w:val="000000" w:themeColor="text1"/>
              </w:rPr>
              <w:t>2023</w:t>
            </w:r>
          </w:p>
        </w:tc>
        <w:tc>
          <w:tcPr>
            <w:tcW w:w="1569" w:type="pct"/>
          </w:tcPr>
          <w:p w14:paraId="126623D3" w14:textId="402F1C62" w:rsidR="003234C9" w:rsidRPr="00781112" w:rsidRDefault="003234C9" w:rsidP="00D62058">
            <w:pPr>
              <w:jc w:val="center"/>
              <w:rPr>
                <w:b/>
                <w:color w:val="000000" w:themeColor="text1"/>
              </w:rPr>
            </w:pPr>
            <w:r w:rsidRPr="00781112">
              <w:rPr>
                <w:rFonts w:cs="Arial"/>
                <w:b/>
                <w:color w:val="000000" w:themeColor="text1"/>
                <w:szCs w:val="16"/>
              </w:rPr>
              <w:t>2024</w:t>
            </w:r>
          </w:p>
        </w:tc>
        <w:tc>
          <w:tcPr>
            <w:tcW w:w="1569" w:type="pct"/>
          </w:tcPr>
          <w:p w14:paraId="737913FD" w14:textId="6A609FDC" w:rsidR="003234C9" w:rsidRPr="00781112" w:rsidRDefault="003234C9" w:rsidP="00D62058">
            <w:pPr>
              <w:jc w:val="center"/>
              <w:rPr>
                <w:b/>
                <w:color w:val="000000" w:themeColor="text1"/>
              </w:rPr>
            </w:pPr>
            <w:r w:rsidRPr="00781112">
              <w:rPr>
                <w:rFonts w:cs="Arial"/>
                <w:b/>
                <w:color w:val="000000" w:themeColor="text1"/>
                <w:szCs w:val="16"/>
              </w:rPr>
              <w:t>2025</w:t>
            </w:r>
          </w:p>
        </w:tc>
      </w:tr>
      <w:tr w:rsidR="003234C9" w:rsidRPr="00781112" w14:paraId="090BA5B6" w14:textId="14D1700A" w:rsidTr="003234C9">
        <w:trPr>
          <w:trHeight w:val="332"/>
        </w:trPr>
        <w:tc>
          <w:tcPr>
            <w:tcW w:w="394" w:type="pct"/>
            <w:shd w:val="clear" w:color="auto" w:fill="auto"/>
            <w:vAlign w:val="center"/>
          </w:tcPr>
          <w:p w14:paraId="47EE91AE" w14:textId="1E6CE702" w:rsidR="003234C9" w:rsidRPr="00781112" w:rsidRDefault="003234C9" w:rsidP="00BA3DBE">
            <w:pPr>
              <w:jc w:val="center"/>
              <w:rPr>
                <w:rFonts w:cs="Arial"/>
                <w:color w:val="000000" w:themeColor="text1"/>
                <w:szCs w:val="16"/>
              </w:rPr>
            </w:pPr>
            <w:r w:rsidRPr="00781112">
              <w:rPr>
                <w:rFonts w:cs="Arial"/>
                <w:color w:val="000000" w:themeColor="text1"/>
                <w:szCs w:val="16"/>
              </w:rPr>
              <w:t>Target</w:t>
            </w:r>
          </w:p>
        </w:tc>
        <w:tc>
          <w:tcPr>
            <w:tcW w:w="1468" w:type="pct"/>
            <w:shd w:val="clear" w:color="auto" w:fill="auto"/>
            <w:vAlign w:val="center"/>
          </w:tcPr>
          <w:p w14:paraId="26579D0D" w14:textId="55868DD1" w:rsidR="003234C9" w:rsidRPr="00781112" w:rsidRDefault="003234C9" w:rsidP="00D62058">
            <w:pPr>
              <w:jc w:val="center"/>
              <w:rPr>
                <w:rFonts w:cs="Arial"/>
                <w:color w:val="000000" w:themeColor="text1"/>
                <w:szCs w:val="16"/>
              </w:rPr>
            </w:pPr>
            <w:r w:rsidRPr="00781112">
              <w:rPr>
                <w:rFonts w:cs="Arial"/>
                <w:color w:val="000000" w:themeColor="text1"/>
                <w:szCs w:val="16"/>
              </w:rPr>
              <w:t>0%</w:t>
            </w:r>
          </w:p>
        </w:tc>
        <w:tc>
          <w:tcPr>
            <w:tcW w:w="1569" w:type="pct"/>
          </w:tcPr>
          <w:p w14:paraId="41C3DA31" w14:textId="175676CA" w:rsidR="003234C9" w:rsidRPr="00781112" w:rsidRDefault="003234C9" w:rsidP="00D62058">
            <w:pPr>
              <w:jc w:val="center"/>
              <w:rPr>
                <w:rFonts w:cs="Arial"/>
                <w:color w:val="000000" w:themeColor="text1"/>
                <w:szCs w:val="16"/>
              </w:rPr>
            </w:pPr>
            <w:r w:rsidRPr="00781112">
              <w:rPr>
                <w:color w:val="000000" w:themeColor="text1"/>
                <w:szCs w:val="16"/>
              </w:rPr>
              <w:t>0%</w:t>
            </w:r>
          </w:p>
        </w:tc>
        <w:tc>
          <w:tcPr>
            <w:tcW w:w="1569" w:type="pct"/>
          </w:tcPr>
          <w:p w14:paraId="11966A3D" w14:textId="65AB7EFF" w:rsidR="003234C9" w:rsidRPr="00781112" w:rsidRDefault="003234C9" w:rsidP="00D62058">
            <w:pPr>
              <w:jc w:val="center"/>
              <w:rPr>
                <w:rFonts w:cs="Arial"/>
                <w:color w:val="000000" w:themeColor="text1"/>
                <w:szCs w:val="16"/>
              </w:rPr>
            </w:pPr>
            <w:r w:rsidRPr="00781112">
              <w:rPr>
                <w:color w:val="000000" w:themeColor="text1"/>
                <w:szCs w:val="16"/>
              </w:rPr>
              <w:t>0%</w:t>
            </w:r>
          </w:p>
        </w:tc>
      </w:tr>
    </w:tbl>
    <w:p w14:paraId="728AD721" w14:textId="77777777" w:rsidR="00C15355" w:rsidRPr="00781112" w:rsidRDefault="00C15355" w:rsidP="004369B2">
      <w:pPr>
        <w:rPr>
          <w:color w:val="000000" w:themeColor="text1"/>
        </w:rPr>
      </w:pPr>
    </w:p>
    <w:bookmarkEnd w:id="30"/>
    <w:bookmarkEnd w:id="31"/>
    <w:p w14:paraId="6C217ADA" w14:textId="24A1A15F" w:rsidR="00D03701" w:rsidRPr="00781112" w:rsidRDefault="0047313F">
      <w:pPr>
        <w:rPr>
          <w:b/>
          <w:color w:val="000000" w:themeColor="text1"/>
        </w:rPr>
      </w:pPr>
      <w:r>
        <w:rPr>
          <w:b/>
          <w:color w:val="000000" w:themeColor="text1"/>
        </w:rPr>
        <w:t>FFY 2023 SPP/APR Data</w:t>
      </w:r>
    </w:p>
    <w:p w14:paraId="51C79687" w14:textId="260CFDAD" w:rsidR="00F9524E" w:rsidRPr="00781112" w:rsidRDefault="00F9524E">
      <w:pPr>
        <w:rPr>
          <w:rFonts w:cs="Arial"/>
          <w:b/>
          <w:color w:val="000000" w:themeColor="text1"/>
          <w:szCs w:val="16"/>
        </w:rPr>
      </w:pPr>
      <w:r w:rsidRPr="00781112">
        <w:rPr>
          <w:rFonts w:cs="Arial"/>
          <w:b/>
          <w:color w:val="000000" w:themeColor="text1"/>
          <w:szCs w:val="16"/>
        </w:rPr>
        <w:t>Has the state established a minimum n/cell-size requirement? (yes/no)</w:t>
      </w:r>
    </w:p>
    <w:p w14:paraId="6FC8EF80" w14:textId="63ECC90F" w:rsidR="00F9524E" w:rsidRPr="00781112" w:rsidRDefault="00F9524E">
      <w:pPr>
        <w:rPr>
          <w:rFonts w:cs="Arial"/>
          <w:color w:val="000000" w:themeColor="text1"/>
          <w:szCs w:val="16"/>
        </w:rPr>
      </w:pPr>
      <w:r w:rsidRPr="00781112">
        <w:rPr>
          <w:rFonts w:cs="Arial"/>
          <w:color w:val="000000" w:themeColor="text1"/>
          <w:szCs w:val="16"/>
        </w:rPr>
        <w:t>YES</w:t>
      </w:r>
    </w:p>
    <w:p w14:paraId="0E1DD4DF" w14:textId="77777777" w:rsidR="00E52C16" w:rsidRPr="00E52C16" w:rsidRDefault="00E52C16" w:rsidP="00E52C16">
      <w:pPr>
        <w:rPr>
          <w:b/>
          <w:bCs/>
        </w:rPr>
      </w:pPr>
      <w:r w:rsidRPr="00FE4611">
        <w:rPr>
          <w:rFonts w:cs="Arial"/>
          <w:b/>
          <w:bCs/>
          <w:szCs w:val="16"/>
        </w:rPr>
        <w:t>If yes, the State must provide a definition of its minimum n and/or cell size itself and a description thereof (e.g., a State’s n size of 15 represents the number of children with disabilities enrolled in an LEA, and a State’s cell size of 5 represents the number of children with disabilities, by race and ethnicity, who have received out-of-school suspensions and expulsions of more than 10 days within the LEA).</w:t>
      </w:r>
    </w:p>
    <w:p w14:paraId="1B28FEF2" w14:textId="4316A0D5" w:rsidR="00E52C16" w:rsidRPr="00FE4611" w:rsidRDefault="00E52C16">
      <w:pPr>
        <w:rPr>
          <w:rFonts w:cs="Arial"/>
          <w:color w:val="000000" w:themeColor="text1"/>
          <w:szCs w:val="16"/>
        </w:rPr>
      </w:pPr>
      <w:r w:rsidRPr="00FE4611">
        <w:rPr>
          <w:rFonts w:cs="Arial"/>
          <w:color w:val="000000" w:themeColor="text1"/>
          <w:szCs w:val="16"/>
        </w:rPr>
        <w:t xml:space="preserve">WVDE/OSE’s n-size of 20 represents the minimum number of children with disabilities from a given racial/ethnic category enrolled in an LEA to be used as the denominator in significant discrepancy calculations. </w:t>
      </w:r>
      <w:r w:rsidRPr="00FE4611">
        <w:rPr>
          <w:rFonts w:cs="Arial"/>
          <w:color w:val="000000" w:themeColor="text1"/>
          <w:szCs w:val="16"/>
        </w:rPr>
        <w:br/>
      </w:r>
      <w:r w:rsidRPr="00FE4611">
        <w:rPr>
          <w:rFonts w:cs="Arial"/>
          <w:color w:val="000000" w:themeColor="text1"/>
          <w:szCs w:val="16"/>
        </w:rPr>
        <w:br/>
        <w:t>The minimum cell size (i.e., the minimum number of students with disabilities enrolled in an LEA to be used as the numerator in significant discrepancy calculations) was removed from the updated methodology.</w:t>
      </w:r>
    </w:p>
    <w:p w14:paraId="2EA86269" w14:textId="46B915E6" w:rsidR="00E52C16" w:rsidRPr="00E52C16" w:rsidRDefault="00E52C16" w:rsidP="00E52C16">
      <w:pPr>
        <w:rPr>
          <w:b/>
          <w:bCs/>
        </w:rPr>
      </w:pPr>
      <w:r w:rsidRPr="00FE4611">
        <w:rPr>
          <w:rFonts w:cs="Arial"/>
          <w:b/>
          <w:bCs/>
          <w:szCs w:val="16"/>
        </w:rPr>
        <w:t xml:space="preserve">If yes, the State </w:t>
      </w:r>
      <w:r w:rsidR="00F27659">
        <w:rPr>
          <w:rFonts w:cs="Arial"/>
          <w:b/>
          <w:bCs/>
          <w:szCs w:val="16"/>
        </w:rPr>
        <w:t xml:space="preserve">must </w:t>
      </w:r>
      <w:r w:rsidRPr="00FE4611">
        <w:rPr>
          <w:rFonts w:cs="Arial"/>
          <w:b/>
          <w:bCs/>
          <w:szCs w:val="16"/>
        </w:rPr>
        <w:t>also provide rationales for its minimum n and/or cell size, including why the definitions chosen are reasonable and based on stakeholder input, and how the definitions ensure that the State is appropriately analyzing and identifying LEAs with significant discrepancy.</w:t>
      </w:r>
    </w:p>
    <w:p w14:paraId="3381EA39" w14:textId="6D2C1148" w:rsidR="00F93985" w:rsidRDefault="00E52C16" w:rsidP="00E52C16">
      <w:pPr>
        <w:rPr>
          <w:rFonts w:cs="Arial"/>
          <w:color w:val="000000" w:themeColor="text1"/>
          <w:szCs w:val="16"/>
        </w:rPr>
      </w:pPr>
      <w:r w:rsidRPr="00FE4611">
        <w:rPr>
          <w:rFonts w:cs="Arial"/>
          <w:color w:val="000000" w:themeColor="text1"/>
          <w:szCs w:val="16"/>
        </w:rPr>
        <w:t>The n-size (denominator) of 20 is consistent with WVDE’s minimum n-size for ESEA accountability reporting for subgroups. This ensures that the analysis includes a sufficient number of students to provide reliable data while maintaining consistency with other WV reporting requirements.</w:t>
      </w:r>
      <w:r w:rsidRPr="00FE4611">
        <w:rPr>
          <w:rFonts w:cs="Arial"/>
          <w:color w:val="000000" w:themeColor="text1"/>
          <w:szCs w:val="16"/>
        </w:rPr>
        <w:br/>
      </w:r>
      <w:r w:rsidRPr="00FE4611">
        <w:rPr>
          <w:rFonts w:cs="Arial"/>
          <w:color w:val="000000" w:themeColor="text1"/>
          <w:szCs w:val="16"/>
        </w:rPr>
        <w:br/>
        <w:t>The minimum cell size (numerator) requirement was eliminated to increase the inclusion of LEAs in the analysis. This change was based on stakeholder feedback, which highlighted the need for a more comprehensive analysis.</w:t>
      </w:r>
    </w:p>
    <w:p w14:paraId="1E818983" w14:textId="2BCEB1A6" w:rsidR="00E52C16" w:rsidRPr="00FE4611" w:rsidRDefault="00E52C16" w:rsidP="00E52C16">
      <w:pPr>
        <w:rPr>
          <w:rFonts w:cs="Arial"/>
          <w:b/>
          <w:bCs/>
          <w:szCs w:val="16"/>
        </w:rPr>
      </w:pPr>
      <w:r w:rsidRPr="00FE4611">
        <w:rPr>
          <w:rFonts w:cs="Arial"/>
          <w:b/>
          <w:bCs/>
          <w:szCs w:val="16"/>
        </w:rPr>
        <w:t xml:space="preserve">If yes, the State must also indicate whether the minimum n and/or cell size represents a change from the prior SPP/APR reporting period. </w:t>
      </w:r>
    </w:p>
    <w:p w14:paraId="11BCA870" w14:textId="42C6A184" w:rsidR="00E52C16" w:rsidRPr="00FE4611" w:rsidRDefault="00E52C16">
      <w:pPr>
        <w:rPr>
          <w:rFonts w:cs="Arial"/>
          <w:color w:val="000000" w:themeColor="text1"/>
          <w:szCs w:val="16"/>
        </w:rPr>
      </w:pPr>
      <w:r w:rsidRPr="00FE4611">
        <w:rPr>
          <w:rFonts w:cs="Arial"/>
          <w:color w:val="000000" w:themeColor="text1"/>
          <w:szCs w:val="16"/>
        </w:rPr>
        <w:t>While the minimum n-size (denominator) did not change from the prior SPP/APR reporting period, the minimum cell size (numerator) was removed.</w:t>
      </w:r>
    </w:p>
    <w:p w14:paraId="291B5286" w14:textId="77777777" w:rsidR="00E52C16" w:rsidRPr="00E52C16" w:rsidRDefault="00E52C16" w:rsidP="00FE4611">
      <w:pPr>
        <w:rPr>
          <w:b/>
          <w:bCs/>
        </w:rPr>
      </w:pPr>
      <w:r w:rsidRPr="00FE4611">
        <w:rPr>
          <w:rFonts w:cs="Arial"/>
          <w:b/>
          <w:bCs/>
          <w:szCs w:val="16"/>
        </w:rPr>
        <w:t>If yes, the State must provide an explanation why the minimum n and/or cell size was changed.</w:t>
      </w:r>
    </w:p>
    <w:p w14:paraId="56023CFF" w14:textId="68F61573" w:rsidR="00E52C16" w:rsidRPr="00FE4611" w:rsidRDefault="00E52C16">
      <w:pPr>
        <w:rPr>
          <w:rFonts w:cs="Arial"/>
          <w:color w:val="000000" w:themeColor="text1"/>
          <w:szCs w:val="16"/>
        </w:rPr>
      </w:pPr>
      <w:r w:rsidRPr="00FE4611">
        <w:rPr>
          <w:rFonts w:cs="Arial"/>
          <w:color w:val="000000" w:themeColor="text1"/>
          <w:szCs w:val="16"/>
        </w:rPr>
        <w:t>The minimum cell size (numerator) requirement was eliminated to increase the number of LEAs included in the analysis. This change was based on stakeholder feedback, which highlighted the need for a more comprehensive approach.</w:t>
      </w:r>
    </w:p>
    <w:p w14:paraId="69A72720" w14:textId="67B89260" w:rsidR="00F9524E" w:rsidRPr="00781112" w:rsidRDefault="00F9524E">
      <w:pPr>
        <w:rPr>
          <w:rFonts w:cs="Arial"/>
          <w:b/>
          <w:color w:val="000000" w:themeColor="text1"/>
          <w:szCs w:val="16"/>
        </w:rPr>
      </w:pPr>
      <w:r w:rsidRPr="00781112">
        <w:rPr>
          <w:rFonts w:cs="Arial"/>
          <w:b/>
          <w:color w:val="000000" w:themeColor="text1"/>
          <w:szCs w:val="16"/>
        </w:rPr>
        <w:t xml:space="preserve">If yes, the State may only include, in both the numerator and the denominator, LEAs that met the State-established n/cell size. </w:t>
      </w:r>
      <w:r w:rsidR="00E52C16" w:rsidRPr="00FE4611">
        <w:rPr>
          <w:rFonts w:cs="Arial"/>
          <w:b/>
          <w:bCs/>
          <w:szCs w:val="16"/>
        </w:rPr>
        <w:t>If the State used a minimum n and/or cell size requirement, report the number of LEAs totally excluded from the calculation as a result of this requirement.</w:t>
      </w:r>
    </w:p>
    <w:p w14:paraId="4A920DA7" w14:textId="169D365F" w:rsidR="00F9524E" w:rsidRPr="00781112" w:rsidRDefault="00F9524E" w:rsidP="004369B2">
      <w:pPr>
        <w:rPr>
          <w:rFonts w:cs="Arial"/>
          <w:color w:val="000000" w:themeColor="text1"/>
          <w:szCs w:val="16"/>
        </w:rPr>
      </w:pPr>
      <w:r w:rsidRPr="00781112">
        <w:rPr>
          <w:rFonts w:cs="Arial"/>
          <w:color w:val="000000" w:themeColor="text1"/>
          <w:szCs w:val="16"/>
        </w:rPr>
        <w:lastRenderedPageBreak/>
        <w:t>0</w:t>
      </w:r>
    </w:p>
    <w:p w14:paraId="4C0AC734" w14:textId="77777777" w:rsidR="0016730D" w:rsidRPr="00781112" w:rsidRDefault="0016730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CFFYAPRDATA"/>
      </w:tblPr>
      <w:tblGrid>
        <w:gridCol w:w="1328"/>
        <w:gridCol w:w="1272"/>
        <w:gridCol w:w="1757"/>
        <w:gridCol w:w="1152"/>
        <w:gridCol w:w="1675"/>
        <w:gridCol w:w="1047"/>
        <w:gridCol w:w="1299"/>
        <w:gridCol w:w="1260"/>
      </w:tblGrid>
      <w:tr w:rsidR="00740CBC" w:rsidRPr="00781112" w14:paraId="38B0A91A" w14:textId="77777777" w:rsidTr="00EC0EDB">
        <w:trPr>
          <w:trHeight w:val="994"/>
          <w:jc w:val="center"/>
        </w:trPr>
        <w:tc>
          <w:tcPr>
            <w:tcW w:w="615" w:type="pct"/>
            <w:shd w:val="clear" w:color="auto" w:fill="auto"/>
            <w:vAlign w:val="bottom"/>
          </w:tcPr>
          <w:p w14:paraId="7B29D1BD" w14:textId="32EC5502"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have a significant discrepancy, by race or ethnicity</w:t>
            </w:r>
          </w:p>
        </w:tc>
        <w:tc>
          <w:tcPr>
            <w:tcW w:w="589" w:type="pct"/>
            <w:shd w:val="clear" w:color="auto" w:fill="auto"/>
            <w:vAlign w:val="bottom"/>
          </w:tcPr>
          <w:p w14:paraId="5F8F5A3F" w14:textId="0F9AAB60"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those LEAs that have policies, procedure or practices that contribute to the significant discrepancy and do not comply with requirements</w:t>
            </w:r>
          </w:p>
        </w:tc>
        <w:tc>
          <w:tcPr>
            <w:tcW w:w="814" w:type="pct"/>
            <w:shd w:val="clear" w:color="auto" w:fill="auto"/>
            <w:vAlign w:val="bottom"/>
          </w:tcPr>
          <w:p w14:paraId="198605CB" w14:textId="35586744"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534" w:type="pct"/>
            <w:shd w:val="clear" w:color="auto" w:fill="auto"/>
            <w:vAlign w:val="bottom"/>
          </w:tcPr>
          <w:p w14:paraId="45990D98" w14:textId="2ED4570D" w:rsidR="00740CBC" w:rsidRPr="00CC1061" w:rsidRDefault="00740CBC" w:rsidP="00740CBC">
            <w:pPr>
              <w:jc w:val="center"/>
              <w:rPr>
                <w:rFonts w:cs="Arial"/>
                <w:b/>
                <w:bCs/>
                <w:color w:val="000000" w:themeColor="text1"/>
                <w:szCs w:val="16"/>
              </w:rPr>
            </w:pPr>
            <w:r w:rsidRPr="00CC1061">
              <w:rPr>
                <w:b/>
                <w:bCs/>
              </w:rPr>
              <w:t>FFY 2022 Data</w:t>
            </w:r>
          </w:p>
        </w:tc>
        <w:tc>
          <w:tcPr>
            <w:tcW w:w="776" w:type="pct"/>
            <w:shd w:val="clear" w:color="auto" w:fill="auto"/>
            <w:vAlign w:val="bottom"/>
          </w:tcPr>
          <w:p w14:paraId="1BAB59B0" w14:textId="231C4FF6" w:rsidR="00740CBC" w:rsidRPr="00CC1061" w:rsidRDefault="00740CBC" w:rsidP="00740CBC">
            <w:pPr>
              <w:jc w:val="center"/>
              <w:rPr>
                <w:rFonts w:cs="Arial"/>
                <w:b/>
                <w:bCs/>
                <w:color w:val="000000" w:themeColor="text1"/>
                <w:szCs w:val="16"/>
              </w:rPr>
            </w:pPr>
            <w:r w:rsidRPr="00CC1061">
              <w:rPr>
                <w:b/>
                <w:bCs/>
              </w:rPr>
              <w:t>FFY 2023 Target</w:t>
            </w:r>
          </w:p>
        </w:tc>
        <w:tc>
          <w:tcPr>
            <w:tcW w:w="485" w:type="pct"/>
            <w:shd w:val="clear" w:color="auto" w:fill="auto"/>
            <w:vAlign w:val="bottom"/>
          </w:tcPr>
          <w:p w14:paraId="179C63C5" w14:textId="103459BA" w:rsidR="00740CBC" w:rsidRPr="00CC1061" w:rsidRDefault="00740CBC" w:rsidP="00740CBC">
            <w:pPr>
              <w:jc w:val="center"/>
              <w:rPr>
                <w:rFonts w:cs="Arial"/>
                <w:b/>
                <w:bCs/>
                <w:color w:val="000000" w:themeColor="text1"/>
                <w:szCs w:val="16"/>
              </w:rPr>
            </w:pPr>
            <w:r w:rsidRPr="00CC1061">
              <w:rPr>
                <w:b/>
                <w:bCs/>
              </w:rPr>
              <w:t>FFY 2023 Data</w:t>
            </w:r>
          </w:p>
        </w:tc>
        <w:tc>
          <w:tcPr>
            <w:tcW w:w="602" w:type="pct"/>
            <w:shd w:val="clear" w:color="auto" w:fill="auto"/>
            <w:vAlign w:val="bottom"/>
          </w:tcPr>
          <w:p w14:paraId="65AC443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Status</w:t>
            </w:r>
          </w:p>
        </w:tc>
        <w:tc>
          <w:tcPr>
            <w:tcW w:w="584" w:type="pct"/>
            <w:shd w:val="clear" w:color="auto" w:fill="auto"/>
            <w:vAlign w:val="bottom"/>
          </w:tcPr>
          <w:p w14:paraId="1CC124E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Slippage</w:t>
            </w:r>
          </w:p>
        </w:tc>
      </w:tr>
      <w:tr w:rsidR="005C29F8" w:rsidRPr="00781112" w14:paraId="204CDE51" w14:textId="77777777" w:rsidTr="00EC0EDB">
        <w:trPr>
          <w:trHeight w:val="233"/>
          <w:jc w:val="center"/>
        </w:trPr>
        <w:tc>
          <w:tcPr>
            <w:tcW w:w="615" w:type="pct"/>
            <w:shd w:val="clear" w:color="auto" w:fill="auto"/>
          </w:tcPr>
          <w:p w14:paraId="1BBB876A" w14:textId="743343A5" w:rsidR="00DE45AB" w:rsidRPr="00781112" w:rsidRDefault="002B7490" w:rsidP="00A018D4">
            <w:pPr>
              <w:jc w:val="center"/>
              <w:rPr>
                <w:rFonts w:cs="Arial"/>
                <w:color w:val="000000" w:themeColor="text1"/>
                <w:szCs w:val="16"/>
              </w:rPr>
            </w:pPr>
            <w:r w:rsidRPr="00781112">
              <w:rPr>
                <w:rFonts w:cs="Arial"/>
                <w:color w:val="000000" w:themeColor="text1"/>
                <w:szCs w:val="16"/>
              </w:rPr>
              <w:t>6</w:t>
            </w:r>
          </w:p>
        </w:tc>
        <w:tc>
          <w:tcPr>
            <w:tcW w:w="589" w:type="pct"/>
            <w:shd w:val="clear" w:color="auto" w:fill="auto"/>
            <w:vAlign w:val="center"/>
          </w:tcPr>
          <w:p w14:paraId="6C540A5B" w14:textId="472541D0" w:rsidR="00DE45AB" w:rsidRPr="00781112" w:rsidRDefault="002B7490" w:rsidP="00A018D4">
            <w:pPr>
              <w:jc w:val="center"/>
              <w:rPr>
                <w:rFonts w:cs="Arial"/>
                <w:color w:val="000000" w:themeColor="text1"/>
                <w:szCs w:val="16"/>
              </w:rPr>
            </w:pPr>
            <w:r w:rsidRPr="00781112">
              <w:rPr>
                <w:rFonts w:cs="Arial"/>
                <w:color w:val="000000" w:themeColor="text1"/>
                <w:szCs w:val="16"/>
              </w:rPr>
              <w:t>6</w:t>
            </w:r>
          </w:p>
        </w:tc>
        <w:tc>
          <w:tcPr>
            <w:tcW w:w="814" w:type="pct"/>
            <w:shd w:val="clear" w:color="auto" w:fill="auto"/>
          </w:tcPr>
          <w:p w14:paraId="6F1E42F0" w14:textId="4B631704" w:rsidR="00DE45AB" w:rsidRPr="00781112" w:rsidRDefault="002B7490" w:rsidP="00A018D4">
            <w:pPr>
              <w:jc w:val="center"/>
              <w:rPr>
                <w:rFonts w:cs="Arial"/>
                <w:color w:val="000000" w:themeColor="text1"/>
                <w:szCs w:val="16"/>
              </w:rPr>
            </w:pPr>
            <w:r w:rsidRPr="00781112">
              <w:rPr>
                <w:rFonts w:cs="Arial"/>
                <w:color w:val="000000" w:themeColor="text1"/>
                <w:szCs w:val="16"/>
              </w:rPr>
              <w:t>61</w:t>
            </w:r>
          </w:p>
        </w:tc>
        <w:tc>
          <w:tcPr>
            <w:tcW w:w="534" w:type="pct"/>
            <w:shd w:val="clear" w:color="auto" w:fill="auto"/>
          </w:tcPr>
          <w:p w14:paraId="76FAD105" w14:textId="6054175F" w:rsidR="00DE45AB" w:rsidRPr="00781112" w:rsidRDefault="002B7490" w:rsidP="00A018D4">
            <w:pPr>
              <w:jc w:val="center"/>
              <w:rPr>
                <w:rFonts w:cs="Arial"/>
                <w:color w:val="000000" w:themeColor="text1"/>
                <w:szCs w:val="16"/>
              </w:rPr>
            </w:pPr>
            <w:r w:rsidRPr="00781112">
              <w:rPr>
                <w:rFonts w:cs="Arial"/>
                <w:color w:val="000000" w:themeColor="text1"/>
                <w:szCs w:val="16"/>
              </w:rPr>
              <w:t>5.88%</w:t>
            </w:r>
          </w:p>
        </w:tc>
        <w:tc>
          <w:tcPr>
            <w:tcW w:w="776" w:type="pct"/>
            <w:shd w:val="clear" w:color="auto" w:fill="auto"/>
          </w:tcPr>
          <w:p w14:paraId="0F3192F2" w14:textId="289113AF" w:rsidR="00DE45AB" w:rsidRPr="00781112" w:rsidRDefault="00BA56C8">
            <w:pPr>
              <w:jc w:val="center"/>
              <w:rPr>
                <w:rFonts w:cs="Arial"/>
                <w:color w:val="000000" w:themeColor="text1"/>
                <w:szCs w:val="16"/>
              </w:rPr>
            </w:pPr>
            <w:r w:rsidRPr="00781112">
              <w:rPr>
                <w:rFonts w:cs="Arial"/>
                <w:color w:val="000000" w:themeColor="text1"/>
                <w:szCs w:val="16"/>
              </w:rPr>
              <w:t>0%</w:t>
            </w:r>
          </w:p>
        </w:tc>
        <w:tc>
          <w:tcPr>
            <w:tcW w:w="485" w:type="pct"/>
            <w:shd w:val="clear" w:color="auto" w:fill="auto"/>
          </w:tcPr>
          <w:p w14:paraId="7BDF1791" w14:textId="2192A561" w:rsidR="00DE45AB" w:rsidRPr="00781112" w:rsidRDefault="002B7490" w:rsidP="00A018D4">
            <w:pPr>
              <w:jc w:val="center"/>
              <w:rPr>
                <w:rFonts w:cs="Arial"/>
                <w:color w:val="000000" w:themeColor="text1"/>
                <w:szCs w:val="16"/>
              </w:rPr>
            </w:pPr>
            <w:r w:rsidRPr="00781112">
              <w:rPr>
                <w:rFonts w:cs="Arial"/>
                <w:color w:val="000000" w:themeColor="text1"/>
                <w:szCs w:val="16"/>
              </w:rPr>
              <w:t>9.84%</w:t>
            </w:r>
          </w:p>
        </w:tc>
        <w:tc>
          <w:tcPr>
            <w:tcW w:w="602" w:type="pct"/>
            <w:shd w:val="clear" w:color="auto" w:fill="auto"/>
          </w:tcPr>
          <w:p w14:paraId="389804B8" w14:textId="23C75A7D" w:rsidR="00DE45AB"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584" w:type="pct"/>
            <w:shd w:val="clear" w:color="auto" w:fill="auto"/>
          </w:tcPr>
          <w:p w14:paraId="3AF9E82D" w14:textId="6AA616AB" w:rsidR="00DE45AB"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6E2244E6" w14:textId="77777777" w:rsidR="00A20CC3" w:rsidRPr="00781112" w:rsidRDefault="00A20CC3" w:rsidP="00A20CC3">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33BA0C5D" w14:textId="167098C0" w:rsidR="00A20CC3" w:rsidRPr="00781112" w:rsidRDefault="00A20CC3" w:rsidP="00A20CC3">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40DD3F41" w14:textId="31F46ACB" w:rsidR="00F9524E" w:rsidRPr="00781112" w:rsidRDefault="004B3E74" w:rsidP="000E33D0">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F24C674" w14:textId="1B9869B3" w:rsidR="00F9524E" w:rsidRPr="00781112" w:rsidRDefault="00F9524E" w:rsidP="000E33D0">
      <w:pPr>
        <w:rPr>
          <w:rFonts w:cs="Arial"/>
          <w:color w:val="000000" w:themeColor="text1"/>
          <w:szCs w:val="16"/>
        </w:rPr>
      </w:pPr>
      <w:r w:rsidRPr="00781112">
        <w:rPr>
          <w:rFonts w:cs="Arial"/>
          <w:color w:val="000000" w:themeColor="text1"/>
          <w:szCs w:val="16"/>
        </w:rPr>
        <w:t>YES</w:t>
      </w:r>
    </w:p>
    <w:p w14:paraId="6DB014CF" w14:textId="6C5A068F" w:rsidR="001F6A28" w:rsidRPr="00781112" w:rsidRDefault="001F6A28" w:rsidP="009A755E">
      <w:pPr>
        <w:rPr>
          <w:rFonts w:cs="Arial"/>
          <w:b/>
          <w:color w:val="000000" w:themeColor="text1"/>
          <w:szCs w:val="16"/>
        </w:rPr>
      </w:pPr>
      <w:bookmarkStart w:id="33" w:name="_Toc392159294"/>
      <w:r w:rsidRPr="00781112">
        <w:rPr>
          <w:rFonts w:cs="Arial"/>
          <w:b/>
          <w:color w:val="000000" w:themeColor="text1"/>
          <w:szCs w:val="16"/>
        </w:rPr>
        <w:t>State’s definition of “significant discrepancy” and methodology</w:t>
      </w:r>
    </w:p>
    <w:p w14:paraId="68DA7D27" w14:textId="3FCFF894" w:rsidR="002D57DA" w:rsidRPr="00781112" w:rsidRDefault="002B7490" w:rsidP="009C613A">
      <w:pPr>
        <w:rPr>
          <w:rFonts w:cs="Arial"/>
          <w:b/>
          <w:color w:val="000000" w:themeColor="text1"/>
          <w:szCs w:val="16"/>
        </w:rPr>
      </w:pPr>
      <w:r w:rsidRPr="00781112">
        <w:rPr>
          <w:rFonts w:cs="Arial"/>
          <w:color w:val="000000" w:themeColor="text1"/>
          <w:szCs w:val="16"/>
        </w:rPr>
        <w:t>DEFINITION OF “SIGNIFICANT DISCREPANCY”</w:t>
      </w:r>
      <w:r w:rsidRPr="00781112">
        <w:rPr>
          <w:rFonts w:cs="Arial"/>
          <w:color w:val="000000" w:themeColor="text1"/>
          <w:szCs w:val="16"/>
        </w:rPr>
        <w:br/>
        <w:t>A “significant discrepancy” is identified when an LEA's rate ratio of suspensions/expulsions of more than 10 days for students with disabilities (SWD) by race/ethnicity is 3.00 or higher in any given school year. This means the LEA's rate for a given race/ethnicity category is three or more times the state rate of suspensions/expulsions of more than 10 days for SWDs.</w:t>
      </w:r>
      <w:r w:rsidRPr="00781112">
        <w:rPr>
          <w:rFonts w:cs="Arial"/>
          <w:color w:val="000000" w:themeColor="text1"/>
          <w:szCs w:val="16"/>
        </w:rPr>
        <w:br/>
      </w:r>
      <w:r w:rsidRPr="00781112">
        <w:rPr>
          <w:rFonts w:cs="Arial"/>
          <w:color w:val="000000" w:themeColor="text1"/>
          <w:szCs w:val="16"/>
        </w:rPr>
        <w:br/>
        <w:t>RATE RATIO CALCULATION</w:t>
      </w:r>
      <w:r w:rsidRPr="00781112">
        <w:rPr>
          <w:rFonts w:cs="Arial"/>
          <w:color w:val="000000" w:themeColor="text1"/>
          <w:szCs w:val="16"/>
        </w:rPr>
        <w:br/>
        <w:t>The calculation includes the number of SWDs of a particular race/ethnicity suspended/expelled greater than 10 days in an LEA as the numerator, and the number of SWDs of a particular race/ethnicity in an LEA as the denominator, multiplied by 100 to express it as a percentage. The rate ratio is then calculated by dividing each LEA's rate of suspensions/expulsions of more than 10 days for SWDs, by race/ethnicity, by the state's overall rate.</w:t>
      </w:r>
      <w:r w:rsidRPr="00781112">
        <w:rPr>
          <w:rFonts w:cs="Arial"/>
          <w:color w:val="000000" w:themeColor="text1"/>
          <w:szCs w:val="16"/>
        </w:rPr>
        <w:br/>
      </w:r>
      <w:r w:rsidRPr="00781112">
        <w:rPr>
          <w:rFonts w:cs="Arial"/>
          <w:color w:val="000000" w:themeColor="text1"/>
          <w:szCs w:val="16"/>
        </w:rPr>
        <w:br/>
        <w:t>The state-level long-term suspension and expulsion rates for SWDs are variable and calculated annually. Each year, the state-level long-term suspension and expulsion rate is used dynamically in the methodology to determine whether an LEA's rate ratio is 3.00 or higher. For this reporting period (i.e., for the FFY 2023 SPP/APR, using data from SY 2022–23), the state-level long-term suspension and expulsion rate was 1.79%. This annual update ensures that the comparison reflects the most current data and accurately captures any changes in trends over time. Using a variable state-level long-term suspension and expulsion rate accounts for shifts in suspension and expulsion trends, ensuring that the methodology remains responsive to changes in policies, practices, and student populations. This approach promotes fairness by comparing LEAs to the most recent state-level data available each year.</w:t>
      </w:r>
      <w:r w:rsidRPr="00781112">
        <w:rPr>
          <w:rFonts w:cs="Arial"/>
          <w:color w:val="000000" w:themeColor="text1"/>
          <w:szCs w:val="16"/>
        </w:rPr>
        <w:br/>
      </w:r>
      <w:r w:rsidRPr="00781112">
        <w:rPr>
          <w:rFonts w:cs="Arial"/>
          <w:color w:val="000000" w:themeColor="text1"/>
          <w:szCs w:val="16"/>
        </w:rPr>
        <w:br/>
        <w:t>RATE RATIO INTERPRETATION</w:t>
      </w:r>
      <w:r w:rsidRPr="00781112">
        <w:rPr>
          <w:rFonts w:cs="Arial"/>
          <w:color w:val="000000" w:themeColor="text1"/>
          <w:szCs w:val="16"/>
        </w:rPr>
        <w:br/>
        <w:t>— A rate ratio of 1.00 means the LEA rate is the same as the state rate.</w:t>
      </w:r>
      <w:r w:rsidRPr="00781112">
        <w:rPr>
          <w:rFonts w:cs="Arial"/>
          <w:color w:val="000000" w:themeColor="text1"/>
          <w:szCs w:val="16"/>
        </w:rPr>
        <w:br/>
        <w:t>— A rate ratio above 1.00 means the LEA rate is higher than the state rate. For example, a rate ratio of 2.00 means the LEA rate is twice as high as the state rate.</w:t>
      </w:r>
      <w:r w:rsidRPr="00781112">
        <w:rPr>
          <w:rFonts w:cs="Arial"/>
          <w:color w:val="000000" w:themeColor="text1"/>
          <w:szCs w:val="16"/>
        </w:rPr>
        <w:br/>
        <w:t>— A rate ratio below 1.00 means the LEA rate is lower than the state rate. For example, a rate ratio of 0.50 means the LEA rate is half as high as the state rate.</w:t>
      </w:r>
      <w:r w:rsidRPr="00781112">
        <w:rPr>
          <w:rFonts w:cs="Arial"/>
          <w:color w:val="000000" w:themeColor="text1"/>
          <w:szCs w:val="16"/>
        </w:rPr>
        <w:br/>
      </w:r>
      <w:r w:rsidRPr="00781112">
        <w:rPr>
          <w:rFonts w:cs="Arial"/>
          <w:color w:val="000000" w:themeColor="text1"/>
          <w:szCs w:val="16"/>
        </w:rPr>
        <w:br/>
        <w:t>INCLUSION CRITERIA</w:t>
      </w:r>
      <w:r w:rsidRPr="00781112">
        <w:rPr>
          <w:rFonts w:cs="Arial"/>
          <w:color w:val="000000" w:themeColor="text1"/>
          <w:szCs w:val="16"/>
        </w:rPr>
        <w:br/>
        <w:t>The analysis includes all LEAs with a minimum n-size (denominator) of 20 SWDs in one or more racial/ethnic categories.</w:t>
      </w:r>
    </w:p>
    <w:p w14:paraId="3EC3FBFA" w14:textId="77777777" w:rsidR="006C575D" w:rsidRPr="00781112" w:rsidRDefault="006C575D" w:rsidP="004369B2">
      <w:pPr>
        <w:rPr>
          <w:b/>
          <w:color w:val="000000" w:themeColor="text1"/>
        </w:rPr>
      </w:pPr>
      <w:r w:rsidRPr="00781112">
        <w:rPr>
          <w:b/>
          <w:color w:val="000000" w:themeColor="text1"/>
        </w:rPr>
        <w:t>Provide additional information about this indicator (optional)</w:t>
      </w:r>
    </w:p>
    <w:p w14:paraId="35896747" w14:textId="5B1C78C3" w:rsidR="002D57DA" w:rsidRPr="00781112" w:rsidRDefault="002B7490" w:rsidP="000E33D0">
      <w:pPr>
        <w:rPr>
          <w:rFonts w:cs="Arial"/>
          <w:color w:val="000000" w:themeColor="text1"/>
          <w:szCs w:val="16"/>
        </w:rPr>
      </w:pPr>
      <w:r w:rsidRPr="00781112">
        <w:rPr>
          <w:rFonts w:cs="Arial"/>
          <w:color w:val="000000" w:themeColor="text1"/>
          <w:szCs w:val="16"/>
        </w:rPr>
        <w:t>*METHODOLOGY REVISION*</w:t>
      </w:r>
      <w:r w:rsidRPr="00781112">
        <w:rPr>
          <w:rFonts w:cs="Arial"/>
          <w:color w:val="000000" w:themeColor="text1"/>
          <w:szCs w:val="16"/>
        </w:rPr>
        <w:br/>
        <w:t>In November 2023, WVDE/OSE initiated a comprehensive stakeholder engagement process to gather feedback on potential changes to the methodology used for SPP/APR Indicator 4B. This initiative was driven by the Office of Special Education Programs' (OSEP) increased emphasis on the rigor states apply to this indicator.</w:t>
      </w:r>
      <w:r w:rsidRPr="00781112">
        <w:rPr>
          <w:rFonts w:cs="Arial"/>
          <w:color w:val="000000" w:themeColor="text1"/>
          <w:szCs w:val="16"/>
        </w:rPr>
        <w:br/>
      </w:r>
      <w:r w:rsidRPr="00781112">
        <w:rPr>
          <w:rFonts w:cs="Arial"/>
          <w:color w:val="000000" w:themeColor="text1"/>
          <w:szCs w:val="16"/>
        </w:rPr>
        <w:br/>
        <w:t>The process began with informing stakeholders about the current methodology and its limitations, particularly highlighting the impact of COVID-19 on discipline data. Stakeholders were presented with two options: maintaining the current methodology or exploring alternative methodologies with different inclusion criteria and thresholds to represent a significant discrepancy.</w:t>
      </w:r>
      <w:r w:rsidRPr="00781112">
        <w:rPr>
          <w:rFonts w:cs="Arial"/>
          <w:color w:val="000000" w:themeColor="text1"/>
          <w:szCs w:val="16"/>
        </w:rPr>
        <w:br/>
      </w:r>
      <w:r w:rsidRPr="00781112">
        <w:rPr>
          <w:rFonts w:cs="Arial"/>
          <w:color w:val="000000" w:themeColor="text1"/>
          <w:szCs w:val="16"/>
        </w:rPr>
        <w:br/>
        <w:t>Feedback on the methodology revisions was solicited from a diverse group of stakeholders, including WV directors of special education from small, medium, and large LEAs, including a public charter school, as well as representatives from the following groups:</w:t>
      </w:r>
      <w:r w:rsidRPr="00781112">
        <w:rPr>
          <w:rFonts w:cs="Arial"/>
          <w:color w:val="000000" w:themeColor="text1"/>
          <w:szCs w:val="16"/>
        </w:rPr>
        <w:br/>
        <w:t>— The West Virginia Parent Training and Information, Inc.</w:t>
      </w:r>
      <w:r w:rsidRPr="00781112">
        <w:rPr>
          <w:rFonts w:cs="Arial"/>
          <w:color w:val="000000" w:themeColor="text1"/>
          <w:szCs w:val="16"/>
        </w:rPr>
        <w:br/>
        <w:t>— The West Virginia Advisory Council for the Education of Exceptional Children (WVACEEC)</w:t>
      </w:r>
      <w:r w:rsidRPr="00781112">
        <w:rPr>
          <w:rFonts w:cs="Arial"/>
          <w:color w:val="000000" w:themeColor="text1"/>
          <w:szCs w:val="16"/>
        </w:rPr>
        <w:br/>
        <w:t>— WVDE Office of School Improvement</w:t>
      </w:r>
      <w:r w:rsidRPr="00781112">
        <w:rPr>
          <w:rFonts w:cs="Arial"/>
          <w:color w:val="000000" w:themeColor="text1"/>
          <w:szCs w:val="16"/>
        </w:rPr>
        <w:br/>
        <w:t>— WVDE Office of Student Support and Well-Being</w:t>
      </w:r>
      <w:r w:rsidRPr="00781112">
        <w:rPr>
          <w:rFonts w:cs="Arial"/>
          <w:color w:val="000000" w:themeColor="text1"/>
          <w:szCs w:val="16"/>
        </w:rPr>
        <w:br/>
        <w:t xml:space="preserve">— WVDE Office of Special Education </w:t>
      </w:r>
      <w:r w:rsidRPr="00781112">
        <w:rPr>
          <w:rFonts w:cs="Arial"/>
          <w:color w:val="000000" w:themeColor="text1"/>
          <w:szCs w:val="16"/>
        </w:rPr>
        <w:br/>
      </w:r>
      <w:r w:rsidRPr="00781112">
        <w:rPr>
          <w:rFonts w:cs="Arial"/>
          <w:color w:val="000000" w:themeColor="text1"/>
          <w:szCs w:val="16"/>
        </w:rPr>
        <w:br/>
        <w:t xml:space="preserve">Stakeholders were asked to provide their opinions on the appropriateness of the current methodology and the potential changes. The feedback received was insightful. The majority of stakeholders supported exploring changes to increase the number of LEAs included in the analysis each year and to better capture racial/ethnic disparities. However, concerns were raised about the impact on small LEAs and the implementation timeline. </w:t>
      </w:r>
      <w:r w:rsidRPr="00781112">
        <w:rPr>
          <w:rFonts w:cs="Arial"/>
          <w:color w:val="000000" w:themeColor="text1"/>
          <w:szCs w:val="16"/>
        </w:rPr>
        <w:br/>
      </w:r>
      <w:r w:rsidRPr="00781112">
        <w:rPr>
          <w:rFonts w:cs="Arial"/>
          <w:color w:val="000000" w:themeColor="text1"/>
          <w:szCs w:val="16"/>
        </w:rPr>
        <w:br/>
        <w:t xml:space="preserve">In response to this feedback, WVDE/OSE proposed a refined methodology. This included a new rate ratio calculation and the elimination of the minimum cell size requirement. The threshold for significant discrepancies was adjusted to a rate ratio of 3.00. </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The stakeholder feedback received was overwhelmingly positive, with stakeholders expressing strong support for the proposed changes. They appreciated the clarity and thoroughness of the explanations provided, found the new methodology easy to understand, and believed it would offer a clearer and more comprehensive picture statewide. Overall, there was a consensus that the changes would be beneficial for West Virginia.</w:t>
      </w:r>
      <w:r w:rsidRPr="00781112">
        <w:rPr>
          <w:rFonts w:cs="Arial"/>
          <w:color w:val="000000" w:themeColor="text1"/>
          <w:szCs w:val="16"/>
        </w:rPr>
        <w:br/>
      </w:r>
      <w:r w:rsidRPr="00781112">
        <w:rPr>
          <w:rFonts w:cs="Arial"/>
          <w:color w:val="000000" w:themeColor="text1"/>
          <w:szCs w:val="16"/>
        </w:rPr>
        <w:br/>
        <w:t>Following these developments, WVDE/OSE shared the new methodology with OSEP for review. OSEP confirmed that the methodology was well-explained and had no further questions. Subsequently, an update was communicated to all directors of special education, detailing the changes in methodology that would take effect for SY 2023-24. This communication included a simplified explanation to ensure clarity.</w:t>
      </w:r>
      <w:r w:rsidRPr="00781112">
        <w:rPr>
          <w:rFonts w:cs="Arial"/>
          <w:color w:val="000000" w:themeColor="text1"/>
          <w:szCs w:val="16"/>
        </w:rPr>
        <w:br/>
      </w:r>
      <w:r w:rsidRPr="00781112">
        <w:rPr>
          <w:rFonts w:cs="Arial"/>
          <w:color w:val="000000" w:themeColor="text1"/>
          <w:szCs w:val="16"/>
        </w:rPr>
        <w:br/>
        <w:t>With the change in methodology, WVDE/OSE also needed to revise the baseline for this indicator to ensure that comparisons are accurate and meaningful. For Indicator 4B, the baseline for FFY 2023 was set at 9.84%, based on six (6) out of sixty-one (61) LEAs being identified with significant discrepancies and policies, procedure or practices that contributed to the significant discrepancy using the new methodology. As a compliance indicator, the targets for FFY 2023 through FFY 2025 remained set at 0%.</w:t>
      </w:r>
      <w:r w:rsidRPr="00781112">
        <w:rPr>
          <w:rFonts w:cs="Arial"/>
          <w:color w:val="000000" w:themeColor="text1"/>
          <w:szCs w:val="16"/>
        </w:rPr>
        <w:br/>
      </w:r>
      <w:r w:rsidRPr="00781112">
        <w:rPr>
          <w:rFonts w:cs="Arial"/>
          <w:color w:val="000000" w:themeColor="text1"/>
          <w:szCs w:val="16"/>
        </w:rPr>
        <w:br/>
        <w:t>This engagement process ensured that stakeholder input was integral in refining the methodology to better identify and address significant discrepancies in disciplinary practices for students with disabilities by race/ethnicity.</w:t>
      </w:r>
      <w:r w:rsidRPr="00781112">
        <w:rPr>
          <w:rFonts w:cs="Arial"/>
          <w:color w:val="000000" w:themeColor="text1"/>
          <w:szCs w:val="16"/>
        </w:rPr>
        <w:br/>
      </w:r>
      <w:r w:rsidRPr="00781112">
        <w:rPr>
          <w:rFonts w:cs="Arial"/>
          <w:color w:val="000000" w:themeColor="text1"/>
          <w:szCs w:val="16"/>
        </w:rPr>
        <w:br/>
        <w:t>——————————————————————————</w:t>
      </w:r>
      <w:r w:rsidRPr="00781112">
        <w:rPr>
          <w:rFonts w:cs="Arial"/>
          <w:color w:val="000000" w:themeColor="text1"/>
          <w:szCs w:val="16"/>
        </w:rPr>
        <w:br/>
      </w:r>
      <w:r w:rsidRPr="00781112">
        <w:rPr>
          <w:rFonts w:cs="Arial"/>
          <w:color w:val="000000" w:themeColor="text1"/>
          <w:szCs w:val="16"/>
        </w:rPr>
        <w:br/>
        <w:t>Although 62 LEAs are reflected in the total number of LEAs in the FFY 2023 SPP/APR Introduction, this indicator is based on data from the 61 LEAs in operation during SY 2022-23.</w:t>
      </w:r>
    </w:p>
    <w:p w14:paraId="4B905245" w14:textId="77777777" w:rsidR="005E2440" w:rsidRPr="00781112" w:rsidRDefault="005E2440" w:rsidP="004369B2">
      <w:pPr>
        <w:rPr>
          <w:color w:val="000000" w:themeColor="text1"/>
        </w:rPr>
      </w:pPr>
    </w:p>
    <w:p w14:paraId="248087F7" w14:textId="4A46CA07" w:rsidR="001F6A28" w:rsidRPr="00781112" w:rsidRDefault="001F6A28" w:rsidP="004369B2">
      <w:pPr>
        <w:rPr>
          <w:color w:val="000000" w:themeColor="text1"/>
        </w:rPr>
      </w:pPr>
      <w:r w:rsidRPr="00781112">
        <w:rPr>
          <w:b/>
          <w:color w:val="000000" w:themeColor="text1"/>
        </w:rPr>
        <w:t>Review of Policies, Procedures, and Practices (completed in FFY 2023 using 2022-2023 data)</w:t>
      </w:r>
    </w:p>
    <w:p w14:paraId="71ECDBC1" w14:textId="77777777" w:rsidR="001F6A28" w:rsidRPr="00781112" w:rsidRDefault="001F6A28" w:rsidP="009A755E">
      <w:pPr>
        <w:rPr>
          <w:rFonts w:cs="Arial"/>
          <w:b/>
          <w:color w:val="000000" w:themeColor="text1"/>
          <w:szCs w:val="16"/>
        </w:rPr>
      </w:pPr>
      <w:r w:rsidRPr="00781112">
        <w:rPr>
          <w:rFonts w:cs="Arial"/>
          <w:b/>
          <w:color w:val="000000" w:themeColor="text1"/>
          <w:szCs w:val="16"/>
        </w:rPr>
        <w:t>Provide a description of the review of policies, procedures, and practices relating to the development and implementation of IEPs, the use of positive behavioral interventions and supports, and procedural safeguards.</w:t>
      </w:r>
    </w:p>
    <w:p w14:paraId="7C9E83E6" w14:textId="40DED240" w:rsidR="00616510" w:rsidRPr="00781112" w:rsidRDefault="002B7490" w:rsidP="009C613A">
      <w:pPr>
        <w:rPr>
          <w:rFonts w:cs="Arial"/>
          <w:color w:val="000000" w:themeColor="text1"/>
          <w:szCs w:val="16"/>
        </w:rPr>
      </w:pPr>
      <w:r w:rsidRPr="00781112">
        <w:rPr>
          <w:rFonts w:cs="Arial"/>
          <w:color w:val="000000" w:themeColor="text1"/>
          <w:szCs w:val="16"/>
        </w:rPr>
        <w:t>Following the identification of six (6) LEAs with a significant discrepancy in suspensions/expulsions greater than 10 days in a school year for students with disabilities (SWD) by race/ethnicity, an on-site review was conducted by WVDE/OSE of each LEA's policies, procedures, and practices relating to the development and implementation of Individualized Education Programs (IEPs), the use of positive behavioral interventions and supports (PBIS), and procedural safeguards. These reviews were completed on up to ten (10) student files per LEA, with the file selections providing a reasonable sample from diverse school settings. Using a dedicated checklist, each selected file was thoroughly examined in the following areas:</w:t>
      </w:r>
      <w:r w:rsidRPr="00781112">
        <w:rPr>
          <w:rFonts w:cs="Arial"/>
          <w:color w:val="000000" w:themeColor="text1"/>
          <w:szCs w:val="16"/>
        </w:rPr>
        <w:br/>
      </w:r>
      <w:r w:rsidRPr="00781112">
        <w:rPr>
          <w:rFonts w:cs="Arial"/>
          <w:color w:val="000000" w:themeColor="text1"/>
          <w:szCs w:val="16"/>
        </w:rPr>
        <w:br/>
        <w:t>— West Virginia Education Information System (WVEIS) Data Entry Verification: Confirmed the accuracy of suspension/expulsion and attendance data reported in WVEIS.</w:t>
      </w:r>
      <w:r w:rsidRPr="00781112">
        <w:rPr>
          <w:rFonts w:cs="Arial"/>
          <w:color w:val="000000" w:themeColor="text1"/>
          <w:szCs w:val="16"/>
        </w:rPr>
        <w:br/>
        <w:t>— General Procedures for Disciplinary Removals: Evaluated district policies and procedures for suspension and expulsion to ensure compliance with federal and state regulations.</w:t>
      </w:r>
      <w:r w:rsidRPr="00781112">
        <w:rPr>
          <w:rFonts w:cs="Arial"/>
          <w:color w:val="000000" w:themeColor="text1"/>
          <w:szCs w:val="16"/>
        </w:rPr>
        <w:br/>
        <w:t>— Individualized Education Programs (IEPs): Evaluated the development, implementation, and effectiveness of IEPs in addressing the needs of SWDs and preventing disciplinary issues.</w:t>
      </w:r>
      <w:r w:rsidRPr="00781112">
        <w:rPr>
          <w:rFonts w:cs="Arial"/>
          <w:color w:val="000000" w:themeColor="text1"/>
          <w:szCs w:val="16"/>
        </w:rPr>
        <w:br/>
        <w:t>— Positive Behavior Supports and Interventions (PBIS): Examined district implementation of PBIS strategies to prevent and address challenging behaviors, including the existence, adequacy, and implementation of behavior intervention plans (BIP) resulting from functional behavior assessment (FBA) data.</w:t>
      </w:r>
      <w:r w:rsidRPr="00781112">
        <w:rPr>
          <w:rFonts w:cs="Arial"/>
          <w:color w:val="000000" w:themeColor="text1"/>
          <w:szCs w:val="16"/>
        </w:rPr>
        <w:br/>
        <w:t xml:space="preserve">— Manifestation Determination Reviews (MDR): Verified whether the behaviors subject to disciplinary actions were determined to be a manifestation of the student's disability. </w:t>
      </w:r>
      <w:r w:rsidRPr="00781112">
        <w:rPr>
          <w:rFonts w:cs="Arial"/>
          <w:color w:val="000000" w:themeColor="text1"/>
          <w:szCs w:val="16"/>
        </w:rPr>
        <w:br/>
        <w:t>— Procedural Safeguards: Verified whether the LEA informed parents/guardians of their rights during disciplinary proceedings.</w:t>
      </w:r>
      <w:r w:rsidRPr="00781112">
        <w:rPr>
          <w:rFonts w:cs="Arial"/>
          <w:color w:val="000000" w:themeColor="text1"/>
          <w:szCs w:val="16"/>
        </w:rPr>
        <w:br/>
        <w:t>— Interim Alternative Educational Settings and Instructional Services (IAES): Examined the availability and quality of educational services provided during disciplinary removals.</w:t>
      </w:r>
      <w:r w:rsidRPr="00781112">
        <w:rPr>
          <w:rFonts w:cs="Arial"/>
          <w:color w:val="000000" w:themeColor="text1"/>
          <w:szCs w:val="16"/>
        </w:rPr>
        <w:br/>
      </w:r>
      <w:r w:rsidRPr="00781112">
        <w:rPr>
          <w:rFonts w:cs="Arial"/>
          <w:color w:val="000000" w:themeColor="text1"/>
          <w:szCs w:val="16"/>
        </w:rPr>
        <w:br/>
        <w:t>The six (6) LEAs received a "Yes" (Y) or "No" (N) determination within each student file for each area reviewed based on the established criteria, indicating compliance or noncompliance with related state and federal regulatory requirements. Compliance for some issues was assessed solely through individual student records, while others required consideration of additional documentation. Any instance of noncompliance identified through this review resulted in the LEA being flagged as having policies, procedures, or practices that contributed to the significant discrepancy in suspensions/expulsions greater than 10 days in a school year for SWDs by race/ethnicity.</w:t>
      </w:r>
      <w:r w:rsidRPr="00781112">
        <w:rPr>
          <w:rFonts w:cs="Arial"/>
          <w:color w:val="000000" w:themeColor="text1"/>
          <w:szCs w:val="16"/>
        </w:rPr>
        <w:br/>
      </w:r>
      <w:r w:rsidRPr="00781112">
        <w:rPr>
          <w:rFonts w:cs="Arial"/>
          <w:color w:val="000000" w:themeColor="text1"/>
          <w:szCs w:val="16"/>
        </w:rPr>
        <w:br/>
        <w:t>The following were identified across the six (6) LEAs as potentially contributing to the significant discrepancies observed for Indicator 4B:</w:t>
      </w:r>
      <w:r w:rsidRPr="00781112">
        <w:rPr>
          <w:rFonts w:cs="Arial"/>
          <w:color w:val="000000" w:themeColor="text1"/>
          <w:szCs w:val="16"/>
        </w:rPr>
        <w:br/>
        <w:t>— Students were suspended in some instances for skipping class/tardiness in contradiction with W. Va. Code §18A-5-1.</w:t>
      </w:r>
      <w:r w:rsidRPr="00781112">
        <w:rPr>
          <w:rFonts w:cs="Arial"/>
          <w:color w:val="000000" w:themeColor="text1"/>
          <w:szCs w:val="16"/>
        </w:rPr>
        <w:br/>
        <w:t>— Discipline Action Review Forms (DARFs) were incomplete or missing in some instances, lacking necessary documentation such as dates, signatures, and parental notifications.</w:t>
      </w:r>
      <w:r w:rsidRPr="00781112">
        <w:rPr>
          <w:rFonts w:cs="Arial"/>
          <w:color w:val="000000" w:themeColor="text1"/>
          <w:szCs w:val="16"/>
        </w:rPr>
        <w:br/>
        <w:t>— The Manifestation Determination Review (MDR) process was not properly conducted in some cases, with missing dates, lack of consideration for the IEP, and absence of parent information and Behavior Intervention Plan (BIP)/Functional Behavioral Assessment (FBA).</w:t>
      </w:r>
      <w:r w:rsidRPr="00781112">
        <w:rPr>
          <w:rFonts w:cs="Arial"/>
          <w:color w:val="000000" w:themeColor="text1"/>
          <w:szCs w:val="16"/>
        </w:rPr>
        <w:br/>
        <w:t>— In some instances, there was a lack of evidence for written parental notifications and involvement in the MDR and IEP processes.</w:t>
      </w:r>
      <w:r w:rsidRPr="00781112">
        <w:rPr>
          <w:rFonts w:cs="Arial"/>
          <w:color w:val="000000" w:themeColor="text1"/>
          <w:szCs w:val="16"/>
        </w:rPr>
        <w:br/>
        <w:t>— IEP meetings were not consistently convened per MDR requirements to consider behavior supports, services, or a BIP to prevent recurrence of behaviors.</w:t>
      </w:r>
      <w:r w:rsidRPr="00781112">
        <w:rPr>
          <w:rFonts w:cs="Arial"/>
          <w:color w:val="000000" w:themeColor="text1"/>
          <w:szCs w:val="16"/>
        </w:rPr>
        <w:br/>
        <w:t>— Administrative oversight led to errors in discipline entries, such as duplication of behavior codes, incorrect suspension date, discrepancies between attendance and discipline records, as well as between the actual number of referrals and those recorded in the WVEIS system.</w:t>
      </w:r>
      <w:r w:rsidRPr="00781112">
        <w:rPr>
          <w:rFonts w:cs="Arial"/>
          <w:color w:val="000000" w:themeColor="text1"/>
          <w:szCs w:val="16"/>
        </w:rPr>
        <w:br/>
        <w:t>— Some IEPs contained predetermining language that influenced disciplinary decisions, and behavior goals were not effectively implemented.</w:t>
      </w:r>
      <w:r w:rsidRPr="00781112">
        <w:rPr>
          <w:rFonts w:cs="Arial"/>
          <w:color w:val="000000" w:themeColor="text1"/>
          <w:szCs w:val="16"/>
        </w:rPr>
        <w:br/>
        <w:t>— In some cases, multiple suspensions for habitual violation of school rules indicated a pattern that could have been considered a change of placement, requiring the MDR process.</w:t>
      </w:r>
    </w:p>
    <w:p w14:paraId="3F34C37B" w14:textId="77777777" w:rsidR="00616510" w:rsidRPr="00781112" w:rsidRDefault="00616510" w:rsidP="009C613A">
      <w:pPr>
        <w:rPr>
          <w:rFonts w:cs="Arial"/>
          <w:color w:val="000000" w:themeColor="text1"/>
          <w:szCs w:val="16"/>
        </w:rPr>
      </w:pPr>
    </w:p>
    <w:p w14:paraId="23CDB3C2" w14:textId="04EDADC3" w:rsidR="00616510" w:rsidRPr="00781112" w:rsidRDefault="00616510" w:rsidP="009C613A">
      <w:pPr>
        <w:rPr>
          <w:rFonts w:cs="Arial"/>
          <w:color w:val="000000" w:themeColor="text1"/>
          <w:szCs w:val="16"/>
        </w:rPr>
      </w:pPr>
      <w:r w:rsidRPr="00781112">
        <w:rPr>
          <w:rFonts w:cs="Arial"/>
          <w:color w:val="000000" w:themeColor="text1"/>
          <w:szCs w:val="16"/>
        </w:rPr>
        <w:t>The State DID identify noncompliance with Part B requirements as a result of the review required by 34 CFR §300.170(b).</w:t>
      </w:r>
    </w:p>
    <w:p w14:paraId="2C52C0B0" w14:textId="59E6D11C" w:rsidR="00616510" w:rsidRPr="00781112" w:rsidRDefault="007D4253" w:rsidP="009C613A">
      <w:pPr>
        <w:rPr>
          <w:rFonts w:cs="Arial"/>
          <w:b/>
          <w:color w:val="000000" w:themeColor="text1"/>
          <w:szCs w:val="16"/>
        </w:rPr>
      </w:pPr>
      <w:r w:rsidRPr="00781112">
        <w:rPr>
          <w:rFonts w:cs="Arial"/>
          <w:b/>
          <w:color w:val="000000" w:themeColor="text1"/>
          <w:szCs w:val="16"/>
        </w:rPr>
        <w:t>If YES, select one of the following:</w:t>
      </w:r>
    </w:p>
    <w:p w14:paraId="3AAA912C" w14:textId="12231485" w:rsidR="00616510" w:rsidRPr="00781112" w:rsidRDefault="00616510" w:rsidP="009C613A">
      <w:pPr>
        <w:rPr>
          <w:rFonts w:cs="Arial"/>
          <w:color w:val="000000" w:themeColor="text1"/>
          <w:szCs w:val="16"/>
        </w:rPr>
      </w:pPr>
      <w:r w:rsidRPr="00781112">
        <w:rPr>
          <w:rFonts w:cs="Arial"/>
          <w:color w:val="000000" w:themeColor="text1"/>
          <w:szCs w:val="16"/>
        </w:rPr>
        <w:t>The State DID ensure that such policies, procedures, and practices were revised to comply with applicable requirements consistent with OSEP QA 23-01, dated July 24, 2023.</w:t>
      </w:r>
    </w:p>
    <w:p w14:paraId="1790EB12" w14:textId="4F82DC54" w:rsidR="002D57DA" w:rsidRPr="00781112" w:rsidRDefault="002D57DA" w:rsidP="001011BB">
      <w:pPr>
        <w:tabs>
          <w:tab w:val="left" w:pos="4055"/>
        </w:tabs>
        <w:rPr>
          <w:rFonts w:cs="Arial"/>
          <w:b/>
          <w:color w:val="000000" w:themeColor="text1"/>
          <w:szCs w:val="16"/>
        </w:rPr>
      </w:pPr>
      <w:r w:rsidRPr="00781112">
        <w:rPr>
          <w:rFonts w:cs="Arial"/>
          <w:b/>
          <w:color w:val="000000" w:themeColor="text1"/>
          <w:szCs w:val="16"/>
        </w:rPr>
        <w:t>Describe how the State ensured that such policies, procedures, and practices were revised to comply with applicable requirements consistent with OSEP QA 23-01, dated July 24, 2023</w:t>
      </w:r>
      <w:r w:rsidRPr="00781112">
        <w:rPr>
          <w:rFonts w:cs="Arial"/>
          <w:b/>
          <w:i/>
          <w:color w:val="000000" w:themeColor="text1"/>
          <w:szCs w:val="16"/>
        </w:rPr>
        <w:t>.</w:t>
      </w:r>
    </w:p>
    <w:p w14:paraId="2D96DC2B" w14:textId="33372855" w:rsidR="002D57DA" w:rsidRPr="00781112" w:rsidRDefault="002B7490" w:rsidP="001011BB">
      <w:pPr>
        <w:rPr>
          <w:rFonts w:cs="Arial"/>
          <w:i/>
          <w:color w:val="000000" w:themeColor="text1"/>
          <w:szCs w:val="16"/>
        </w:rPr>
      </w:pPr>
      <w:r w:rsidRPr="00781112">
        <w:rPr>
          <w:rFonts w:cs="Arial"/>
          <w:color w:val="000000" w:themeColor="text1"/>
          <w:szCs w:val="16"/>
        </w:rPr>
        <w:t xml:space="preserve">The six (6) LEAs subsequently received written file review summaries detailing the extent and nature of any identified noncompliance for each student file, corrective action plans for each individual case of child-specific noncompliance, as well as recommendations for revising any LEA policies, practices, </w:t>
      </w:r>
      <w:r w:rsidRPr="00781112">
        <w:rPr>
          <w:rFonts w:cs="Arial"/>
          <w:color w:val="000000" w:themeColor="text1"/>
          <w:szCs w:val="16"/>
        </w:rPr>
        <w:lastRenderedPageBreak/>
        <w:t>and/or procedures which were identified as potentially contributing to the significant discrepancy in suspensions/expulsions greater than 10 days in a school year for students with disabilities by race/ethnicity.</w:t>
      </w:r>
      <w:r w:rsidRPr="00781112">
        <w:rPr>
          <w:rFonts w:cs="Arial"/>
          <w:color w:val="000000" w:themeColor="text1"/>
          <w:szCs w:val="16"/>
        </w:rPr>
        <w:br/>
      </w:r>
      <w:r w:rsidRPr="00781112">
        <w:rPr>
          <w:rFonts w:cs="Arial"/>
          <w:color w:val="000000" w:themeColor="text1"/>
          <w:szCs w:val="16"/>
        </w:rPr>
        <w:br/>
        <w:t>LEAs were further advised that WVDE/OSE would conduct a review of updated data for up to five (5) additional student files for each race/ethnicity category during the following school year. This review targets categories previously identified with significant discrepancies to confirm that LEA policies, procedures, and practices have been revised and are now compliant with IDEA 34 CFR §300.170(b).</w:t>
      </w:r>
    </w:p>
    <w:p w14:paraId="3A779219" w14:textId="77777777" w:rsidR="00F9524E" w:rsidRPr="00781112" w:rsidRDefault="00F9524E">
      <w:pPr>
        <w:rPr>
          <w:b/>
          <w:color w:val="000000" w:themeColor="text1"/>
        </w:rPr>
      </w:pPr>
    </w:p>
    <w:p w14:paraId="54A274E0" w14:textId="18C141CB"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04BPFFYNCFINDINGS"/>
      </w:tblPr>
      <w:tblGrid>
        <w:gridCol w:w="2613"/>
        <w:gridCol w:w="2743"/>
        <w:gridCol w:w="2620"/>
        <w:gridCol w:w="2814"/>
      </w:tblGrid>
      <w:tr w:rsidR="005C29F8" w:rsidRPr="00781112" w14:paraId="114A5055" w14:textId="77777777" w:rsidTr="00C570AA">
        <w:trPr>
          <w:trHeight w:val="389"/>
          <w:tblHeader/>
        </w:trPr>
        <w:tc>
          <w:tcPr>
            <w:tcW w:w="1211" w:type="pct"/>
            <w:shd w:val="clear" w:color="auto" w:fill="auto"/>
            <w:vAlign w:val="bottom"/>
          </w:tcPr>
          <w:p w14:paraId="776A9C2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4FF64C47"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36D9293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440F12A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6AB2FBF" w14:textId="77777777" w:rsidTr="00C570AA">
        <w:tc>
          <w:tcPr>
            <w:tcW w:w="1211" w:type="pct"/>
            <w:shd w:val="clear" w:color="auto" w:fill="auto"/>
          </w:tcPr>
          <w:p w14:paraId="6AF875F0" w14:textId="0FD8621B" w:rsidR="009A755E" w:rsidRPr="00781112" w:rsidRDefault="002B7490" w:rsidP="00A018D4">
            <w:pPr>
              <w:jc w:val="center"/>
              <w:rPr>
                <w:rFonts w:cs="Arial"/>
                <w:color w:val="000000" w:themeColor="text1"/>
                <w:szCs w:val="16"/>
              </w:rPr>
            </w:pPr>
            <w:r w:rsidRPr="00781112">
              <w:rPr>
                <w:rFonts w:cs="Arial"/>
                <w:color w:val="000000" w:themeColor="text1"/>
                <w:szCs w:val="16"/>
              </w:rPr>
              <w:t>2</w:t>
            </w:r>
          </w:p>
        </w:tc>
        <w:tc>
          <w:tcPr>
            <w:tcW w:w="1271" w:type="pct"/>
            <w:shd w:val="clear" w:color="auto" w:fill="auto"/>
          </w:tcPr>
          <w:p w14:paraId="58D166B5" w14:textId="6ADFFC16" w:rsidR="009A755E" w:rsidRPr="00781112" w:rsidRDefault="002B7490" w:rsidP="00A018D4">
            <w:pPr>
              <w:jc w:val="center"/>
              <w:rPr>
                <w:rFonts w:cs="Arial"/>
                <w:color w:val="000000" w:themeColor="text1"/>
                <w:szCs w:val="16"/>
              </w:rPr>
            </w:pPr>
            <w:r w:rsidRPr="00781112">
              <w:rPr>
                <w:rFonts w:cs="Arial"/>
                <w:color w:val="000000" w:themeColor="text1"/>
                <w:szCs w:val="16"/>
              </w:rPr>
              <w:t>2</w:t>
            </w:r>
          </w:p>
        </w:tc>
        <w:tc>
          <w:tcPr>
            <w:tcW w:w="1214" w:type="pct"/>
            <w:shd w:val="clear" w:color="auto" w:fill="auto"/>
          </w:tcPr>
          <w:p w14:paraId="745E0498" w14:textId="77F90D3F"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5E32910" w14:textId="7F6FD66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70535932" w14:textId="4905B4A7" w:rsidR="009A755E" w:rsidRPr="00781112" w:rsidRDefault="00450F98" w:rsidP="004369B2">
      <w:pPr>
        <w:rPr>
          <w:color w:val="000000" w:themeColor="text1"/>
        </w:rPr>
      </w:pPr>
      <w:r>
        <w:rPr>
          <w:b/>
          <w:color w:val="000000" w:themeColor="text1"/>
        </w:rPr>
        <w:t>FFY 2022 Findings of Noncompliance Verified as Corrected</w:t>
      </w:r>
    </w:p>
    <w:p w14:paraId="4891D6D0" w14:textId="6FEEF39E"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60EAB644" w14:textId="6FB464DA" w:rsidR="003C308E" w:rsidRPr="00781112" w:rsidRDefault="002B7490" w:rsidP="009A755E">
      <w:pPr>
        <w:rPr>
          <w:rFonts w:cs="Arial"/>
          <w:color w:val="000000" w:themeColor="text1"/>
          <w:szCs w:val="16"/>
        </w:rPr>
      </w:pPr>
      <w:r w:rsidRPr="00781112">
        <w:rPr>
          <w:rFonts w:cs="Arial"/>
          <w:color w:val="000000" w:themeColor="text1"/>
          <w:szCs w:val="16"/>
        </w:rPr>
        <w:t xml:space="preserve">Correct implementation of the specific regulatory requirements was verified through a review of updated data for the two (2) LEAs identified as having a significant discrepancy in FFY 2022. Additional student files for each race/ethnicity category identified with a significant discrepancy were reviewed by WVDE/OSE to verify correct implementation of the regulatory requirements for each issue identified in the initial file reviews. Ongoing feedback and technical assistance were provided by WVDE/OSE after each subsequent review. Upon completion of subsequent reviews, WVDE/OSE verified that the two (2) LEAs were each correctly implementing state and federal regulatory requirements consistent with OSEP QA 23-01. </w:t>
      </w:r>
    </w:p>
    <w:p w14:paraId="529E9FA7" w14:textId="3D04F547"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6B8F3BB2" w14:textId="0FF7AF13" w:rsidR="003C308E" w:rsidRPr="00781112" w:rsidRDefault="002B7490" w:rsidP="009A755E">
      <w:pPr>
        <w:rPr>
          <w:rFonts w:cs="Arial"/>
          <w:color w:val="000000" w:themeColor="text1"/>
          <w:szCs w:val="16"/>
        </w:rPr>
      </w:pPr>
      <w:r w:rsidRPr="00781112">
        <w:rPr>
          <w:rFonts w:cs="Arial"/>
          <w:color w:val="000000" w:themeColor="text1"/>
          <w:szCs w:val="16"/>
        </w:rPr>
        <w:t>Of the fourteen (14) individual cases of noncompliance from the two (2) LEAs identified as having a significant discrepancy, WVDE/OSE verified through a subsequent review of updated data obtained from WVEIS, documentation submitted by the LEAs, or an on-site visit, that four (4) students were no longer within the jurisdiction of the LEAs, and that the other ten (10) individual cases of noncompliance were verified as corrected when those students were no longer being suspended/expelled for more than 10 days in a school year, if the individual corrections to the previously noncompliant procedures and practices were completed and verified, or, if suspensions/expulsions exceeded 10 days, the subsequent reviews of those student files indicated compliance with the relevant regulatory requirements, consistent with OSEP QA 23-01.</w:t>
      </w:r>
    </w:p>
    <w:p w14:paraId="6CFB1826" w14:textId="710AA3AB"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04BPPFFYNCFINDINGS"/>
      </w:tblPr>
      <w:tblGrid>
        <w:gridCol w:w="1996"/>
        <w:gridCol w:w="2997"/>
        <w:gridCol w:w="2989"/>
        <w:gridCol w:w="2808"/>
      </w:tblGrid>
      <w:tr w:rsidR="005C29F8" w:rsidRPr="00781112" w14:paraId="00324CEE" w14:textId="77777777" w:rsidTr="00A05C13">
        <w:trPr>
          <w:tblHeader/>
        </w:trPr>
        <w:tc>
          <w:tcPr>
            <w:tcW w:w="925" w:type="pct"/>
            <w:shd w:val="clear" w:color="auto" w:fill="auto"/>
            <w:vAlign w:val="bottom"/>
          </w:tcPr>
          <w:p w14:paraId="77DA67D5" w14:textId="149F9136" w:rsidR="009A755E" w:rsidRPr="00781112" w:rsidRDefault="0016730D"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89" w:type="pct"/>
            <w:shd w:val="clear" w:color="auto" w:fill="auto"/>
            <w:vAlign w:val="bottom"/>
          </w:tcPr>
          <w:p w14:paraId="10CE444D" w14:textId="4035CC3C"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85" w:type="pct"/>
            <w:shd w:val="clear" w:color="auto" w:fill="auto"/>
            <w:vAlign w:val="bottom"/>
          </w:tcPr>
          <w:p w14:paraId="541F03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1" w:type="pct"/>
            <w:shd w:val="clear" w:color="auto" w:fill="auto"/>
            <w:vAlign w:val="bottom"/>
          </w:tcPr>
          <w:p w14:paraId="44D37B6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FE0165" w14:textId="77777777" w:rsidTr="00A05C13">
        <w:tc>
          <w:tcPr>
            <w:tcW w:w="925" w:type="pct"/>
            <w:shd w:val="clear" w:color="auto" w:fill="auto"/>
          </w:tcPr>
          <w:p w14:paraId="24BDFB83" w14:textId="477472C3" w:rsidR="009A755E" w:rsidRPr="00781112" w:rsidRDefault="009A755E" w:rsidP="00A018D4">
            <w:pPr>
              <w:jc w:val="center"/>
              <w:rPr>
                <w:rFonts w:cs="Arial"/>
                <w:color w:val="000000" w:themeColor="text1"/>
                <w:szCs w:val="16"/>
              </w:rPr>
            </w:pPr>
          </w:p>
        </w:tc>
        <w:tc>
          <w:tcPr>
            <w:tcW w:w="1389" w:type="pct"/>
            <w:shd w:val="clear" w:color="auto" w:fill="auto"/>
          </w:tcPr>
          <w:p w14:paraId="27669B26" w14:textId="57CAFD92" w:rsidR="009A755E" w:rsidRPr="00781112" w:rsidRDefault="009A755E">
            <w:pPr>
              <w:jc w:val="center"/>
              <w:rPr>
                <w:rFonts w:cs="Arial"/>
                <w:noProof/>
                <w:color w:val="000000" w:themeColor="text1"/>
                <w:szCs w:val="16"/>
              </w:rPr>
            </w:pPr>
          </w:p>
        </w:tc>
        <w:tc>
          <w:tcPr>
            <w:tcW w:w="1385" w:type="pct"/>
            <w:shd w:val="clear" w:color="auto" w:fill="auto"/>
          </w:tcPr>
          <w:p w14:paraId="265AB867" w14:textId="6DD4A6E4" w:rsidR="009A755E" w:rsidRPr="00781112" w:rsidRDefault="009A755E">
            <w:pPr>
              <w:jc w:val="center"/>
              <w:rPr>
                <w:rFonts w:cs="Arial"/>
                <w:noProof/>
                <w:color w:val="000000" w:themeColor="text1"/>
                <w:szCs w:val="16"/>
              </w:rPr>
            </w:pPr>
          </w:p>
        </w:tc>
        <w:tc>
          <w:tcPr>
            <w:tcW w:w="1301" w:type="pct"/>
            <w:shd w:val="clear" w:color="auto" w:fill="auto"/>
          </w:tcPr>
          <w:p w14:paraId="016118B8" w14:textId="60E0958F" w:rsidR="009A755E" w:rsidRPr="00781112" w:rsidRDefault="009A755E">
            <w:pPr>
              <w:jc w:val="center"/>
              <w:rPr>
                <w:rFonts w:cs="Arial"/>
                <w:noProof/>
                <w:color w:val="000000" w:themeColor="text1"/>
                <w:szCs w:val="16"/>
              </w:rPr>
            </w:pPr>
          </w:p>
        </w:tc>
      </w:tr>
      <w:tr w:rsidR="005C29F8" w:rsidRPr="00781112" w14:paraId="06C2E448" w14:textId="77777777" w:rsidTr="00A05C13">
        <w:tc>
          <w:tcPr>
            <w:tcW w:w="925" w:type="pct"/>
            <w:shd w:val="clear" w:color="auto" w:fill="auto"/>
          </w:tcPr>
          <w:p w14:paraId="1F883C29" w14:textId="16901E48" w:rsidR="009A755E" w:rsidRPr="00781112" w:rsidRDefault="009A755E" w:rsidP="00A018D4">
            <w:pPr>
              <w:jc w:val="center"/>
              <w:rPr>
                <w:rFonts w:cs="Arial"/>
                <w:color w:val="000000" w:themeColor="text1"/>
                <w:szCs w:val="16"/>
              </w:rPr>
            </w:pPr>
          </w:p>
        </w:tc>
        <w:tc>
          <w:tcPr>
            <w:tcW w:w="1389" w:type="pct"/>
            <w:shd w:val="clear" w:color="auto" w:fill="auto"/>
          </w:tcPr>
          <w:p w14:paraId="4878C645" w14:textId="6B8E2DD3" w:rsidR="009A755E" w:rsidRPr="00781112" w:rsidRDefault="009A755E">
            <w:pPr>
              <w:jc w:val="center"/>
              <w:rPr>
                <w:rFonts w:cs="Arial"/>
                <w:noProof/>
                <w:color w:val="000000" w:themeColor="text1"/>
                <w:szCs w:val="16"/>
              </w:rPr>
            </w:pPr>
          </w:p>
        </w:tc>
        <w:tc>
          <w:tcPr>
            <w:tcW w:w="1385" w:type="pct"/>
            <w:shd w:val="clear" w:color="auto" w:fill="auto"/>
          </w:tcPr>
          <w:p w14:paraId="5C5B29A8" w14:textId="4F847347" w:rsidR="009A755E" w:rsidRPr="00781112" w:rsidRDefault="009A755E">
            <w:pPr>
              <w:jc w:val="center"/>
              <w:rPr>
                <w:rFonts w:cs="Arial"/>
                <w:noProof/>
                <w:color w:val="000000" w:themeColor="text1"/>
                <w:szCs w:val="16"/>
              </w:rPr>
            </w:pPr>
          </w:p>
        </w:tc>
        <w:tc>
          <w:tcPr>
            <w:tcW w:w="1301" w:type="pct"/>
            <w:shd w:val="clear" w:color="auto" w:fill="auto"/>
          </w:tcPr>
          <w:p w14:paraId="3059F96F" w14:textId="54D2C196" w:rsidR="009A755E" w:rsidRPr="00781112" w:rsidRDefault="009A755E">
            <w:pPr>
              <w:jc w:val="center"/>
              <w:rPr>
                <w:rFonts w:cs="Arial"/>
                <w:noProof/>
                <w:color w:val="000000" w:themeColor="text1"/>
                <w:szCs w:val="16"/>
              </w:rPr>
            </w:pPr>
          </w:p>
        </w:tc>
      </w:tr>
      <w:tr w:rsidR="005C29F8" w:rsidRPr="00781112" w14:paraId="270D86DF" w14:textId="77777777" w:rsidTr="00A05C13">
        <w:tc>
          <w:tcPr>
            <w:tcW w:w="925" w:type="pct"/>
            <w:shd w:val="clear" w:color="auto" w:fill="auto"/>
          </w:tcPr>
          <w:p w14:paraId="7DBC402C" w14:textId="659D0437" w:rsidR="009A755E" w:rsidRPr="00781112" w:rsidRDefault="009A755E" w:rsidP="00A018D4">
            <w:pPr>
              <w:jc w:val="center"/>
              <w:rPr>
                <w:rFonts w:cs="Arial"/>
                <w:color w:val="000000" w:themeColor="text1"/>
                <w:szCs w:val="16"/>
              </w:rPr>
            </w:pPr>
          </w:p>
        </w:tc>
        <w:tc>
          <w:tcPr>
            <w:tcW w:w="1389" w:type="pct"/>
            <w:shd w:val="clear" w:color="auto" w:fill="auto"/>
          </w:tcPr>
          <w:p w14:paraId="39F6C3A8" w14:textId="6AFAAA5E" w:rsidR="009A755E" w:rsidRPr="00781112" w:rsidRDefault="009A755E">
            <w:pPr>
              <w:jc w:val="center"/>
              <w:rPr>
                <w:rFonts w:cs="Arial"/>
                <w:noProof/>
                <w:color w:val="000000" w:themeColor="text1"/>
                <w:szCs w:val="16"/>
              </w:rPr>
            </w:pPr>
          </w:p>
        </w:tc>
        <w:tc>
          <w:tcPr>
            <w:tcW w:w="1385" w:type="pct"/>
            <w:shd w:val="clear" w:color="auto" w:fill="auto"/>
          </w:tcPr>
          <w:p w14:paraId="4ABCDE9F" w14:textId="61A85266" w:rsidR="009A755E" w:rsidRPr="00781112" w:rsidRDefault="009A755E">
            <w:pPr>
              <w:jc w:val="center"/>
              <w:rPr>
                <w:rFonts w:cs="Arial"/>
                <w:noProof/>
                <w:color w:val="000000" w:themeColor="text1"/>
                <w:szCs w:val="16"/>
              </w:rPr>
            </w:pPr>
          </w:p>
        </w:tc>
        <w:tc>
          <w:tcPr>
            <w:tcW w:w="1301" w:type="pct"/>
            <w:shd w:val="clear" w:color="auto" w:fill="auto"/>
          </w:tcPr>
          <w:p w14:paraId="4AB54464" w14:textId="0D8F01A9" w:rsidR="009A755E" w:rsidRPr="00781112" w:rsidRDefault="009A755E">
            <w:pPr>
              <w:jc w:val="center"/>
              <w:rPr>
                <w:rFonts w:cs="Arial"/>
                <w:noProof/>
                <w:color w:val="000000" w:themeColor="text1"/>
                <w:szCs w:val="16"/>
              </w:rPr>
            </w:pPr>
          </w:p>
        </w:tc>
      </w:tr>
      <w:tr w:rsidR="00A05C13" w:rsidRPr="00781112" w14:paraId="0B61333B" w14:textId="77777777" w:rsidTr="00A05C13">
        <w:tc>
          <w:tcPr>
            <w:tcW w:w="925" w:type="pct"/>
            <w:shd w:val="clear" w:color="auto" w:fill="auto"/>
          </w:tcPr>
          <w:p w14:paraId="39537DEC" w14:textId="0D3E2FC2" w:rsidR="00A05C13" w:rsidRPr="00781112" w:rsidRDefault="00A05C13" w:rsidP="00A05C13">
            <w:pPr>
              <w:jc w:val="center"/>
              <w:rPr>
                <w:rFonts w:cs="Arial"/>
                <w:color w:val="000000" w:themeColor="text1"/>
                <w:szCs w:val="16"/>
              </w:rPr>
            </w:pPr>
          </w:p>
        </w:tc>
        <w:tc>
          <w:tcPr>
            <w:tcW w:w="1389" w:type="pct"/>
            <w:shd w:val="clear" w:color="auto" w:fill="auto"/>
          </w:tcPr>
          <w:p w14:paraId="53129F60" w14:textId="202412F5" w:rsidR="00A05C13" w:rsidRPr="00781112" w:rsidRDefault="00A05C13" w:rsidP="00A05C13">
            <w:pPr>
              <w:jc w:val="center"/>
              <w:rPr>
                <w:rFonts w:cs="Arial"/>
                <w:color w:val="000000" w:themeColor="text1"/>
                <w:szCs w:val="16"/>
              </w:rPr>
            </w:pPr>
          </w:p>
        </w:tc>
        <w:tc>
          <w:tcPr>
            <w:tcW w:w="1385" w:type="pct"/>
            <w:shd w:val="clear" w:color="auto" w:fill="auto"/>
          </w:tcPr>
          <w:p w14:paraId="0C78FB26" w14:textId="7DB27739" w:rsidR="00A05C13" w:rsidRPr="00781112" w:rsidRDefault="00A05C13" w:rsidP="00A05C13">
            <w:pPr>
              <w:jc w:val="center"/>
              <w:rPr>
                <w:rFonts w:cs="Arial"/>
                <w:color w:val="000000" w:themeColor="text1"/>
                <w:szCs w:val="16"/>
              </w:rPr>
            </w:pPr>
          </w:p>
        </w:tc>
        <w:tc>
          <w:tcPr>
            <w:tcW w:w="1301" w:type="pct"/>
            <w:shd w:val="clear" w:color="auto" w:fill="auto"/>
          </w:tcPr>
          <w:p w14:paraId="1847890B" w14:textId="56C561F8" w:rsidR="00A05C13" w:rsidRPr="00781112" w:rsidRDefault="00A05C13" w:rsidP="00A05C13">
            <w:pPr>
              <w:jc w:val="center"/>
              <w:rPr>
                <w:rFonts w:cs="Arial"/>
                <w:color w:val="000000" w:themeColor="text1"/>
                <w:szCs w:val="16"/>
              </w:rPr>
            </w:pPr>
          </w:p>
        </w:tc>
      </w:tr>
      <w:tr w:rsidR="00A05C13" w:rsidRPr="00781112" w14:paraId="346DD6DC" w14:textId="77777777" w:rsidTr="00A05C13">
        <w:tc>
          <w:tcPr>
            <w:tcW w:w="925" w:type="pct"/>
            <w:shd w:val="clear" w:color="auto" w:fill="auto"/>
          </w:tcPr>
          <w:p w14:paraId="3BFCA85C" w14:textId="57850CEA" w:rsidR="00A05C13" w:rsidRPr="00781112" w:rsidRDefault="00A05C13" w:rsidP="00A05C13">
            <w:pPr>
              <w:jc w:val="center"/>
              <w:rPr>
                <w:rFonts w:cs="Arial"/>
                <w:color w:val="000000" w:themeColor="text1"/>
                <w:szCs w:val="16"/>
              </w:rPr>
            </w:pPr>
          </w:p>
        </w:tc>
        <w:tc>
          <w:tcPr>
            <w:tcW w:w="1389" w:type="pct"/>
            <w:shd w:val="clear" w:color="auto" w:fill="auto"/>
          </w:tcPr>
          <w:p w14:paraId="66D3AF4E" w14:textId="6CCBCADD" w:rsidR="00A05C13" w:rsidRPr="00781112" w:rsidRDefault="00A05C13" w:rsidP="00A05C13">
            <w:pPr>
              <w:jc w:val="center"/>
              <w:rPr>
                <w:rFonts w:cs="Arial"/>
                <w:color w:val="000000" w:themeColor="text1"/>
                <w:szCs w:val="16"/>
              </w:rPr>
            </w:pPr>
          </w:p>
        </w:tc>
        <w:tc>
          <w:tcPr>
            <w:tcW w:w="1385" w:type="pct"/>
            <w:shd w:val="clear" w:color="auto" w:fill="auto"/>
          </w:tcPr>
          <w:p w14:paraId="61F93407" w14:textId="5729642D" w:rsidR="00A05C13" w:rsidRPr="00781112" w:rsidRDefault="00A05C13" w:rsidP="00A05C13">
            <w:pPr>
              <w:jc w:val="center"/>
              <w:rPr>
                <w:rFonts w:cs="Arial"/>
                <w:color w:val="000000" w:themeColor="text1"/>
                <w:szCs w:val="16"/>
              </w:rPr>
            </w:pPr>
          </w:p>
        </w:tc>
        <w:tc>
          <w:tcPr>
            <w:tcW w:w="1301" w:type="pct"/>
            <w:shd w:val="clear" w:color="auto" w:fill="auto"/>
          </w:tcPr>
          <w:p w14:paraId="304DD194" w14:textId="15015B62" w:rsidR="00A05C13" w:rsidRPr="00781112" w:rsidRDefault="00A05C13" w:rsidP="00A05C13">
            <w:pPr>
              <w:jc w:val="center"/>
              <w:rPr>
                <w:rFonts w:cs="Arial"/>
                <w:color w:val="000000" w:themeColor="text1"/>
                <w:szCs w:val="16"/>
              </w:rPr>
            </w:pPr>
          </w:p>
        </w:tc>
      </w:tr>
    </w:tbl>
    <w:p w14:paraId="35A33865" w14:textId="77777777" w:rsidR="00A05C13" w:rsidRPr="00781112" w:rsidRDefault="00A05C13" w:rsidP="00C570AA">
      <w:pPr>
        <w:rPr>
          <w:rFonts w:cs="Arial"/>
          <w:color w:val="000000" w:themeColor="text1"/>
          <w:szCs w:val="16"/>
        </w:rPr>
      </w:pPr>
    </w:p>
    <w:p w14:paraId="7BCEF85B" w14:textId="62F9E93D" w:rsidR="004E2151" w:rsidRPr="00781112" w:rsidRDefault="00D11730" w:rsidP="008645AD">
      <w:pPr>
        <w:pStyle w:val="Heading2"/>
      </w:pPr>
      <w:r w:rsidRPr="00781112">
        <w:t>4B</w:t>
      </w:r>
      <w:r w:rsidR="00E90DE9" w:rsidRPr="00781112">
        <w:t xml:space="preserve"> </w:t>
      </w:r>
      <w:r w:rsidRPr="00781112">
        <w:t xml:space="preserve">- </w:t>
      </w:r>
      <w:r w:rsidR="004E2151" w:rsidRPr="00781112">
        <w:t>Prior FFY Required Actions</w:t>
      </w:r>
    </w:p>
    <w:p w14:paraId="60DC97B4" w14:textId="67376465" w:rsidR="009B02BC" w:rsidRPr="00781112" w:rsidRDefault="002B7490" w:rsidP="004E2151">
      <w:pPr>
        <w:rPr>
          <w:rFonts w:cs="Arial"/>
          <w:color w:val="000000" w:themeColor="text1"/>
          <w:szCs w:val="16"/>
        </w:rPr>
      </w:pPr>
      <w:r w:rsidRPr="00781112">
        <w:rPr>
          <w:rFonts w:cs="Arial"/>
          <w:color w:val="000000" w:themeColor="text1"/>
          <w:szCs w:val="16"/>
        </w:rPr>
        <w:t xml:space="preserve">Because the State reported greater than 0% actual target data for this indicator for FFY 2022, the State must report on the status of correction of noncompliance identified in FFY 2022 for this indicator. The State must demonstrate, in the FFY 2023 SPP/APR, that each district identified with noncompliance in FFY 2022 has corrected the noncompliance, including that the State verified that each district with noncompliance is correctly implementing the specific regulatory requirement(s) (i.e., achieved 100% compliance) based on a review of updated data, such as data subsequently collected through on-site monitoring or a State data system; and has corrected each individual case of noncompliance, unless the child is no longer within the jurisdiction of the district, consistent with OSEP QA 23-01. In the FFY 2023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2022, although its FFY 2022 data reflect less than 100% compliance (greater than 0% actual target data for this indicator), provide an explanation of why the State did not identify any findings of noncompliance in FFY 2022.</w:t>
      </w:r>
    </w:p>
    <w:p w14:paraId="739A1EFB" w14:textId="6AE8F009" w:rsidR="004E2151" w:rsidRPr="00781112" w:rsidRDefault="007639D7" w:rsidP="004369B2">
      <w:pPr>
        <w:rPr>
          <w:b/>
          <w:color w:val="000000" w:themeColor="text1"/>
        </w:rPr>
      </w:pPr>
      <w:r>
        <w:rPr>
          <w:b/>
          <w:color w:val="000000" w:themeColor="text1"/>
        </w:rPr>
        <w:t>Response to actions required in FFY 2022 SPP/APR</w:t>
      </w:r>
    </w:p>
    <w:p w14:paraId="7AA3834F" w14:textId="729EC2A3" w:rsidR="004E2151" w:rsidRPr="00781112" w:rsidRDefault="002B7490" w:rsidP="004E2151">
      <w:pPr>
        <w:rPr>
          <w:rFonts w:cs="Arial"/>
          <w:color w:val="000000" w:themeColor="text1"/>
          <w:szCs w:val="16"/>
        </w:rPr>
      </w:pPr>
      <w:r w:rsidRPr="00781112">
        <w:rPr>
          <w:rFonts w:cs="Arial"/>
          <w:color w:val="000000" w:themeColor="text1"/>
          <w:szCs w:val="16"/>
        </w:rPr>
        <w:t>For detailed information on the status of correction of noncompliance identified in FFY 2022, please refer to the sections “Correction of Findings of Noncompliance Identified in FFY 2022” and “FFY 2022 Findings of Noncompliance Verified as Corrected.”</w:t>
      </w:r>
    </w:p>
    <w:p w14:paraId="63ACC6CE" w14:textId="77777777" w:rsidR="00744E34" w:rsidRPr="00781112" w:rsidRDefault="00744E34" w:rsidP="004E2151">
      <w:pPr>
        <w:rPr>
          <w:rFonts w:cs="Arial"/>
          <w:color w:val="000000" w:themeColor="text1"/>
          <w:szCs w:val="16"/>
        </w:rPr>
      </w:pPr>
    </w:p>
    <w:p w14:paraId="7562BCA8" w14:textId="2875B1E9" w:rsidR="005115D6" w:rsidRPr="00781112" w:rsidRDefault="00D11730" w:rsidP="008645AD">
      <w:pPr>
        <w:pStyle w:val="Heading2"/>
      </w:pPr>
      <w:r w:rsidRPr="00781112">
        <w:t>4B - OSEP Response</w:t>
      </w:r>
    </w:p>
    <w:p w14:paraId="489BF62D" w14:textId="19458AE8" w:rsidR="003C308E" w:rsidRPr="00781112" w:rsidRDefault="002B7490" w:rsidP="00212954">
      <w:pPr>
        <w:rPr>
          <w:rFonts w:cs="Arial"/>
          <w:color w:val="000000" w:themeColor="text1"/>
          <w:szCs w:val="16"/>
        </w:rPr>
      </w:pPr>
      <w:r w:rsidRPr="00781112">
        <w:rPr>
          <w:rFonts w:cs="Arial"/>
          <w:color w:val="000000" w:themeColor="text1"/>
          <w:szCs w:val="16"/>
        </w:rPr>
        <w:t>The State has revised the baseline for this indicator, using data from FFY 2023, and OSEP accepts that revision.</w:t>
      </w:r>
    </w:p>
    <w:p w14:paraId="4D6C35B1" w14:textId="16E26788" w:rsidR="005115D6" w:rsidRPr="00781112" w:rsidRDefault="00D11730" w:rsidP="008645AD">
      <w:pPr>
        <w:pStyle w:val="Heading2"/>
      </w:pPr>
      <w:r w:rsidRPr="00781112">
        <w:t>4B- Required Actions</w:t>
      </w:r>
    </w:p>
    <w:p w14:paraId="5DE261E4" w14:textId="20281C98" w:rsidR="003C308E"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less than 100% compliance (greater than 0% actual target data for this indicator) for FFY 2023, the State must report on the status of correction of noncompliance identified in FFY 2023 for this indicator. The State must demonstrate, in the FFY 2024 SPP/APR, that the districts identified with noncompliance in FFY 2023 have corrected the noncompliance, including that the State verified that each district with noncompliance: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district, consistent with OSEP QA 23-01. In the FFY 2024 SPP/APR, the State must describe the specific actions that were taken to verify the correction. If the State did not identify any findings of noncompliance in FFY 2023, although its FFY 2023 data reflect less </w:t>
      </w:r>
      <w:r w:rsidRPr="00781112">
        <w:rPr>
          <w:rFonts w:cs="Arial"/>
          <w:color w:val="000000" w:themeColor="text1"/>
          <w:szCs w:val="16"/>
        </w:rPr>
        <w:lastRenderedPageBreak/>
        <w:t xml:space="preserve">than 100% compliance (greater than 0% actual target data for this indicator), provide an explanation of why the State did not identify any findings of noncompliance in FFY 2023.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or child-specific noncompliance and is correctly implementing the specific regulatory requirements. </w:t>
      </w:r>
    </w:p>
    <w:p w14:paraId="4C9312F8"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4F968F36" w14:textId="267D7207" w:rsidR="00D21EAA" w:rsidRPr="00781112" w:rsidRDefault="00D21EAA" w:rsidP="000444E2">
      <w:pPr>
        <w:pStyle w:val="Heading1"/>
        <w:rPr>
          <w:color w:val="000000" w:themeColor="text1"/>
          <w:sz w:val="22"/>
        </w:rPr>
      </w:pPr>
      <w:r w:rsidRPr="00781112">
        <w:rPr>
          <w:color w:val="000000" w:themeColor="text1"/>
          <w:sz w:val="22"/>
        </w:rPr>
        <w:lastRenderedPageBreak/>
        <w:t xml:space="preserve">Indicator 5: </w:t>
      </w:r>
      <w:bookmarkEnd w:id="12"/>
      <w:r w:rsidRPr="00781112">
        <w:rPr>
          <w:color w:val="000000" w:themeColor="text1"/>
          <w:sz w:val="22"/>
        </w:rPr>
        <w:t xml:space="preserve">Education Environments (children </w:t>
      </w:r>
      <w:r w:rsidR="00D35A49" w:rsidRPr="00781112">
        <w:rPr>
          <w:color w:val="000000" w:themeColor="text1"/>
          <w:sz w:val="22"/>
        </w:rPr>
        <w:t xml:space="preserve">5 (Kindergarten) </w:t>
      </w:r>
      <w:r w:rsidRPr="00781112">
        <w:rPr>
          <w:color w:val="000000" w:themeColor="text1"/>
          <w:sz w:val="22"/>
        </w:rPr>
        <w:t>-</w:t>
      </w:r>
      <w:r w:rsidR="00D35A49" w:rsidRPr="00781112">
        <w:rPr>
          <w:color w:val="000000" w:themeColor="text1"/>
          <w:sz w:val="22"/>
        </w:rPr>
        <w:t xml:space="preserve"> </w:t>
      </w:r>
      <w:r w:rsidRPr="00781112">
        <w:rPr>
          <w:color w:val="000000" w:themeColor="text1"/>
          <w:sz w:val="22"/>
        </w:rPr>
        <w:t>21)</w:t>
      </w:r>
      <w:bookmarkEnd w:id="19"/>
      <w:bookmarkEnd w:id="33"/>
    </w:p>
    <w:p w14:paraId="52AD89A1" w14:textId="09613BAA" w:rsidR="00775845" w:rsidRPr="002C274F" w:rsidRDefault="00775845" w:rsidP="002C274F">
      <w:pPr>
        <w:rPr>
          <w:b/>
          <w:bCs/>
          <w:sz w:val="20"/>
          <w:szCs w:val="20"/>
        </w:rPr>
      </w:pPr>
      <w:bookmarkStart w:id="34" w:name="_Toc392159295"/>
      <w:r w:rsidRPr="002C274F">
        <w:rPr>
          <w:b/>
          <w:bCs/>
          <w:sz w:val="20"/>
          <w:szCs w:val="20"/>
        </w:rPr>
        <w:t xml:space="preserve">Instructions and Measurement </w:t>
      </w:r>
    </w:p>
    <w:p w14:paraId="5E00F17E" w14:textId="149CBFE3"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653D57AC" w14:textId="668073FD" w:rsidR="00CC634E" w:rsidRPr="00781112" w:rsidRDefault="00CC634E" w:rsidP="009A755E">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 with IEPs aged</w:t>
      </w:r>
      <w:r w:rsidR="001E6A41" w:rsidRPr="00781112">
        <w:rPr>
          <w:rFonts w:cs="Arial"/>
          <w:color w:val="000000" w:themeColor="text1"/>
          <w:szCs w:val="16"/>
        </w:rPr>
        <w:t xml:space="preserve"> </w:t>
      </w:r>
      <w:r w:rsidR="001E6A41" w:rsidRPr="00781112">
        <w:rPr>
          <w:rFonts w:cs="Arial"/>
          <w:szCs w:val="16"/>
        </w:rPr>
        <w:t>5 who are enrolled in kindergarten and aged</w:t>
      </w:r>
      <w:r w:rsidRPr="00781112">
        <w:rPr>
          <w:rFonts w:cs="Arial"/>
          <w:color w:val="000000" w:themeColor="text1"/>
          <w:szCs w:val="16"/>
        </w:rPr>
        <w:t xml:space="preserve"> 6 through 21 served:</w:t>
      </w:r>
    </w:p>
    <w:p w14:paraId="7D5946B6" w14:textId="027B0899" w:rsidR="00CC634E" w:rsidRPr="00781112" w:rsidRDefault="00B9739D" w:rsidP="006A01BD">
      <w:pPr>
        <w:ind w:firstLine="720"/>
        <w:rPr>
          <w:rFonts w:cs="Arial"/>
          <w:color w:val="000000" w:themeColor="text1"/>
          <w:szCs w:val="16"/>
        </w:rPr>
      </w:pPr>
      <w:r w:rsidRPr="00781112">
        <w:rPr>
          <w:rFonts w:cs="Arial"/>
          <w:color w:val="000000" w:themeColor="text1"/>
          <w:szCs w:val="16"/>
        </w:rPr>
        <w:t>A. Inside the regular class 80% or more of the day;</w:t>
      </w:r>
    </w:p>
    <w:p w14:paraId="64FA9D2A" w14:textId="36742077" w:rsidR="00CC634E" w:rsidRPr="00781112" w:rsidRDefault="00B9739D" w:rsidP="006A01BD">
      <w:pPr>
        <w:ind w:firstLine="720"/>
        <w:rPr>
          <w:rFonts w:cs="Arial"/>
          <w:color w:val="000000" w:themeColor="text1"/>
          <w:szCs w:val="16"/>
        </w:rPr>
      </w:pPr>
      <w:r w:rsidRPr="00781112">
        <w:rPr>
          <w:rFonts w:cs="Arial"/>
          <w:color w:val="000000" w:themeColor="text1"/>
          <w:szCs w:val="16"/>
        </w:rPr>
        <w:t>B. Inside the regular class less than 40% of the day; and</w:t>
      </w:r>
    </w:p>
    <w:p w14:paraId="7D6C4792" w14:textId="4E458A42" w:rsidR="00CC634E" w:rsidRPr="00781112" w:rsidRDefault="00B9739D" w:rsidP="006A01BD">
      <w:pPr>
        <w:ind w:firstLine="720"/>
        <w:rPr>
          <w:rFonts w:cs="Arial"/>
          <w:color w:val="000000" w:themeColor="text1"/>
          <w:szCs w:val="16"/>
        </w:rPr>
      </w:pPr>
      <w:r w:rsidRPr="00781112">
        <w:rPr>
          <w:rFonts w:cs="Arial"/>
          <w:color w:val="000000" w:themeColor="text1"/>
          <w:szCs w:val="16"/>
        </w:rPr>
        <w:t>C. In separate schools, residential facilities, or homebound/hospital placements.</w:t>
      </w:r>
    </w:p>
    <w:p w14:paraId="7086FA15" w14:textId="47C5B9E3"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97EFC48" w14:textId="77777777" w:rsidR="001F6A28" w:rsidRPr="00781112" w:rsidRDefault="001F6A28" w:rsidP="004369B2">
      <w:pPr>
        <w:rPr>
          <w:color w:val="000000" w:themeColor="text1"/>
        </w:rPr>
      </w:pPr>
      <w:r w:rsidRPr="00781112">
        <w:rPr>
          <w:b/>
          <w:color w:val="000000" w:themeColor="text1"/>
        </w:rPr>
        <w:t>Data Source</w:t>
      </w:r>
    </w:p>
    <w:p w14:paraId="27A12343" w14:textId="1C2938A9" w:rsidR="001F6A28" w:rsidRPr="00781112" w:rsidRDefault="001F6A2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ame data as used for reporting to the Department under section 618 of the IDEA, using the definitions in ED</w:t>
      </w:r>
      <w:r w:rsidRPr="00BA3DBE">
        <w:rPr>
          <w:rFonts w:cs="Arial"/>
          <w:i/>
          <w:iCs/>
          <w:color w:val="000000" w:themeColor="text1"/>
          <w:szCs w:val="16"/>
          <w:shd w:val="clear" w:color="auto" w:fill="FFFFFF"/>
        </w:rPr>
        <w:t>Facts</w:t>
      </w:r>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002.</w:t>
      </w:r>
    </w:p>
    <w:p w14:paraId="6BD2884B" w14:textId="77777777" w:rsidR="001F6A28" w:rsidRPr="00781112" w:rsidRDefault="001F6A28" w:rsidP="004369B2">
      <w:pPr>
        <w:rPr>
          <w:color w:val="000000" w:themeColor="text1"/>
        </w:rPr>
      </w:pPr>
      <w:r w:rsidRPr="00781112">
        <w:rPr>
          <w:b/>
          <w:color w:val="000000" w:themeColor="text1"/>
        </w:rPr>
        <w:t>Measurement</w:t>
      </w:r>
    </w:p>
    <w:p w14:paraId="29361C11" w14:textId="73521566" w:rsidR="001F6A28" w:rsidRPr="00781112" w:rsidRDefault="001E6A41" w:rsidP="00286BDF">
      <w:pPr>
        <w:rPr>
          <w:rFonts w:cs="Arial"/>
          <w:color w:val="000000" w:themeColor="text1"/>
          <w:szCs w:val="16"/>
        </w:rPr>
      </w:pPr>
      <w:r w:rsidRPr="00781112">
        <w:rPr>
          <w:rFonts w:cs="Arial"/>
          <w:color w:val="000000" w:themeColor="text1"/>
          <w:szCs w:val="16"/>
        </w:rPr>
        <w:tab/>
        <w:t>A. Percent</w:t>
      </w:r>
      <w:r w:rsidR="001F6A28" w:rsidRPr="00781112">
        <w:rPr>
          <w:rFonts w:cs="Arial"/>
          <w:color w:val="000000" w:themeColor="text1"/>
          <w:szCs w:val="16"/>
          <w:shd w:val="clear" w:color="auto" w:fill="FFFFFF"/>
        </w:rPr>
        <w:t xml:space="preserve">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inside the regular class 80% or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more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1AC31DB2" w14:textId="62755B33" w:rsidR="001F6A28" w:rsidRPr="00781112" w:rsidRDefault="001E6A41" w:rsidP="00286BDF">
      <w:pPr>
        <w:rPr>
          <w:rFonts w:cs="Arial"/>
          <w:color w:val="000000" w:themeColor="text1"/>
          <w:szCs w:val="16"/>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 xml:space="preserve">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of children with IEPs aged</w:t>
      </w:r>
      <w:r w:rsidR="00E97CD6" w:rsidRPr="00781112">
        <w:rPr>
          <w:rFonts w:cs="Arial"/>
          <w:color w:val="000000" w:themeColor="text1"/>
          <w:szCs w:val="16"/>
          <w:shd w:val="clear" w:color="auto" w:fill="FFFFFF"/>
        </w:rPr>
        <w:t xml:space="preserve"> </w:t>
      </w:r>
      <w:r w:rsidR="00E97CD6" w:rsidRPr="00781112">
        <w:rPr>
          <w:rFonts w:cs="Arial"/>
          <w:szCs w:val="16"/>
        </w:rPr>
        <w:t>5 who are enrolled in kindergarten and aged</w:t>
      </w:r>
      <w:r w:rsidR="001F6A28" w:rsidRPr="00781112">
        <w:rPr>
          <w:rFonts w:cs="Arial"/>
          <w:color w:val="000000" w:themeColor="text1"/>
          <w:szCs w:val="16"/>
          <w:shd w:val="clear" w:color="auto" w:fill="FFFFFF"/>
        </w:rPr>
        <w:t xml:space="preserve"> 6 through 21 served inside the regular class less than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40%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32E65458" w14:textId="2F0BF007" w:rsidR="001F6A28" w:rsidRPr="00781112" w:rsidRDefault="001E6A41" w:rsidP="00286BDF">
      <w:pPr>
        <w:rPr>
          <w:rFonts w:cs="Arial"/>
          <w:color w:val="000000" w:themeColor="text1"/>
          <w:szCs w:val="16"/>
        </w:rPr>
      </w:pPr>
      <w:r w:rsidRPr="00781112">
        <w:rPr>
          <w:rFonts w:cs="Arial"/>
          <w:color w:val="000000" w:themeColor="text1"/>
          <w:szCs w:val="16"/>
        </w:rPr>
        <w:tab/>
        <w:t>C. P</w:t>
      </w:r>
      <w:r w:rsidR="001F6A28" w:rsidRPr="00781112">
        <w:rPr>
          <w:rFonts w:cs="Arial"/>
          <w:color w:val="000000" w:themeColor="text1"/>
          <w:szCs w:val="16"/>
          <w:shd w:val="clear" w:color="auto" w:fill="FFFFFF"/>
        </w:rPr>
        <w:t xml:space="preserve">ercent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 separate schools, residential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facilities, or homebound/hospital placements)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21 with IEPs</w:t>
      </w:r>
      <w:r w:rsidR="00A33668"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times 100.</w:t>
      </w:r>
    </w:p>
    <w:p w14:paraId="06AD540D" w14:textId="77777777" w:rsidR="001F6A28" w:rsidRPr="00781112" w:rsidRDefault="001F6A28" w:rsidP="004369B2">
      <w:pPr>
        <w:rPr>
          <w:color w:val="000000" w:themeColor="text1"/>
        </w:rPr>
      </w:pPr>
      <w:r w:rsidRPr="00781112">
        <w:rPr>
          <w:b/>
          <w:color w:val="000000" w:themeColor="text1"/>
        </w:rPr>
        <w:t>Instructions</w:t>
      </w:r>
    </w:p>
    <w:p w14:paraId="37FC98B2" w14:textId="35D136AD" w:rsidR="001F6A28" w:rsidRPr="00781112" w:rsidRDefault="001F6A2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038ECB6A" w14:textId="77777777" w:rsidR="00085D61" w:rsidRDefault="007072DC" w:rsidP="00BB7BC9">
      <w:pPr>
        <w:rPr>
          <w:rFonts w:cs="Arial"/>
          <w:szCs w:val="16"/>
        </w:rPr>
      </w:pPr>
      <w:r w:rsidRPr="00781112">
        <w:rPr>
          <w:rFonts w:cs="Arial"/>
          <w:szCs w:val="16"/>
        </w:rPr>
        <w:t>States must report five-year-old children with disabilities who are enrolled in kindergarten in this indicator. Five-year-old children with disabilities who are enrolled in preschool programs are included in Indicator 6.</w:t>
      </w:r>
    </w:p>
    <w:p w14:paraId="707ABAC1" w14:textId="4440C33D" w:rsidR="001F6A28" w:rsidRPr="00781112" w:rsidRDefault="001F6A2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2F5B7301" w14:textId="3493AFBE" w:rsidR="001F6A28" w:rsidRPr="00781112" w:rsidRDefault="001F6A2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section 618 of the IDEA, explain.</w:t>
      </w:r>
    </w:p>
    <w:p w14:paraId="782EB5F0" w14:textId="4775DE89" w:rsidR="00476EA2" w:rsidRPr="00781112" w:rsidRDefault="007B5383" w:rsidP="008645AD">
      <w:pPr>
        <w:pStyle w:val="Heading2"/>
      </w:pPr>
      <w:r w:rsidRPr="00781112">
        <w:t>5</w:t>
      </w:r>
      <w:r w:rsidR="002203FA" w:rsidRPr="00781112">
        <w:t xml:space="preserve"> </w:t>
      </w:r>
      <w:r w:rsidRPr="00781112">
        <w:t xml:space="preserve">- </w:t>
      </w:r>
      <w:r w:rsidR="00A44506" w:rsidRPr="00781112">
        <w:t>Indicator Data</w:t>
      </w:r>
      <w:r w:rsidR="00476EA2" w:rsidRPr="00781112">
        <w:t xml:space="preserve"> </w:t>
      </w:r>
    </w:p>
    <w:bookmarkEnd w:id="34"/>
    <w:p w14:paraId="5DFCDD59" w14:textId="5ABA842A"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5HISTDATA"/>
      </w:tblPr>
      <w:tblGrid>
        <w:gridCol w:w="536"/>
        <w:gridCol w:w="1464"/>
        <w:gridCol w:w="1465"/>
        <w:gridCol w:w="1465"/>
        <w:gridCol w:w="1465"/>
        <w:gridCol w:w="1465"/>
        <w:gridCol w:w="1465"/>
        <w:gridCol w:w="1465"/>
      </w:tblGrid>
      <w:tr w:rsidR="00483ABB" w:rsidRPr="00781112" w14:paraId="630BF46A" w14:textId="12CF291C" w:rsidTr="005F5FE9">
        <w:trPr>
          <w:trHeight w:val="350"/>
        </w:trPr>
        <w:tc>
          <w:tcPr>
            <w:tcW w:w="248" w:type="pct"/>
            <w:tcBorders>
              <w:top w:val="single" w:sz="4" w:space="0" w:color="auto"/>
              <w:left w:val="single" w:sz="4" w:space="0" w:color="auto"/>
              <w:bottom w:val="single" w:sz="4" w:space="0" w:color="auto"/>
              <w:right w:val="single" w:sz="4" w:space="0" w:color="auto"/>
            </w:tcBorders>
            <w:shd w:val="clear" w:color="auto" w:fill="auto"/>
          </w:tcPr>
          <w:p w14:paraId="48C47ABF" w14:textId="5FDE6273" w:rsidR="00E4112E" w:rsidRPr="00781112" w:rsidRDefault="001F64DB" w:rsidP="00E4112E">
            <w:pPr>
              <w:spacing w:line="276" w:lineRule="auto"/>
              <w:jc w:val="center"/>
              <w:rPr>
                <w:rFonts w:cs="Arial"/>
                <w:b/>
                <w:color w:val="000000" w:themeColor="text1"/>
                <w:szCs w:val="16"/>
              </w:rPr>
            </w:pPr>
            <w:r w:rsidRPr="00781112">
              <w:rPr>
                <w:rFonts w:cs="Arial"/>
                <w:b/>
                <w:color w:val="000000" w:themeColor="text1"/>
                <w:szCs w:val="16"/>
              </w:rPr>
              <w:t>Part</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4A5BBF1" w14:textId="21EFE08D"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527DC20" w14:textId="77777777"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FFY</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5348DB7" w14:textId="31324C26"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2018</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C2D9A5E" w14:textId="1AFF80C5"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7C87EFC5" w14:textId="1BB8AC30"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060660DD" w14:textId="4387DAEB"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2021</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3DBEC159" w14:textId="109E90CD"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2022</w:t>
            </w:r>
          </w:p>
        </w:tc>
      </w:tr>
      <w:tr w:rsidR="005F0D3B" w:rsidRPr="00781112" w14:paraId="692E70F6" w14:textId="3E9D9AB4" w:rsidTr="005F5FE9">
        <w:trPr>
          <w:trHeight w:val="70"/>
        </w:trPr>
        <w:tc>
          <w:tcPr>
            <w:tcW w:w="248" w:type="pct"/>
            <w:tcBorders>
              <w:top w:val="single" w:sz="4" w:space="0" w:color="auto"/>
              <w:left w:val="single" w:sz="4" w:space="0" w:color="auto"/>
              <w:right w:val="single" w:sz="4" w:space="0" w:color="auto"/>
            </w:tcBorders>
            <w:shd w:val="clear" w:color="auto" w:fill="auto"/>
            <w:vAlign w:val="center"/>
          </w:tcPr>
          <w:p w14:paraId="5CAC6F68"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top w:val="single" w:sz="4" w:space="0" w:color="auto"/>
              <w:left w:val="single" w:sz="4" w:space="0" w:color="auto"/>
              <w:right w:val="single" w:sz="4" w:space="0" w:color="auto"/>
            </w:tcBorders>
            <w:shd w:val="clear" w:color="auto" w:fill="auto"/>
            <w:vAlign w:val="center"/>
          </w:tcPr>
          <w:p w14:paraId="5E3ACE02" w14:textId="787FECC2"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E0BC7" w14:textId="0A864988"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D169E17" w14:textId="1A4FF232" w:rsidR="00BB7BC9" w:rsidRPr="00781112" w:rsidRDefault="002B7490">
            <w:pPr>
              <w:jc w:val="center"/>
              <w:rPr>
                <w:rFonts w:cs="Arial"/>
                <w:color w:val="000000" w:themeColor="text1"/>
                <w:szCs w:val="16"/>
              </w:rPr>
            </w:pPr>
            <w:r w:rsidRPr="00781112">
              <w:rPr>
                <w:rFonts w:cs="Arial"/>
                <w:color w:val="000000" w:themeColor="text1"/>
                <w:szCs w:val="16"/>
              </w:rPr>
              <w:t>63.00%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BBDF86" w14:textId="7B8DE8AB" w:rsidR="00BB7BC9" w:rsidRPr="00781112" w:rsidRDefault="002B7490">
            <w:pPr>
              <w:jc w:val="center"/>
              <w:rPr>
                <w:rFonts w:cs="Arial"/>
                <w:color w:val="000000" w:themeColor="text1"/>
                <w:szCs w:val="16"/>
              </w:rPr>
            </w:pPr>
            <w:r w:rsidRPr="00781112">
              <w:rPr>
                <w:rFonts w:cs="Arial"/>
                <w:color w:val="000000" w:themeColor="text1"/>
                <w:szCs w:val="16"/>
              </w:rPr>
              <w:t>63.80%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D7B0B98" w14:textId="016BD4D1" w:rsidR="00BB7BC9" w:rsidRPr="00781112" w:rsidRDefault="002B7490">
            <w:pPr>
              <w:jc w:val="center"/>
              <w:rPr>
                <w:rFonts w:cs="Arial"/>
                <w:color w:val="000000" w:themeColor="text1"/>
                <w:szCs w:val="16"/>
              </w:rPr>
            </w:pPr>
            <w:r w:rsidRPr="00781112">
              <w:rPr>
                <w:rFonts w:cs="Arial"/>
                <w:color w:val="000000" w:themeColor="text1"/>
                <w:szCs w:val="16"/>
              </w:rPr>
              <w:t>67.11%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4789FFB" w14:textId="5C8E4FBE" w:rsidR="00BB7BC9" w:rsidRPr="00781112" w:rsidRDefault="002B7490">
            <w:pPr>
              <w:jc w:val="center"/>
              <w:rPr>
                <w:rFonts w:cs="Arial"/>
                <w:color w:val="000000" w:themeColor="text1"/>
                <w:szCs w:val="16"/>
              </w:rPr>
            </w:pPr>
            <w:r w:rsidRPr="00781112">
              <w:rPr>
                <w:rFonts w:cs="Arial"/>
                <w:color w:val="000000" w:themeColor="text1"/>
                <w:szCs w:val="16"/>
              </w:rPr>
              <w:t>67.61%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29E5141" w14:textId="5AEA8269" w:rsidR="00BB7BC9" w:rsidRPr="00781112" w:rsidRDefault="002B7490">
            <w:pPr>
              <w:jc w:val="center"/>
              <w:rPr>
                <w:rFonts w:cs="Arial"/>
                <w:color w:val="000000" w:themeColor="text1"/>
                <w:szCs w:val="16"/>
              </w:rPr>
            </w:pPr>
            <w:r w:rsidRPr="00781112">
              <w:rPr>
                <w:rFonts w:cs="Arial"/>
                <w:color w:val="000000" w:themeColor="text1"/>
                <w:szCs w:val="16"/>
              </w:rPr>
              <w:t>68.11%</w:t>
            </w:r>
          </w:p>
        </w:tc>
      </w:tr>
      <w:tr w:rsidR="005F0D3B" w:rsidRPr="00781112" w14:paraId="79D81D10" w14:textId="49DC964C" w:rsidTr="005F5FE9">
        <w:trPr>
          <w:trHeight w:val="85"/>
        </w:trPr>
        <w:tc>
          <w:tcPr>
            <w:tcW w:w="248" w:type="pct"/>
            <w:tcBorders>
              <w:left w:val="single" w:sz="4" w:space="0" w:color="auto"/>
              <w:right w:val="single" w:sz="4" w:space="0" w:color="auto"/>
            </w:tcBorders>
            <w:shd w:val="clear" w:color="auto" w:fill="auto"/>
            <w:vAlign w:val="center"/>
          </w:tcPr>
          <w:p w14:paraId="35B07658" w14:textId="008DA9F0"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left w:val="single" w:sz="4" w:space="0" w:color="auto"/>
              <w:right w:val="single" w:sz="4" w:space="0" w:color="auto"/>
            </w:tcBorders>
            <w:shd w:val="clear" w:color="auto" w:fill="auto"/>
            <w:vAlign w:val="center"/>
          </w:tcPr>
          <w:p w14:paraId="4DB8D3CD" w14:textId="0227B1FD" w:rsidR="00BB7BC9" w:rsidRPr="00781112" w:rsidRDefault="002B7490" w:rsidP="00A018D4">
            <w:pPr>
              <w:jc w:val="center"/>
              <w:rPr>
                <w:rFonts w:cs="Arial"/>
                <w:color w:val="000000" w:themeColor="text1"/>
                <w:szCs w:val="16"/>
              </w:rPr>
            </w:pPr>
            <w:r w:rsidRPr="00781112">
              <w:rPr>
                <w:rFonts w:cs="Arial"/>
                <w:color w:val="000000" w:themeColor="text1"/>
                <w:szCs w:val="16"/>
              </w:rPr>
              <w:t>67.11%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24467"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A26F098" w14:textId="47E3F3D4" w:rsidR="00BB7BC9" w:rsidRPr="00781112" w:rsidRDefault="002B7490">
            <w:pPr>
              <w:jc w:val="center"/>
              <w:rPr>
                <w:rFonts w:cs="Arial"/>
                <w:color w:val="000000" w:themeColor="text1"/>
                <w:szCs w:val="16"/>
              </w:rPr>
            </w:pPr>
            <w:r w:rsidRPr="00781112">
              <w:rPr>
                <w:rFonts w:cs="Arial"/>
                <w:color w:val="000000" w:themeColor="text1"/>
                <w:szCs w:val="16"/>
              </w:rPr>
              <w:t>63.56%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E8D482" w14:textId="0F0DD959" w:rsidR="00BB7BC9" w:rsidRPr="00781112" w:rsidRDefault="002B7490">
            <w:pPr>
              <w:jc w:val="center"/>
              <w:rPr>
                <w:rFonts w:cs="Arial"/>
                <w:color w:val="000000" w:themeColor="text1"/>
                <w:szCs w:val="16"/>
              </w:rPr>
            </w:pPr>
            <w:r w:rsidRPr="00781112">
              <w:rPr>
                <w:rFonts w:cs="Arial"/>
                <w:color w:val="000000" w:themeColor="text1"/>
                <w:szCs w:val="16"/>
              </w:rPr>
              <w:t>63.04%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92D382C" w14:textId="2157E0D5" w:rsidR="00BB7BC9" w:rsidRPr="00781112" w:rsidRDefault="002B7490">
            <w:pPr>
              <w:jc w:val="center"/>
              <w:rPr>
                <w:rFonts w:cs="Arial"/>
                <w:color w:val="000000" w:themeColor="text1"/>
                <w:szCs w:val="16"/>
              </w:rPr>
            </w:pPr>
            <w:r w:rsidRPr="00781112">
              <w:rPr>
                <w:rFonts w:cs="Arial"/>
                <w:color w:val="000000" w:themeColor="text1"/>
                <w:szCs w:val="16"/>
              </w:rPr>
              <w:t>67.11%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6D0CB9F" w14:textId="43591961" w:rsidR="00BB7BC9" w:rsidRPr="00781112" w:rsidRDefault="002B7490">
            <w:pPr>
              <w:jc w:val="center"/>
              <w:rPr>
                <w:rFonts w:cs="Arial"/>
                <w:color w:val="000000" w:themeColor="text1"/>
                <w:szCs w:val="16"/>
              </w:rPr>
            </w:pPr>
            <w:r w:rsidRPr="00781112">
              <w:rPr>
                <w:rFonts w:cs="Arial"/>
                <w:color w:val="000000" w:themeColor="text1"/>
                <w:szCs w:val="16"/>
              </w:rPr>
              <w:t>65.18%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207239" w14:textId="4C2F7B73" w:rsidR="00BB7BC9" w:rsidRPr="00781112" w:rsidRDefault="002B7490">
            <w:pPr>
              <w:jc w:val="center"/>
              <w:rPr>
                <w:rFonts w:cs="Arial"/>
                <w:color w:val="000000" w:themeColor="text1"/>
                <w:szCs w:val="16"/>
              </w:rPr>
            </w:pPr>
            <w:r w:rsidRPr="00781112">
              <w:rPr>
                <w:rFonts w:cs="Arial"/>
                <w:color w:val="000000" w:themeColor="text1"/>
                <w:szCs w:val="16"/>
              </w:rPr>
              <w:t>66.19%</w:t>
            </w:r>
          </w:p>
        </w:tc>
      </w:tr>
      <w:tr w:rsidR="005F0D3B" w:rsidRPr="00781112" w14:paraId="7EE51EBD" w14:textId="513FE18C"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72DFD56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top w:val="single" w:sz="4" w:space="0" w:color="auto"/>
              <w:left w:val="single" w:sz="4" w:space="0" w:color="auto"/>
              <w:right w:val="single" w:sz="4" w:space="0" w:color="auto"/>
            </w:tcBorders>
            <w:shd w:val="clear" w:color="auto" w:fill="auto"/>
            <w:vAlign w:val="center"/>
          </w:tcPr>
          <w:p w14:paraId="100A2A6F" w14:textId="100D35A9"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A945A" w14:textId="5CBFA4BF"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DEA2B18" w14:textId="75A611A3" w:rsidR="00BB7BC9" w:rsidRPr="00781112" w:rsidRDefault="002B7490">
            <w:pPr>
              <w:jc w:val="center"/>
              <w:rPr>
                <w:rFonts w:cs="Arial"/>
                <w:color w:val="000000" w:themeColor="text1"/>
                <w:szCs w:val="16"/>
              </w:rPr>
            </w:pPr>
            <w:r w:rsidRPr="00781112">
              <w:rPr>
                <w:rFonts w:cs="Arial"/>
                <w:color w:val="000000" w:themeColor="text1"/>
                <w:szCs w:val="16"/>
              </w:rPr>
              <w:t>8.89%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B840EDC" w14:textId="6514C970" w:rsidR="00BB7BC9" w:rsidRPr="00781112" w:rsidRDefault="002B7490">
            <w:pPr>
              <w:jc w:val="center"/>
              <w:rPr>
                <w:rFonts w:cs="Arial"/>
                <w:color w:val="000000" w:themeColor="text1"/>
                <w:szCs w:val="16"/>
              </w:rPr>
            </w:pPr>
            <w:r w:rsidRPr="00781112">
              <w:rPr>
                <w:rFonts w:cs="Arial"/>
                <w:color w:val="000000" w:themeColor="text1"/>
                <w:szCs w:val="16"/>
              </w:rPr>
              <w:t>8.88%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43AF146" w14:textId="07F1A374" w:rsidR="00BB7BC9" w:rsidRPr="00781112" w:rsidRDefault="002B7490">
            <w:pPr>
              <w:jc w:val="center"/>
              <w:rPr>
                <w:rFonts w:cs="Arial"/>
                <w:color w:val="000000" w:themeColor="text1"/>
                <w:szCs w:val="16"/>
              </w:rPr>
            </w:pPr>
            <w:r w:rsidRPr="00781112">
              <w:rPr>
                <w:rFonts w:cs="Arial"/>
                <w:color w:val="000000" w:themeColor="text1"/>
                <w:szCs w:val="16"/>
              </w:rPr>
              <w:t>6.47%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4470517" w14:textId="6EB26EBD" w:rsidR="00BB7BC9" w:rsidRPr="00781112" w:rsidRDefault="002B7490">
            <w:pPr>
              <w:jc w:val="center"/>
              <w:rPr>
                <w:rFonts w:cs="Arial"/>
                <w:color w:val="000000" w:themeColor="text1"/>
                <w:szCs w:val="16"/>
              </w:rPr>
            </w:pPr>
            <w:r w:rsidRPr="00781112">
              <w:rPr>
                <w:rFonts w:cs="Arial"/>
                <w:color w:val="000000" w:themeColor="text1"/>
                <w:szCs w:val="16"/>
              </w:rPr>
              <w:t>6.30%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9B042C" w14:textId="501324B8" w:rsidR="00BB7BC9" w:rsidRPr="00781112" w:rsidRDefault="002B7490">
            <w:pPr>
              <w:jc w:val="center"/>
              <w:rPr>
                <w:rFonts w:cs="Arial"/>
                <w:color w:val="000000" w:themeColor="text1"/>
                <w:szCs w:val="16"/>
              </w:rPr>
            </w:pPr>
            <w:r w:rsidRPr="00781112">
              <w:rPr>
                <w:rFonts w:cs="Arial"/>
                <w:color w:val="000000" w:themeColor="text1"/>
                <w:szCs w:val="16"/>
              </w:rPr>
              <w:t>6.20%</w:t>
            </w:r>
          </w:p>
        </w:tc>
      </w:tr>
      <w:tr w:rsidR="005F0D3B" w:rsidRPr="00781112" w14:paraId="78E6E13B" w14:textId="52E2E705" w:rsidTr="005F5FE9">
        <w:trPr>
          <w:trHeight w:val="85"/>
        </w:trPr>
        <w:tc>
          <w:tcPr>
            <w:tcW w:w="248" w:type="pct"/>
            <w:tcBorders>
              <w:left w:val="single" w:sz="4" w:space="0" w:color="auto"/>
              <w:right w:val="single" w:sz="4" w:space="0" w:color="auto"/>
            </w:tcBorders>
            <w:shd w:val="clear" w:color="auto" w:fill="auto"/>
            <w:vAlign w:val="center"/>
          </w:tcPr>
          <w:p w14:paraId="36D93B90" w14:textId="2EF21745"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left w:val="single" w:sz="4" w:space="0" w:color="auto"/>
              <w:right w:val="single" w:sz="4" w:space="0" w:color="auto"/>
            </w:tcBorders>
            <w:shd w:val="clear" w:color="auto" w:fill="auto"/>
            <w:vAlign w:val="center"/>
          </w:tcPr>
          <w:p w14:paraId="46CEC360" w14:textId="3F201206" w:rsidR="00BB7BC9" w:rsidRPr="00781112" w:rsidRDefault="002B7490" w:rsidP="00A018D4">
            <w:pPr>
              <w:jc w:val="center"/>
              <w:rPr>
                <w:rFonts w:cs="Arial"/>
                <w:color w:val="000000" w:themeColor="text1"/>
                <w:szCs w:val="16"/>
              </w:rPr>
            </w:pPr>
            <w:r w:rsidRPr="00781112">
              <w:rPr>
                <w:rFonts w:cs="Arial"/>
                <w:color w:val="000000" w:themeColor="text1"/>
                <w:szCs w:val="16"/>
              </w:rPr>
              <w:t>6.47%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A1F55"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C00B11B" w14:textId="1B815A91" w:rsidR="00BB7BC9" w:rsidRPr="00781112" w:rsidRDefault="002B7490">
            <w:pPr>
              <w:jc w:val="center"/>
              <w:rPr>
                <w:rFonts w:cs="Arial"/>
                <w:color w:val="000000" w:themeColor="text1"/>
                <w:szCs w:val="16"/>
              </w:rPr>
            </w:pPr>
            <w:r w:rsidRPr="00781112">
              <w:rPr>
                <w:rFonts w:cs="Arial"/>
                <w:color w:val="000000" w:themeColor="text1"/>
                <w:szCs w:val="16"/>
              </w:rPr>
              <w:t>7.57%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1973F9D" w14:textId="4C7C3BCD" w:rsidR="00BB7BC9" w:rsidRPr="00781112" w:rsidRDefault="002B7490">
            <w:pPr>
              <w:jc w:val="center"/>
              <w:rPr>
                <w:rFonts w:cs="Arial"/>
                <w:color w:val="000000" w:themeColor="text1"/>
                <w:szCs w:val="16"/>
              </w:rPr>
            </w:pPr>
            <w:r w:rsidRPr="00781112">
              <w:rPr>
                <w:rFonts w:cs="Arial"/>
                <w:color w:val="000000" w:themeColor="text1"/>
                <w:szCs w:val="16"/>
              </w:rPr>
              <w:t>7.41%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70259B" w14:textId="550EFA1E" w:rsidR="00BB7BC9" w:rsidRPr="00781112" w:rsidRDefault="002B7490">
            <w:pPr>
              <w:jc w:val="center"/>
              <w:rPr>
                <w:rFonts w:cs="Arial"/>
                <w:color w:val="000000" w:themeColor="text1"/>
                <w:szCs w:val="16"/>
              </w:rPr>
            </w:pPr>
            <w:r w:rsidRPr="00781112">
              <w:rPr>
                <w:rFonts w:cs="Arial"/>
                <w:color w:val="000000" w:themeColor="text1"/>
                <w:szCs w:val="16"/>
              </w:rPr>
              <w:t>6.47%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35F6E4C" w14:textId="3A9E3826" w:rsidR="00BB7BC9" w:rsidRPr="00781112" w:rsidRDefault="002B7490">
            <w:pPr>
              <w:jc w:val="center"/>
              <w:rPr>
                <w:rFonts w:cs="Arial"/>
                <w:color w:val="000000" w:themeColor="text1"/>
                <w:szCs w:val="16"/>
              </w:rPr>
            </w:pPr>
            <w:r w:rsidRPr="00781112">
              <w:rPr>
                <w:rFonts w:cs="Arial"/>
                <w:color w:val="000000" w:themeColor="text1"/>
                <w:szCs w:val="16"/>
              </w:rPr>
              <w:t>6.57%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F17276C" w14:textId="62DCEF2E" w:rsidR="00BB7BC9" w:rsidRPr="00781112" w:rsidRDefault="002B7490">
            <w:pPr>
              <w:jc w:val="center"/>
              <w:rPr>
                <w:rFonts w:cs="Arial"/>
                <w:color w:val="000000" w:themeColor="text1"/>
                <w:szCs w:val="16"/>
              </w:rPr>
            </w:pPr>
            <w:r w:rsidRPr="00781112">
              <w:rPr>
                <w:rFonts w:cs="Arial"/>
                <w:color w:val="000000" w:themeColor="text1"/>
                <w:szCs w:val="16"/>
              </w:rPr>
              <w:t>10.45%</w:t>
            </w:r>
          </w:p>
        </w:tc>
      </w:tr>
      <w:tr w:rsidR="005F0D3B" w:rsidRPr="00781112" w14:paraId="37C91828" w14:textId="68984F02"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4C5B975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top w:val="single" w:sz="4" w:space="0" w:color="auto"/>
              <w:left w:val="single" w:sz="4" w:space="0" w:color="auto"/>
              <w:right w:val="single" w:sz="4" w:space="0" w:color="auto"/>
            </w:tcBorders>
            <w:shd w:val="clear" w:color="auto" w:fill="auto"/>
            <w:vAlign w:val="center"/>
          </w:tcPr>
          <w:p w14:paraId="70C9224B" w14:textId="70CACD96"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57A99" w14:textId="4C6033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1AD3A63" w14:textId="1D90F8DD" w:rsidR="00BB7BC9" w:rsidRPr="00781112" w:rsidRDefault="002B7490">
            <w:pPr>
              <w:jc w:val="center"/>
              <w:rPr>
                <w:rFonts w:cs="Arial"/>
                <w:color w:val="000000" w:themeColor="text1"/>
                <w:szCs w:val="16"/>
              </w:rPr>
            </w:pPr>
            <w:r w:rsidRPr="00781112">
              <w:rPr>
                <w:rFonts w:cs="Arial"/>
                <w:color w:val="000000" w:themeColor="text1"/>
                <w:szCs w:val="16"/>
              </w:rPr>
              <w:t>1.30%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DA5DD15" w14:textId="499E0DC6" w:rsidR="00BB7BC9" w:rsidRPr="00781112" w:rsidRDefault="002B7490">
            <w:pPr>
              <w:jc w:val="center"/>
              <w:rPr>
                <w:rFonts w:cs="Arial"/>
                <w:color w:val="000000" w:themeColor="text1"/>
                <w:szCs w:val="16"/>
              </w:rPr>
            </w:pPr>
            <w:r w:rsidRPr="00781112">
              <w:rPr>
                <w:rFonts w:cs="Arial"/>
                <w:color w:val="000000" w:themeColor="text1"/>
                <w:szCs w:val="16"/>
              </w:rPr>
              <w:t>1.30%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F1F1E81" w14:textId="46D753CA" w:rsidR="00BB7BC9" w:rsidRPr="00781112" w:rsidRDefault="002B7490">
            <w:pPr>
              <w:jc w:val="center"/>
              <w:rPr>
                <w:rFonts w:cs="Arial"/>
                <w:color w:val="000000" w:themeColor="text1"/>
                <w:szCs w:val="16"/>
              </w:rPr>
            </w:pPr>
            <w:r w:rsidRPr="00781112">
              <w:rPr>
                <w:rFonts w:cs="Arial"/>
                <w:color w:val="000000" w:themeColor="text1"/>
                <w:szCs w:val="16"/>
              </w:rPr>
              <w:t>1.49%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E23DB0" w14:textId="434389A0" w:rsidR="00BB7BC9" w:rsidRPr="00781112" w:rsidRDefault="002B7490">
            <w:pPr>
              <w:jc w:val="center"/>
              <w:rPr>
                <w:rFonts w:cs="Arial"/>
                <w:color w:val="000000" w:themeColor="text1"/>
                <w:szCs w:val="16"/>
              </w:rPr>
            </w:pPr>
            <w:r w:rsidRPr="00781112">
              <w:rPr>
                <w:rFonts w:cs="Arial"/>
                <w:color w:val="000000" w:themeColor="text1"/>
                <w:szCs w:val="16"/>
              </w:rPr>
              <w:t>1.40%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D656878" w14:textId="58FADB64" w:rsidR="00BB7BC9" w:rsidRPr="00781112" w:rsidRDefault="002B7490">
            <w:pPr>
              <w:jc w:val="center"/>
              <w:rPr>
                <w:rFonts w:cs="Arial"/>
                <w:color w:val="000000" w:themeColor="text1"/>
                <w:szCs w:val="16"/>
              </w:rPr>
            </w:pPr>
            <w:r w:rsidRPr="00781112">
              <w:rPr>
                <w:rFonts w:cs="Arial"/>
                <w:color w:val="000000" w:themeColor="text1"/>
                <w:szCs w:val="16"/>
              </w:rPr>
              <w:t>1.40%</w:t>
            </w:r>
          </w:p>
        </w:tc>
      </w:tr>
      <w:tr w:rsidR="005F0D3B" w:rsidRPr="00781112" w14:paraId="64BAB70F" w14:textId="676A8AD8" w:rsidTr="005F5FE9">
        <w:trPr>
          <w:trHeight w:val="85"/>
        </w:trPr>
        <w:tc>
          <w:tcPr>
            <w:tcW w:w="248" w:type="pct"/>
            <w:tcBorders>
              <w:left w:val="single" w:sz="4" w:space="0" w:color="auto"/>
              <w:right w:val="single" w:sz="4" w:space="0" w:color="auto"/>
            </w:tcBorders>
            <w:shd w:val="clear" w:color="auto" w:fill="auto"/>
            <w:vAlign w:val="center"/>
          </w:tcPr>
          <w:p w14:paraId="38B08CB3" w14:textId="5CD30D2F"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left w:val="single" w:sz="4" w:space="0" w:color="auto"/>
              <w:right w:val="single" w:sz="4" w:space="0" w:color="auto"/>
            </w:tcBorders>
            <w:shd w:val="clear" w:color="auto" w:fill="auto"/>
            <w:vAlign w:val="center"/>
          </w:tcPr>
          <w:p w14:paraId="68128485" w14:textId="059E5B6B" w:rsidR="00BB7BC9" w:rsidRPr="00781112" w:rsidRDefault="002B7490" w:rsidP="00A018D4">
            <w:pPr>
              <w:jc w:val="center"/>
              <w:rPr>
                <w:rFonts w:cs="Arial"/>
                <w:color w:val="000000" w:themeColor="text1"/>
                <w:szCs w:val="16"/>
              </w:rPr>
            </w:pPr>
            <w:r w:rsidRPr="00781112">
              <w:rPr>
                <w:rFonts w:cs="Arial"/>
                <w:color w:val="000000" w:themeColor="text1"/>
                <w:szCs w:val="16"/>
              </w:rPr>
              <w:t>1.49%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2C5D3"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31BEB85" w14:textId="2725D64A" w:rsidR="00BB7BC9" w:rsidRPr="00781112" w:rsidRDefault="002B7490">
            <w:pPr>
              <w:jc w:val="center"/>
              <w:rPr>
                <w:rFonts w:cs="Arial"/>
                <w:color w:val="000000" w:themeColor="text1"/>
                <w:szCs w:val="16"/>
              </w:rPr>
            </w:pPr>
            <w:r w:rsidRPr="00781112">
              <w:rPr>
                <w:rFonts w:cs="Arial"/>
                <w:color w:val="000000" w:themeColor="text1"/>
                <w:szCs w:val="16"/>
              </w:rPr>
              <w:t>1.60%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1272C2D" w14:textId="719A941F" w:rsidR="00BB7BC9" w:rsidRPr="00781112" w:rsidRDefault="002B7490">
            <w:pPr>
              <w:jc w:val="center"/>
              <w:rPr>
                <w:rFonts w:cs="Arial"/>
                <w:color w:val="000000" w:themeColor="text1"/>
                <w:szCs w:val="16"/>
              </w:rPr>
            </w:pPr>
            <w:r w:rsidRPr="00781112">
              <w:rPr>
                <w:rFonts w:cs="Arial"/>
                <w:color w:val="000000" w:themeColor="text1"/>
                <w:szCs w:val="16"/>
              </w:rPr>
              <w:t>1.47%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6D69289" w14:textId="52314ECA" w:rsidR="00BB7BC9" w:rsidRPr="00781112" w:rsidRDefault="002B7490">
            <w:pPr>
              <w:jc w:val="center"/>
              <w:rPr>
                <w:rFonts w:cs="Arial"/>
                <w:color w:val="000000" w:themeColor="text1"/>
                <w:szCs w:val="16"/>
              </w:rPr>
            </w:pPr>
            <w:r w:rsidRPr="00781112">
              <w:rPr>
                <w:rFonts w:cs="Arial"/>
                <w:color w:val="000000" w:themeColor="text1"/>
                <w:szCs w:val="16"/>
              </w:rPr>
              <w:t>1.49%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0C089F4" w14:textId="48A87A04" w:rsidR="00BB7BC9" w:rsidRPr="00781112" w:rsidRDefault="002B7490">
            <w:pPr>
              <w:jc w:val="center"/>
              <w:rPr>
                <w:rFonts w:cs="Arial"/>
                <w:color w:val="000000" w:themeColor="text1"/>
                <w:szCs w:val="16"/>
              </w:rPr>
            </w:pPr>
            <w:r w:rsidRPr="00781112">
              <w:rPr>
                <w:rFonts w:cs="Arial"/>
                <w:color w:val="000000" w:themeColor="text1"/>
                <w:szCs w:val="16"/>
              </w:rPr>
              <w:t>1.50%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5793CF8" w14:textId="025DD51B" w:rsidR="00BB7BC9" w:rsidRPr="00781112" w:rsidRDefault="002B7490">
            <w:pPr>
              <w:jc w:val="center"/>
              <w:rPr>
                <w:rFonts w:cs="Arial"/>
                <w:color w:val="000000" w:themeColor="text1"/>
                <w:szCs w:val="16"/>
              </w:rPr>
            </w:pPr>
            <w:r w:rsidRPr="00781112">
              <w:rPr>
                <w:rFonts w:cs="Arial"/>
                <w:color w:val="000000" w:themeColor="text1"/>
                <w:szCs w:val="16"/>
              </w:rPr>
              <w:t>0.94%</w:t>
            </w:r>
          </w:p>
        </w:tc>
      </w:tr>
    </w:tbl>
    <w:p w14:paraId="4F18E18D" w14:textId="77777777" w:rsidR="004A4803" w:rsidRPr="00781112" w:rsidRDefault="004A4803" w:rsidP="004369B2">
      <w:pPr>
        <w:rPr>
          <w:color w:val="000000" w:themeColor="text1"/>
        </w:rPr>
      </w:pPr>
    </w:p>
    <w:p w14:paraId="4B421711" w14:textId="34B64243" w:rsidR="002C207A" w:rsidRPr="00781112" w:rsidRDefault="002C207A" w:rsidP="004369B2">
      <w:pPr>
        <w:rPr>
          <w:color w:val="000000" w:themeColor="text1"/>
        </w:rPr>
      </w:pPr>
      <w:r w:rsidRPr="00781112">
        <w:rPr>
          <w:b/>
          <w:color w:val="000000" w:themeColor="text1"/>
        </w:rPr>
        <w:t>Targets</w:t>
      </w:r>
    </w:p>
    <w:tbl>
      <w:tblPr>
        <w:tblW w:w="26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TARGETS"/>
      </w:tblPr>
      <w:tblGrid>
        <w:gridCol w:w="673"/>
        <w:gridCol w:w="1691"/>
        <w:gridCol w:w="1691"/>
        <w:gridCol w:w="1690"/>
      </w:tblGrid>
      <w:tr w:rsidR="000F7167" w:rsidRPr="00781112" w14:paraId="67121B7A" w14:textId="6B1EA8E0" w:rsidTr="003E5D5A">
        <w:trPr>
          <w:trHeight w:val="264"/>
        </w:trPr>
        <w:tc>
          <w:tcPr>
            <w:tcW w:w="585" w:type="pct"/>
            <w:tcBorders>
              <w:bottom w:val="single" w:sz="4" w:space="0" w:color="auto"/>
            </w:tcBorders>
            <w:shd w:val="clear" w:color="auto" w:fill="auto"/>
          </w:tcPr>
          <w:p w14:paraId="417BC1C4" w14:textId="77777777" w:rsidR="000F7167" w:rsidRPr="00781112" w:rsidRDefault="000F7167" w:rsidP="00D62058">
            <w:pPr>
              <w:jc w:val="center"/>
              <w:rPr>
                <w:b/>
                <w:color w:val="000000" w:themeColor="text1"/>
              </w:rPr>
            </w:pPr>
            <w:r w:rsidRPr="00781112">
              <w:rPr>
                <w:b/>
                <w:color w:val="000000" w:themeColor="text1"/>
              </w:rPr>
              <w:t>FFY</w:t>
            </w:r>
          </w:p>
        </w:tc>
        <w:tc>
          <w:tcPr>
            <w:tcW w:w="1472" w:type="pct"/>
            <w:shd w:val="clear" w:color="auto" w:fill="auto"/>
          </w:tcPr>
          <w:p w14:paraId="43C546D5" w14:textId="7A1B1AB1" w:rsidR="000F7167" w:rsidRPr="00781112" w:rsidRDefault="000F7167" w:rsidP="00D62058">
            <w:pPr>
              <w:jc w:val="center"/>
              <w:rPr>
                <w:b/>
                <w:color w:val="000000" w:themeColor="text1"/>
              </w:rPr>
            </w:pPr>
            <w:r w:rsidRPr="00781112">
              <w:rPr>
                <w:b/>
                <w:color w:val="000000" w:themeColor="text1"/>
              </w:rPr>
              <w:t>2023</w:t>
            </w:r>
          </w:p>
        </w:tc>
        <w:tc>
          <w:tcPr>
            <w:tcW w:w="1472" w:type="pct"/>
          </w:tcPr>
          <w:p w14:paraId="12417F21" w14:textId="04859FD1" w:rsidR="000F7167" w:rsidRPr="00781112" w:rsidRDefault="000F7167" w:rsidP="00D62058">
            <w:pPr>
              <w:jc w:val="center"/>
              <w:rPr>
                <w:b/>
                <w:color w:val="000000" w:themeColor="text1"/>
              </w:rPr>
            </w:pPr>
            <w:r w:rsidRPr="00781112">
              <w:rPr>
                <w:rFonts w:cs="Arial"/>
                <w:b/>
                <w:color w:val="000000" w:themeColor="text1"/>
                <w:szCs w:val="16"/>
              </w:rPr>
              <w:t>2024</w:t>
            </w:r>
          </w:p>
        </w:tc>
        <w:tc>
          <w:tcPr>
            <w:tcW w:w="1472" w:type="pct"/>
          </w:tcPr>
          <w:p w14:paraId="75B6E23D" w14:textId="1550C183" w:rsidR="000F7167" w:rsidRPr="00781112" w:rsidRDefault="000F7167" w:rsidP="00D62058">
            <w:pPr>
              <w:jc w:val="center"/>
              <w:rPr>
                <w:b/>
                <w:color w:val="000000" w:themeColor="text1"/>
              </w:rPr>
            </w:pPr>
            <w:r w:rsidRPr="00781112">
              <w:rPr>
                <w:rFonts w:cs="Arial"/>
                <w:b/>
                <w:color w:val="000000" w:themeColor="text1"/>
                <w:szCs w:val="16"/>
              </w:rPr>
              <w:t>2025</w:t>
            </w:r>
          </w:p>
        </w:tc>
      </w:tr>
      <w:tr w:rsidR="000F7167" w:rsidRPr="00781112" w14:paraId="0E725BBE" w14:textId="7C441390" w:rsidTr="003E5D5A">
        <w:trPr>
          <w:trHeight w:val="270"/>
        </w:trPr>
        <w:tc>
          <w:tcPr>
            <w:tcW w:w="585" w:type="pct"/>
            <w:shd w:val="clear" w:color="auto" w:fill="auto"/>
            <w:vAlign w:val="center"/>
          </w:tcPr>
          <w:p w14:paraId="3CB4FC66" w14:textId="21A33A6B" w:rsidR="000F7167" w:rsidRPr="00781112" w:rsidRDefault="000F7167" w:rsidP="00BA3DBE">
            <w:pPr>
              <w:jc w:val="center"/>
              <w:rPr>
                <w:rFonts w:cs="Arial"/>
                <w:color w:val="000000" w:themeColor="text1"/>
                <w:szCs w:val="16"/>
              </w:rPr>
            </w:pPr>
            <w:r w:rsidRPr="00781112">
              <w:rPr>
                <w:rFonts w:cs="Arial"/>
                <w:color w:val="000000" w:themeColor="text1"/>
                <w:szCs w:val="16"/>
              </w:rPr>
              <w:t>Target A &gt;=</w:t>
            </w:r>
          </w:p>
        </w:tc>
        <w:tc>
          <w:tcPr>
            <w:tcW w:w="1472" w:type="pct"/>
            <w:shd w:val="clear" w:color="auto" w:fill="auto"/>
            <w:vAlign w:val="center"/>
          </w:tcPr>
          <w:p w14:paraId="0643B02C" w14:textId="7613B373" w:rsidR="000F7167" w:rsidRPr="00781112" w:rsidRDefault="000F7167" w:rsidP="00D62058">
            <w:pPr>
              <w:jc w:val="center"/>
              <w:rPr>
                <w:rFonts w:cs="Arial"/>
                <w:color w:val="000000" w:themeColor="text1"/>
                <w:szCs w:val="16"/>
              </w:rPr>
            </w:pPr>
            <w:r w:rsidRPr="00781112">
              <w:rPr>
                <w:rFonts w:cs="Arial"/>
                <w:color w:val="000000" w:themeColor="text1"/>
                <w:szCs w:val="16"/>
              </w:rPr>
              <w:t>68.61%</w:t>
            </w:r>
          </w:p>
        </w:tc>
        <w:tc>
          <w:tcPr>
            <w:tcW w:w="1472" w:type="pct"/>
          </w:tcPr>
          <w:p w14:paraId="5AAF7764" w14:textId="6CE24C23" w:rsidR="000F7167" w:rsidRPr="00781112" w:rsidRDefault="000F7167" w:rsidP="00D62058">
            <w:pPr>
              <w:jc w:val="center"/>
              <w:rPr>
                <w:rFonts w:cs="Arial"/>
                <w:color w:val="000000" w:themeColor="text1"/>
                <w:szCs w:val="16"/>
              </w:rPr>
            </w:pPr>
            <w:r w:rsidRPr="00781112">
              <w:rPr>
                <w:color w:val="000000" w:themeColor="text1"/>
                <w:szCs w:val="16"/>
              </w:rPr>
              <w:t>69.11%</w:t>
            </w:r>
          </w:p>
        </w:tc>
        <w:tc>
          <w:tcPr>
            <w:tcW w:w="1472" w:type="pct"/>
          </w:tcPr>
          <w:p w14:paraId="18842FBE" w14:textId="34C8AABC" w:rsidR="000F7167" w:rsidRPr="00781112" w:rsidRDefault="000F7167" w:rsidP="00D62058">
            <w:pPr>
              <w:jc w:val="center"/>
              <w:rPr>
                <w:rFonts w:cs="Arial"/>
                <w:color w:val="000000" w:themeColor="text1"/>
                <w:szCs w:val="16"/>
              </w:rPr>
            </w:pPr>
            <w:r w:rsidRPr="00781112">
              <w:rPr>
                <w:color w:val="000000" w:themeColor="text1"/>
                <w:szCs w:val="16"/>
              </w:rPr>
              <w:t>69.61%</w:t>
            </w:r>
          </w:p>
        </w:tc>
      </w:tr>
      <w:tr w:rsidR="000F7167" w:rsidRPr="00781112" w14:paraId="17C12050" w14:textId="1A45DE5B" w:rsidTr="003E5D5A">
        <w:trPr>
          <w:trHeight w:val="270"/>
        </w:trPr>
        <w:tc>
          <w:tcPr>
            <w:tcW w:w="585" w:type="pct"/>
            <w:shd w:val="clear" w:color="auto" w:fill="auto"/>
            <w:vAlign w:val="center"/>
          </w:tcPr>
          <w:p w14:paraId="5FF4BE45" w14:textId="3D057CF2" w:rsidR="000F7167" w:rsidRPr="00781112" w:rsidRDefault="000F7167" w:rsidP="00BA3DBE">
            <w:pPr>
              <w:jc w:val="center"/>
              <w:rPr>
                <w:rFonts w:cs="Arial"/>
                <w:color w:val="000000" w:themeColor="text1"/>
                <w:szCs w:val="16"/>
              </w:rPr>
            </w:pPr>
            <w:r w:rsidRPr="00781112">
              <w:rPr>
                <w:rFonts w:cs="Arial"/>
                <w:color w:val="000000" w:themeColor="text1"/>
                <w:szCs w:val="16"/>
              </w:rPr>
              <w:t>Target B &lt;=</w:t>
            </w:r>
          </w:p>
        </w:tc>
        <w:tc>
          <w:tcPr>
            <w:tcW w:w="1472" w:type="pct"/>
            <w:shd w:val="clear" w:color="auto" w:fill="auto"/>
            <w:vAlign w:val="center"/>
          </w:tcPr>
          <w:p w14:paraId="4B344C1C" w14:textId="2108066A" w:rsidR="000F7167" w:rsidRPr="00781112" w:rsidRDefault="000F7167" w:rsidP="00D62058">
            <w:pPr>
              <w:jc w:val="center"/>
              <w:rPr>
                <w:rFonts w:cs="Arial"/>
                <w:color w:val="000000" w:themeColor="text1"/>
                <w:szCs w:val="16"/>
              </w:rPr>
            </w:pPr>
            <w:r w:rsidRPr="00781112">
              <w:rPr>
                <w:rFonts w:cs="Arial"/>
                <w:color w:val="000000" w:themeColor="text1"/>
                <w:szCs w:val="16"/>
              </w:rPr>
              <w:t>6.10%</w:t>
            </w:r>
          </w:p>
        </w:tc>
        <w:tc>
          <w:tcPr>
            <w:tcW w:w="1472" w:type="pct"/>
          </w:tcPr>
          <w:p w14:paraId="05700FA5" w14:textId="5CCD345F" w:rsidR="000F7167" w:rsidRPr="00781112" w:rsidRDefault="000F7167" w:rsidP="00D62058">
            <w:pPr>
              <w:jc w:val="center"/>
              <w:rPr>
                <w:rFonts w:cs="Arial"/>
                <w:color w:val="000000" w:themeColor="text1"/>
                <w:szCs w:val="16"/>
              </w:rPr>
            </w:pPr>
            <w:r w:rsidRPr="00781112">
              <w:rPr>
                <w:color w:val="000000" w:themeColor="text1"/>
                <w:szCs w:val="16"/>
              </w:rPr>
              <w:t>6.00%</w:t>
            </w:r>
          </w:p>
        </w:tc>
        <w:tc>
          <w:tcPr>
            <w:tcW w:w="1472" w:type="pct"/>
          </w:tcPr>
          <w:p w14:paraId="3714E477" w14:textId="7A435890" w:rsidR="000F7167" w:rsidRPr="00781112" w:rsidRDefault="000F7167" w:rsidP="00D62058">
            <w:pPr>
              <w:jc w:val="center"/>
              <w:rPr>
                <w:rFonts w:cs="Arial"/>
                <w:color w:val="000000" w:themeColor="text1"/>
                <w:szCs w:val="16"/>
              </w:rPr>
            </w:pPr>
            <w:r w:rsidRPr="00781112">
              <w:rPr>
                <w:color w:val="000000" w:themeColor="text1"/>
                <w:szCs w:val="16"/>
              </w:rPr>
              <w:t>5.90%</w:t>
            </w:r>
          </w:p>
        </w:tc>
      </w:tr>
      <w:tr w:rsidR="000F7167" w:rsidRPr="00781112" w14:paraId="1C671552" w14:textId="2F7800FB" w:rsidTr="003E5D5A">
        <w:trPr>
          <w:trHeight w:val="270"/>
        </w:trPr>
        <w:tc>
          <w:tcPr>
            <w:tcW w:w="585" w:type="pct"/>
            <w:shd w:val="clear" w:color="auto" w:fill="auto"/>
            <w:vAlign w:val="center"/>
          </w:tcPr>
          <w:p w14:paraId="5D979A7F" w14:textId="57DEB4C1" w:rsidR="000F7167" w:rsidRPr="00781112" w:rsidRDefault="000F7167" w:rsidP="00BA3DBE">
            <w:pPr>
              <w:jc w:val="center"/>
              <w:rPr>
                <w:rFonts w:cs="Arial"/>
                <w:color w:val="000000" w:themeColor="text1"/>
                <w:szCs w:val="16"/>
              </w:rPr>
            </w:pPr>
            <w:r w:rsidRPr="00781112">
              <w:rPr>
                <w:rFonts w:cs="Arial"/>
                <w:color w:val="000000" w:themeColor="text1"/>
                <w:szCs w:val="16"/>
              </w:rPr>
              <w:t>Target C &lt;=</w:t>
            </w:r>
          </w:p>
        </w:tc>
        <w:tc>
          <w:tcPr>
            <w:tcW w:w="1472" w:type="pct"/>
            <w:shd w:val="clear" w:color="auto" w:fill="auto"/>
            <w:vAlign w:val="center"/>
          </w:tcPr>
          <w:p w14:paraId="1C0EF441" w14:textId="373B29D8" w:rsidR="000F7167" w:rsidRPr="00781112" w:rsidRDefault="000F7167" w:rsidP="00D62058">
            <w:pPr>
              <w:jc w:val="center"/>
              <w:rPr>
                <w:rFonts w:cs="Arial"/>
                <w:color w:val="000000" w:themeColor="text1"/>
                <w:szCs w:val="16"/>
              </w:rPr>
            </w:pPr>
            <w:r w:rsidRPr="00781112">
              <w:rPr>
                <w:rFonts w:cs="Arial"/>
                <w:color w:val="000000" w:themeColor="text1"/>
                <w:szCs w:val="16"/>
              </w:rPr>
              <w:t>1.40%</w:t>
            </w:r>
          </w:p>
        </w:tc>
        <w:tc>
          <w:tcPr>
            <w:tcW w:w="1472" w:type="pct"/>
          </w:tcPr>
          <w:p w14:paraId="29CA6903" w14:textId="7D992541" w:rsidR="000F7167" w:rsidRPr="00781112" w:rsidRDefault="000F7167" w:rsidP="00D62058">
            <w:pPr>
              <w:jc w:val="center"/>
              <w:rPr>
                <w:rFonts w:cs="Arial"/>
                <w:color w:val="000000" w:themeColor="text1"/>
                <w:szCs w:val="16"/>
              </w:rPr>
            </w:pPr>
            <w:r w:rsidRPr="00781112">
              <w:rPr>
                <w:color w:val="000000" w:themeColor="text1"/>
                <w:szCs w:val="16"/>
              </w:rPr>
              <w:t>1.40%</w:t>
            </w:r>
          </w:p>
        </w:tc>
        <w:tc>
          <w:tcPr>
            <w:tcW w:w="1472" w:type="pct"/>
          </w:tcPr>
          <w:p w14:paraId="552B6B09" w14:textId="511FB8CF" w:rsidR="000F7167" w:rsidRPr="00781112" w:rsidRDefault="000F7167" w:rsidP="00D62058">
            <w:pPr>
              <w:jc w:val="center"/>
              <w:rPr>
                <w:rFonts w:cs="Arial"/>
                <w:color w:val="000000" w:themeColor="text1"/>
                <w:szCs w:val="16"/>
              </w:rPr>
            </w:pPr>
            <w:r w:rsidRPr="00781112">
              <w:rPr>
                <w:color w:val="000000" w:themeColor="text1"/>
                <w:szCs w:val="16"/>
              </w:rPr>
              <w:t>1.40%</w:t>
            </w:r>
          </w:p>
        </w:tc>
      </w:tr>
    </w:tbl>
    <w:p w14:paraId="7C8EA9A0" w14:textId="74543D19" w:rsidR="002D145D" w:rsidRPr="00781112" w:rsidRDefault="002D145D" w:rsidP="004369B2">
      <w:pPr>
        <w:rPr>
          <w:b/>
          <w:color w:val="000000" w:themeColor="text1"/>
        </w:rPr>
      </w:pPr>
      <w:r w:rsidRPr="00781112">
        <w:rPr>
          <w:b/>
          <w:color w:val="000000" w:themeColor="text1"/>
        </w:rPr>
        <w:t xml:space="preserve">Targets: Description of Stakeholder Input </w:t>
      </w:r>
    </w:p>
    <w:p w14:paraId="2B96DDD0" w14:textId="3E2ADE72" w:rsidR="002D145D" w:rsidRPr="00781112" w:rsidRDefault="00D60B5F" w:rsidP="002D145D">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The baseline for this indicator was adjusted to FFY 2020 based on direction by OSEP during the clarification period in order to exclude 5-year-olds in kindergarten. Targets were then adjusted to show the 0.5% increase per year for indicator 5A, 0.1 decreases per year for indicator 5B, and a slight decrease to 1.4 for indicator 5C and then holding at that level. These were the increments that were presented to and accepted by stakeholders. Indicator 5C does not show a decrease due to the need to keep a continuum of services available for students.</w:t>
      </w:r>
      <w:r w:rsidRPr="00781112">
        <w:rPr>
          <w:rFonts w:cs="Arial"/>
          <w:color w:val="000000" w:themeColor="text1"/>
          <w:szCs w:val="16"/>
        </w:rPr>
        <w:br/>
      </w:r>
      <w:r w:rsidRPr="00781112">
        <w:rPr>
          <w:rFonts w:cs="Arial"/>
          <w:color w:val="000000" w:themeColor="text1"/>
          <w:szCs w:val="16"/>
        </w:rPr>
        <w:br/>
        <w:t>FFY 2023</w:t>
      </w:r>
      <w:r w:rsidRPr="00781112">
        <w:rPr>
          <w:rFonts w:cs="Arial"/>
          <w:color w:val="000000" w:themeColor="text1"/>
          <w:szCs w:val="16"/>
        </w:rPr>
        <w:br/>
        <w:t>Stakeholders did not express interest in revising the Education Environments (School Age) targets during any meetings throughout the reporting period; however, WVDE/OSE is receptive to any potential concerns or recommendations that stakeholders may have regarding these targets.</w:t>
      </w:r>
    </w:p>
    <w:p w14:paraId="5251E1B0" w14:textId="77777777" w:rsidR="004A4803" w:rsidRPr="00781112" w:rsidRDefault="004A4803" w:rsidP="004369B2">
      <w:pPr>
        <w:rPr>
          <w:color w:val="000000" w:themeColor="text1"/>
        </w:rPr>
      </w:pPr>
    </w:p>
    <w:p w14:paraId="4D7BF763" w14:textId="45C93061" w:rsidR="00931A25" w:rsidRPr="00781112" w:rsidRDefault="00931A25"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PREPOPDATA"/>
      </w:tblPr>
      <w:tblGrid>
        <w:gridCol w:w="2605"/>
        <w:gridCol w:w="2969"/>
        <w:gridCol w:w="3332"/>
        <w:gridCol w:w="1884"/>
      </w:tblGrid>
      <w:tr w:rsidR="005C29F8" w:rsidRPr="00781112" w14:paraId="7DC625CA" w14:textId="77777777" w:rsidTr="0033429D">
        <w:trPr>
          <w:trHeight w:val="372"/>
          <w:tblHeader/>
        </w:trPr>
        <w:tc>
          <w:tcPr>
            <w:tcW w:w="1207" w:type="pct"/>
            <w:shd w:val="clear" w:color="auto" w:fill="auto"/>
          </w:tcPr>
          <w:p w14:paraId="27CE7D2A"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Source</w:t>
            </w:r>
          </w:p>
        </w:tc>
        <w:tc>
          <w:tcPr>
            <w:tcW w:w="1376" w:type="pct"/>
            <w:shd w:val="clear" w:color="auto" w:fill="auto"/>
          </w:tcPr>
          <w:p w14:paraId="37A472D3"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Date</w:t>
            </w:r>
          </w:p>
        </w:tc>
        <w:tc>
          <w:tcPr>
            <w:tcW w:w="1544" w:type="pct"/>
            <w:shd w:val="clear" w:color="auto" w:fill="auto"/>
          </w:tcPr>
          <w:p w14:paraId="3AD5D5D4"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Description</w:t>
            </w:r>
          </w:p>
        </w:tc>
        <w:tc>
          <w:tcPr>
            <w:tcW w:w="873" w:type="pct"/>
            <w:shd w:val="clear" w:color="auto" w:fill="auto"/>
          </w:tcPr>
          <w:p w14:paraId="3879034D"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701A6E97" w14:textId="77777777" w:rsidTr="00AB0D6A">
        <w:trPr>
          <w:trHeight w:val="380"/>
        </w:trPr>
        <w:tc>
          <w:tcPr>
            <w:tcW w:w="1207" w:type="pct"/>
            <w:shd w:val="clear" w:color="auto" w:fill="auto"/>
            <w:vAlign w:val="center"/>
          </w:tcPr>
          <w:p w14:paraId="35A4BC35" w14:textId="73E52F94" w:rsidR="003C1852" w:rsidRPr="00781112" w:rsidRDefault="002B7490">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0BD5009E" w14:textId="3A5F2E3D" w:rsidR="003C1852"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05856C31" w14:textId="605373FB" w:rsidR="003C1852" w:rsidRPr="00781112" w:rsidRDefault="003C1852" w:rsidP="00E0321D">
            <w:pPr>
              <w:jc w:val="center"/>
              <w:rPr>
                <w:rFonts w:cs="Arial"/>
                <w:color w:val="000000" w:themeColor="text1"/>
                <w:szCs w:val="16"/>
              </w:rPr>
            </w:pPr>
            <w:r w:rsidRPr="00781112">
              <w:rPr>
                <w:rFonts w:cs="Arial"/>
                <w:color w:val="000000" w:themeColor="text1"/>
                <w:szCs w:val="16"/>
              </w:rPr>
              <w:t xml:space="preserve">Total number of children with IEPs aged </w:t>
            </w:r>
            <w:r w:rsidR="00185BA9" w:rsidRPr="00781112">
              <w:rPr>
                <w:rFonts w:cs="Arial"/>
                <w:szCs w:val="16"/>
              </w:rPr>
              <w:t>5 (kindergarten)</w:t>
            </w:r>
            <w:r w:rsidRPr="00781112">
              <w:rPr>
                <w:rFonts w:cs="Arial"/>
                <w:color w:val="000000" w:themeColor="text1"/>
                <w:szCs w:val="16"/>
              </w:rPr>
              <w:t xml:space="preserve"> through 21</w:t>
            </w:r>
          </w:p>
        </w:tc>
        <w:tc>
          <w:tcPr>
            <w:tcW w:w="873" w:type="pct"/>
            <w:shd w:val="clear" w:color="auto" w:fill="auto"/>
            <w:vAlign w:val="center"/>
          </w:tcPr>
          <w:p w14:paraId="6A944F84" w14:textId="31582347" w:rsidR="003C1852" w:rsidRPr="00781112" w:rsidRDefault="002B7490" w:rsidP="00E0321D">
            <w:pPr>
              <w:jc w:val="center"/>
              <w:rPr>
                <w:rFonts w:cs="Arial"/>
                <w:color w:val="000000" w:themeColor="text1"/>
                <w:szCs w:val="16"/>
              </w:rPr>
            </w:pPr>
            <w:r w:rsidRPr="00781112">
              <w:rPr>
                <w:rFonts w:cs="Arial"/>
                <w:color w:val="000000" w:themeColor="text1"/>
                <w:szCs w:val="16"/>
              </w:rPr>
              <w:t>45,991</w:t>
            </w:r>
          </w:p>
        </w:tc>
      </w:tr>
      <w:tr w:rsidR="005C29F8" w:rsidRPr="00781112" w14:paraId="774B0393" w14:textId="77777777" w:rsidTr="00AB0D6A">
        <w:trPr>
          <w:trHeight w:val="380"/>
        </w:trPr>
        <w:tc>
          <w:tcPr>
            <w:tcW w:w="1207" w:type="pct"/>
            <w:shd w:val="clear" w:color="auto" w:fill="auto"/>
            <w:vAlign w:val="center"/>
          </w:tcPr>
          <w:p w14:paraId="41118E4B" w14:textId="707D9C2B"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598C9B67" w14:textId="1DDD1ECD"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02329530" w14:textId="7C955459"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A. Number of children with IEPs aged </w:t>
            </w:r>
            <w:r w:rsidR="00185BA9" w:rsidRPr="00781112">
              <w:rPr>
                <w:rFonts w:cs="Arial"/>
                <w:szCs w:val="16"/>
              </w:rPr>
              <w:t>5 (kindergarten)</w:t>
            </w:r>
            <w:r w:rsidRPr="00781112">
              <w:rPr>
                <w:rFonts w:cs="Arial"/>
                <w:color w:val="000000" w:themeColor="text1"/>
                <w:szCs w:val="16"/>
              </w:rPr>
              <w:t xml:space="preserve"> through 21 inside the regular class 80% or more of the day</w:t>
            </w:r>
          </w:p>
        </w:tc>
        <w:tc>
          <w:tcPr>
            <w:tcW w:w="873" w:type="pct"/>
            <w:shd w:val="clear" w:color="auto" w:fill="auto"/>
            <w:vAlign w:val="center"/>
          </w:tcPr>
          <w:p w14:paraId="699212F3" w14:textId="450EBDBF" w:rsidR="008A3DC6" w:rsidRPr="00781112" w:rsidRDefault="002B7490" w:rsidP="00E0321D">
            <w:pPr>
              <w:jc w:val="center"/>
              <w:rPr>
                <w:rFonts w:cs="Arial"/>
                <w:color w:val="000000" w:themeColor="text1"/>
                <w:szCs w:val="16"/>
              </w:rPr>
            </w:pPr>
            <w:r w:rsidRPr="00781112">
              <w:rPr>
                <w:rFonts w:cs="Arial"/>
                <w:color w:val="000000" w:themeColor="text1"/>
                <w:szCs w:val="16"/>
              </w:rPr>
              <w:t>29,533</w:t>
            </w:r>
          </w:p>
        </w:tc>
      </w:tr>
      <w:tr w:rsidR="005C29F8" w:rsidRPr="00781112" w14:paraId="1BE24412" w14:textId="77777777" w:rsidTr="00AB0D6A">
        <w:trPr>
          <w:trHeight w:val="380"/>
        </w:trPr>
        <w:tc>
          <w:tcPr>
            <w:tcW w:w="1207" w:type="pct"/>
            <w:shd w:val="clear" w:color="auto" w:fill="auto"/>
            <w:vAlign w:val="center"/>
          </w:tcPr>
          <w:p w14:paraId="13D524C0" w14:textId="46F357A5"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72EFA773" w14:textId="00761F20"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6EF7CE7A" w14:textId="07D1D751"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B.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inside the regular class less than 40% of the day</w:t>
            </w:r>
          </w:p>
        </w:tc>
        <w:tc>
          <w:tcPr>
            <w:tcW w:w="873" w:type="pct"/>
            <w:shd w:val="clear" w:color="auto" w:fill="auto"/>
            <w:vAlign w:val="center"/>
          </w:tcPr>
          <w:p w14:paraId="33B90725" w14:textId="1FBE54FE" w:rsidR="008A3DC6" w:rsidRPr="00781112" w:rsidRDefault="002B7490" w:rsidP="00E0321D">
            <w:pPr>
              <w:jc w:val="center"/>
              <w:rPr>
                <w:rFonts w:cs="Arial"/>
                <w:color w:val="000000" w:themeColor="text1"/>
                <w:szCs w:val="16"/>
              </w:rPr>
            </w:pPr>
            <w:r w:rsidRPr="00781112">
              <w:rPr>
                <w:rFonts w:cs="Arial"/>
                <w:color w:val="000000" w:themeColor="text1"/>
                <w:szCs w:val="16"/>
              </w:rPr>
              <w:t>3,139</w:t>
            </w:r>
          </w:p>
        </w:tc>
      </w:tr>
      <w:tr w:rsidR="005C29F8" w:rsidRPr="00781112" w14:paraId="17A5A2B3" w14:textId="77777777" w:rsidTr="00AB0D6A">
        <w:trPr>
          <w:trHeight w:val="380"/>
        </w:trPr>
        <w:tc>
          <w:tcPr>
            <w:tcW w:w="1207" w:type="pct"/>
            <w:shd w:val="clear" w:color="auto" w:fill="auto"/>
            <w:vAlign w:val="center"/>
          </w:tcPr>
          <w:p w14:paraId="525A2ED8" w14:textId="4E94BB5B"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68C3F92C" w14:textId="3AE47CC2"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413AEB9E" w14:textId="1B537E25"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c1. Number of children with IEPs aged </w:t>
            </w:r>
            <w:r w:rsidR="00185BA9" w:rsidRPr="00781112">
              <w:rPr>
                <w:rFonts w:cs="Arial"/>
                <w:szCs w:val="16"/>
              </w:rPr>
              <w:t>5 (kindergarten)</w:t>
            </w:r>
            <w:r w:rsidRPr="00781112">
              <w:rPr>
                <w:rFonts w:cs="Arial"/>
                <w:color w:val="000000" w:themeColor="text1"/>
                <w:szCs w:val="16"/>
              </w:rPr>
              <w:t xml:space="preserve"> through 21 in separate </w:t>
            </w:r>
            <w:r w:rsidR="00185BA9" w:rsidRPr="00781112">
              <w:rPr>
                <w:rFonts w:cs="Arial"/>
                <w:color w:val="000000" w:themeColor="text1"/>
                <w:szCs w:val="16"/>
              </w:rPr>
              <w:t>s</w:t>
            </w:r>
            <w:r w:rsidRPr="00781112">
              <w:rPr>
                <w:rFonts w:cs="Arial"/>
                <w:color w:val="000000" w:themeColor="text1"/>
                <w:szCs w:val="16"/>
              </w:rPr>
              <w:t>chools</w:t>
            </w:r>
          </w:p>
        </w:tc>
        <w:tc>
          <w:tcPr>
            <w:tcW w:w="873" w:type="pct"/>
            <w:shd w:val="clear" w:color="auto" w:fill="auto"/>
            <w:vAlign w:val="center"/>
          </w:tcPr>
          <w:p w14:paraId="0C6DF60D" w14:textId="1A57B1C5" w:rsidR="008A3DC6" w:rsidRPr="00781112" w:rsidRDefault="002B7490" w:rsidP="00E0321D">
            <w:pPr>
              <w:jc w:val="center"/>
              <w:rPr>
                <w:rFonts w:cs="Arial"/>
                <w:color w:val="000000" w:themeColor="text1"/>
                <w:szCs w:val="16"/>
              </w:rPr>
            </w:pPr>
            <w:r w:rsidRPr="00781112">
              <w:rPr>
                <w:rFonts w:cs="Arial"/>
                <w:color w:val="000000" w:themeColor="text1"/>
                <w:szCs w:val="16"/>
              </w:rPr>
              <w:t>54</w:t>
            </w:r>
          </w:p>
        </w:tc>
      </w:tr>
      <w:tr w:rsidR="005C29F8" w:rsidRPr="00781112" w14:paraId="7C327020" w14:textId="77777777" w:rsidTr="00AB0D6A">
        <w:trPr>
          <w:trHeight w:val="380"/>
        </w:trPr>
        <w:tc>
          <w:tcPr>
            <w:tcW w:w="1207" w:type="pct"/>
            <w:shd w:val="clear" w:color="auto" w:fill="auto"/>
            <w:vAlign w:val="center"/>
          </w:tcPr>
          <w:p w14:paraId="485F7D93" w14:textId="6A92F697"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1261545C" w14:textId="230AF013"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3AEE0CBD" w14:textId="6D1B0F8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c2.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 residential facilities</w:t>
            </w:r>
          </w:p>
        </w:tc>
        <w:tc>
          <w:tcPr>
            <w:tcW w:w="873" w:type="pct"/>
            <w:shd w:val="clear" w:color="auto" w:fill="auto"/>
            <w:vAlign w:val="center"/>
          </w:tcPr>
          <w:p w14:paraId="596B74CB" w14:textId="6136D9E8" w:rsidR="008A3DC6" w:rsidRPr="00781112" w:rsidRDefault="002B7490" w:rsidP="00E0321D">
            <w:pPr>
              <w:jc w:val="center"/>
              <w:rPr>
                <w:rFonts w:cs="Arial"/>
                <w:color w:val="000000" w:themeColor="text1"/>
                <w:szCs w:val="16"/>
              </w:rPr>
            </w:pPr>
            <w:r w:rsidRPr="00781112">
              <w:rPr>
                <w:rFonts w:cs="Arial"/>
                <w:color w:val="000000" w:themeColor="text1"/>
                <w:szCs w:val="16"/>
              </w:rPr>
              <w:t>115</w:t>
            </w:r>
          </w:p>
        </w:tc>
      </w:tr>
      <w:tr w:rsidR="005C29F8" w:rsidRPr="00781112" w14:paraId="16FD0FC0" w14:textId="77777777" w:rsidTr="00AB0D6A">
        <w:trPr>
          <w:trHeight w:val="380"/>
        </w:trPr>
        <w:tc>
          <w:tcPr>
            <w:tcW w:w="1207" w:type="pct"/>
            <w:shd w:val="clear" w:color="auto" w:fill="auto"/>
            <w:vAlign w:val="center"/>
          </w:tcPr>
          <w:p w14:paraId="59885F77" w14:textId="75A8CDFC"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5FC32D0C" w14:textId="67F32884"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5DA416E0" w14:textId="4230AAA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c3. Number of children with IEPs aged </w:t>
            </w:r>
            <w:r w:rsidR="00185BA9" w:rsidRPr="00781112">
              <w:rPr>
                <w:rFonts w:cs="Arial"/>
                <w:szCs w:val="16"/>
              </w:rPr>
              <w:t>5 (kindergarten)</w:t>
            </w:r>
            <w:r w:rsidRPr="00781112">
              <w:rPr>
                <w:rFonts w:cs="Arial"/>
                <w:color w:val="000000" w:themeColor="text1"/>
                <w:szCs w:val="16"/>
              </w:rPr>
              <w:t xml:space="preserve"> through 21 in homebound/hospital placements</w:t>
            </w:r>
          </w:p>
        </w:tc>
        <w:tc>
          <w:tcPr>
            <w:tcW w:w="873" w:type="pct"/>
            <w:shd w:val="clear" w:color="auto" w:fill="auto"/>
            <w:vAlign w:val="center"/>
          </w:tcPr>
          <w:p w14:paraId="7B0E7054" w14:textId="49D56445" w:rsidR="008A3DC6" w:rsidRPr="00781112" w:rsidRDefault="002B7490" w:rsidP="00E0321D">
            <w:pPr>
              <w:jc w:val="center"/>
              <w:rPr>
                <w:rFonts w:cs="Arial"/>
                <w:color w:val="000000" w:themeColor="text1"/>
                <w:szCs w:val="16"/>
              </w:rPr>
            </w:pPr>
            <w:r w:rsidRPr="00781112">
              <w:rPr>
                <w:rFonts w:cs="Arial"/>
                <w:color w:val="000000" w:themeColor="text1"/>
                <w:szCs w:val="16"/>
              </w:rPr>
              <w:t>415</w:t>
            </w:r>
          </w:p>
        </w:tc>
      </w:tr>
    </w:tbl>
    <w:p w14:paraId="5475FEBE" w14:textId="3E3663D3" w:rsidR="004A4803" w:rsidRPr="00781112" w:rsidRDefault="004A4803">
      <w:pPr>
        <w:rPr>
          <w:color w:val="000000" w:themeColor="text1"/>
        </w:rPr>
      </w:pPr>
    </w:p>
    <w:p w14:paraId="47A0647A" w14:textId="20BD9700" w:rsidR="00D60B5F" w:rsidRPr="00781112" w:rsidRDefault="00055C7A">
      <w:pPr>
        <w:rPr>
          <w:b/>
          <w:color w:val="000000" w:themeColor="text1"/>
        </w:rPr>
      </w:pPr>
      <w:r w:rsidRPr="00781112">
        <w:rPr>
          <w:b/>
          <w:color w:val="000000" w:themeColor="text1"/>
        </w:rPr>
        <w:t>Select yes if the data reported in this indicator are not the same as the State’s data reported under section 618 of the IDEA.</w:t>
      </w:r>
    </w:p>
    <w:p w14:paraId="7B71CB67" w14:textId="6BBC3C80" w:rsidR="00D60B5F" w:rsidRPr="00781112" w:rsidRDefault="00D60B5F">
      <w:pPr>
        <w:rPr>
          <w:color w:val="000000" w:themeColor="text1"/>
        </w:rPr>
      </w:pPr>
      <w:r w:rsidRPr="00781112">
        <w:rPr>
          <w:color w:val="000000" w:themeColor="text1"/>
        </w:rPr>
        <w:t>NO</w:t>
      </w:r>
    </w:p>
    <w:p w14:paraId="14F4B2C8" w14:textId="77777777" w:rsidR="0037431B" w:rsidRPr="00781112" w:rsidRDefault="0037431B" w:rsidP="004369B2">
      <w:pPr>
        <w:rPr>
          <w:color w:val="000000" w:themeColor="text1"/>
        </w:rPr>
      </w:pPr>
    </w:p>
    <w:p w14:paraId="7EFB6535" w14:textId="182DFD87" w:rsidR="00805DD3" w:rsidRPr="00781112" w:rsidRDefault="0047313F">
      <w:pPr>
        <w:rPr>
          <w:b/>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CFFYAPRDATA1"/>
      </w:tblPr>
      <w:tblGrid>
        <w:gridCol w:w="2245"/>
        <w:gridCol w:w="1395"/>
        <w:gridCol w:w="1397"/>
        <w:gridCol w:w="1151"/>
        <w:gridCol w:w="1151"/>
        <w:gridCol w:w="1151"/>
        <w:gridCol w:w="1150"/>
        <w:gridCol w:w="1150"/>
      </w:tblGrid>
      <w:tr w:rsidR="00740CBC" w:rsidRPr="00781112" w14:paraId="0324DF77" w14:textId="01438934" w:rsidTr="00360DD6">
        <w:trPr>
          <w:trHeight w:val="440"/>
          <w:tblHeader/>
        </w:trPr>
        <w:tc>
          <w:tcPr>
            <w:tcW w:w="1040" w:type="pct"/>
            <w:shd w:val="clear" w:color="auto" w:fill="auto"/>
            <w:vAlign w:val="bottom"/>
          </w:tcPr>
          <w:p w14:paraId="0D668D1B" w14:textId="6BB38C6B" w:rsidR="00740CBC" w:rsidRPr="00781112" w:rsidRDefault="00740CBC" w:rsidP="00740CBC">
            <w:pPr>
              <w:jc w:val="center"/>
              <w:rPr>
                <w:b/>
                <w:color w:val="000000" w:themeColor="text1"/>
              </w:rPr>
            </w:pPr>
            <w:r w:rsidRPr="00781112">
              <w:rPr>
                <w:b/>
                <w:color w:val="000000" w:themeColor="text1"/>
              </w:rPr>
              <w:t>Education Environments</w:t>
            </w:r>
          </w:p>
        </w:tc>
        <w:tc>
          <w:tcPr>
            <w:tcW w:w="646" w:type="pct"/>
            <w:shd w:val="clear" w:color="auto" w:fill="auto"/>
            <w:vAlign w:val="bottom"/>
          </w:tcPr>
          <w:p w14:paraId="323FF92F" w14:textId="6010A4DC" w:rsidR="00740CBC" w:rsidRPr="00781112" w:rsidRDefault="00740CBC" w:rsidP="00740CBC">
            <w:pPr>
              <w:jc w:val="center"/>
              <w:rPr>
                <w:b/>
                <w:color w:val="000000" w:themeColor="text1"/>
              </w:rPr>
            </w:pPr>
            <w:r w:rsidRPr="00781112">
              <w:rPr>
                <w:b/>
                <w:color w:val="000000" w:themeColor="text1"/>
              </w:rPr>
              <w:t xml:space="preserve">Number of children with IEPs aged </w:t>
            </w:r>
            <w:r w:rsidRPr="00781112">
              <w:rPr>
                <w:rFonts w:cs="Arial"/>
                <w:b/>
                <w:bCs/>
                <w:szCs w:val="16"/>
              </w:rPr>
              <w:t>5 (kindergarten)</w:t>
            </w:r>
            <w:r w:rsidRPr="00781112">
              <w:rPr>
                <w:b/>
                <w:color w:val="000000" w:themeColor="text1"/>
              </w:rPr>
              <w:t xml:space="preserve"> through 21 served</w:t>
            </w:r>
          </w:p>
        </w:tc>
        <w:tc>
          <w:tcPr>
            <w:tcW w:w="647" w:type="pct"/>
            <w:shd w:val="clear" w:color="auto" w:fill="auto"/>
            <w:vAlign w:val="bottom"/>
          </w:tcPr>
          <w:p w14:paraId="5B4758A3" w14:textId="799168FB" w:rsidR="00740CBC" w:rsidRPr="00781112" w:rsidRDefault="00740CBC" w:rsidP="00740CBC">
            <w:pPr>
              <w:jc w:val="center"/>
              <w:rPr>
                <w:b/>
                <w:color w:val="000000" w:themeColor="text1"/>
              </w:rPr>
            </w:pPr>
            <w:r w:rsidRPr="00781112">
              <w:rPr>
                <w:b/>
                <w:color w:val="000000" w:themeColor="text1"/>
              </w:rPr>
              <w:t xml:space="preserve">Total number of children with IEPs aged </w:t>
            </w:r>
            <w:r w:rsidRPr="00781112">
              <w:rPr>
                <w:rFonts w:cs="Arial"/>
                <w:b/>
                <w:bCs/>
                <w:szCs w:val="16"/>
              </w:rPr>
              <w:t>5 (kindergarten)</w:t>
            </w:r>
            <w:r w:rsidRPr="00781112">
              <w:rPr>
                <w:b/>
                <w:color w:val="000000" w:themeColor="text1"/>
              </w:rPr>
              <w:t xml:space="preserve"> through 21</w:t>
            </w:r>
          </w:p>
        </w:tc>
        <w:tc>
          <w:tcPr>
            <w:tcW w:w="533" w:type="pct"/>
            <w:shd w:val="clear" w:color="auto" w:fill="auto"/>
            <w:vAlign w:val="bottom"/>
          </w:tcPr>
          <w:p w14:paraId="5B2059E0" w14:textId="3763F484" w:rsidR="00740CBC" w:rsidRPr="00CC1061" w:rsidRDefault="00740CBC" w:rsidP="00740CBC">
            <w:pPr>
              <w:jc w:val="center"/>
              <w:rPr>
                <w:b/>
                <w:bCs/>
                <w:color w:val="000000" w:themeColor="text1"/>
              </w:rPr>
            </w:pPr>
            <w:r w:rsidRPr="00CC1061">
              <w:rPr>
                <w:b/>
                <w:bCs/>
              </w:rPr>
              <w:t>FFY 2022 Data</w:t>
            </w:r>
          </w:p>
        </w:tc>
        <w:tc>
          <w:tcPr>
            <w:tcW w:w="533" w:type="pct"/>
            <w:shd w:val="clear" w:color="auto" w:fill="auto"/>
            <w:vAlign w:val="bottom"/>
          </w:tcPr>
          <w:p w14:paraId="320127EA" w14:textId="10A848F1" w:rsidR="00740CBC" w:rsidRPr="00CC1061" w:rsidRDefault="00740CBC" w:rsidP="00740CBC">
            <w:pPr>
              <w:jc w:val="center"/>
              <w:rPr>
                <w:b/>
                <w:bCs/>
                <w:color w:val="000000" w:themeColor="text1"/>
              </w:rPr>
            </w:pPr>
            <w:r w:rsidRPr="00CC1061">
              <w:rPr>
                <w:b/>
                <w:bCs/>
              </w:rPr>
              <w:t>FFY 2023 Target</w:t>
            </w:r>
          </w:p>
        </w:tc>
        <w:tc>
          <w:tcPr>
            <w:tcW w:w="533" w:type="pct"/>
            <w:shd w:val="clear" w:color="auto" w:fill="auto"/>
            <w:vAlign w:val="bottom"/>
          </w:tcPr>
          <w:p w14:paraId="150C2675" w14:textId="230308FD" w:rsidR="00740CBC" w:rsidRPr="00CC1061" w:rsidRDefault="00740CBC" w:rsidP="00740CBC">
            <w:pPr>
              <w:jc w:val="center"/>
              <w:rPr>
                <w:b/>
                <w:bCs/>
                <w:color w:val="000000" w:themeColor="text1"/>
              </w:rPr>
            </w:pPr>
            <w:r w:rsidRPr="00CC1061">
              <w:rPr>
                <w:b/>
                <w:bCs/>
              </w:rPr>
              <w:t>FFY 2023 Data</w:t>
            </w:r>
          </w:p>
        </w:tc>
        <w:tc>
          <w:tcPr>
            <w:tcW w:w="533" w:type="pct"/>
            <w:shd w:val="clear" w:color="auto" w:fill="auto"/>
            <w:vAlign w:val="bottom"/>
          </w:tcPr>
          <w:p w14:paraId="08F715E4" w14:textId="7BB096AF" w:rsidR="00740CBC" w:rsidRPr="00781112" w:rsidRDefault="00740CBC" w:rsidP="00740CBC">
            <w:pPr>
              <w:jc w:val="center"/>
              <w:rPr>
                <w:b/>
                <w:color w:val="000000" w:themeColor="text1"/>
              </w:rPr>
            </w:pPr>
            <w:r w:rsidRPr="00781112">
              <w:rPr>
                <w:b/>
                <w:color w:val="000000" w:themeColor="text1"/>
              </w:rPr>
              <w:t>Status</w:t>
            </w:r>
          </w:p>
        </w:tc>
        <w:tc>
          <w:tcPr>
            <w:tcW w:w="533" w:type="pct"/>
            <w:shd w:val="clear" w:color="auto" w:fill="auto"/>
            <w:vAlign w:val="bottom"/>
          </w:tcPr>
          <w:p w14:paraId="16F336C8" w14:textId="693FB9B1" w:rsidR="00740CBC" w:rsidRPr="00781112" w:rsidRDefault="00740CBC" w:rsidP="00740CBC">
            <w:pPr>
              <w:jc w:val="center"/>
              <w:rPr>
                <w:b/>
                <w:color w:val="000000" w:themeColor="text1"/>
              </w:rPr>
            </w:pPr>
            <w:r w:rsidRPr="00781112">
              <w:rPr>
                <w:b/>
                <w:color w:val="000000" w:themeColor="text1"/>
              </w:rPr>
              <w:t>Slippage</w:t>
            </w:r>
          </w:p>
        </w:tc>
      </w:tr>
      <w:tr w:rsidR="005C29F8" w:rsidRPr="00781112" w14:paraId="0CF0446C" w14:textId="0B89548D" w:rsidTr="00360DD6">
        <w:trPr>
          <w:trHeight w:val="361"/>
        </w:trPr>
        <w:tc>
          <w:tcPr>
            <w:tcW w:w="1040" w:type="pct"/>
            <w:shd w:val="clear" w:color="auto" w:fill="auto"/>
            <w:vAlign w:val="center"/>
          </w:tcPr>
          <w:p w14:paraId="389D79B9" w14:textId="5A7555F3" w:rsidR="00631963" w:rsidRPr="00781112" w:rsidRDefault="00631963" w:rsidP="00631963">
            <w:pPr>
              <w:rPr>
                <w:rFonts w:cs="Arial"/>
                <w:color w:val="000000" w:themeColor="text1"/>
                <w:szCs w:val="16"/>
              </w:rPr>
            </w:pPr>
            <w:r w:rsidRPr="00781112">
              <w:rPr>
                <w:rFonts w:cs="Arial"/>
                <w:color w:val="000000" w:themeColor="text1"/>
                <w:szCs w:val="16"/>
              </w:rPr>
              <w:t>A.</w:t>
            </w:r>
            <w:r w:rsidRPr="00781112">
              <w:rPr>
                <w:rFonts w:cs="Arial"/>
                <w:color w:val="000000" w:themeColor="text1"/>
                <w:szCs w:val="16"/>
                <w:shd w:val="clear" w:color="auto" w:fill="FFFFFF"/>
              </w:rPr>
              <w:t xml:space="preserve">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80% or more of the day</w:t>
            </w:r>
          </w:p>
        </w:tc>
        <w:tc>
          <w:tcPr>
            <w:tcW w:w="646" w:type="pct"/>
            <w:shd w:val="clear" w:color="auto" w:fill="auto"/>
            <w:vAlign w:val="center"/>
          </w:tcPr>
          <w:p w14:paraId="0C538F78" w14:textId="211A39AD" w:rsidR="00631963" w:rsidRPr="00781112" w:rsidRDefault="002B7490" w:rsidP="00A018D4">
            <w:pPr>
              <w:jc w:val="center"/>
              <w:rPr>
                <w:rFonts w:cs="Arial"/>
                <w:color w:val="000000" w:themeColor="text1"/>
                <w:szCs w:val="16"/>
              </w:rPr>
            </w:pPr>
            <w:r w:rsidRPr="00781112">
              <w:rPr>
                <w:rFonts w:cs="Arial"/>
                <w:color w:val="000000" w:themeColor="text1"/>
                <w:szCs w:val="16"/>
              </w:rPr>
              <w:t>29,533</w:t>
            </w:r>
          </w:p>
        </w:tc>
        <w:tc>
          <w:tcPr>
            <w:tcW w:w="647" w:type="pct"/>
            <w:shd w:val="clear" w:color="auto" w:fill="auto"/>
            <w:vAlign w:val="center"/>
          </w:tcPr>
          <w:p w14:paraId="7CB3B03A" w14:textId="4A5E294F" w:rsidR="00631963" w:rsidRPr="00781112" w:rsidRDefault="002B7490" w:rsidP="00A018D4">
            <w:pPr>
              <w:jc w:val="center"/>
              <w:rPr>
                <w:rFonts w:cs="Arial"/>
                <w:color w:val="000000" w:themeColor="text1"/>
                <w:szCs w:val="16"/>
              </w:rPr>
            </w:pPr>
            <w:r w:rsidRPr="00781112">
              <w:rPr>
                <w:rFonts w:cs="Arial"/>
                <w:color w:val="000000" w:themeColor="text1"/>
                <w:szCs w:val="16"/>
              </w:rPr>
              <w:t>45,991</w:t>
            </w:r>
          </w:p>
        </w:tc>
        <w:tc>
          <w:tcPr>
            <w:tcW w:w="533" w:type="pct"/>
            <w:shd w:val="clear" w:color="auto" w:fill="auto"/>
            <w:vAlign w:val="center"/>
          </w:tcPr>
          <w:p w14:paraId="147CA5C5" w14:textId="139C91CB" w:rsidR="00631963" w:rsidRPr="00781112" w:rsidRDefault="002B7490" w:rsidP="00A018D4">
            <w:pPr>
              <w:jc w:val="center"/>
              <w:rPr>
                <w:rFonts w:cs="Arial"/>
                <w:color w:val="000000" w:themeColor="text1"/>
                <w:szCs w:val="16"/>
              </w:rPr>
            </w:pPr>
            <w:r w:rsidRPr="00781112">
              <w:rPr>
                <w:rFonts w:cs="Arial"/>
                <w:color w:val="000000" w:themeColor="text1"/>
                <w:szCs w:val="16"/>
              </w:rPr>
              <w:t>66.19%</w:t>
            </w:r>
          </w:p>
        </w:tc>
        <w:tc>
          <w:tcPr>
            <w:tcW w:w="533" w:type="pct"/>
            <w:shd w:val="clear" w:color="auto" w:fill="auto"/>
            <w:vAlign w:val="center"/>
          </w:tcPr>
          <w:p w14:paraId="497D8B9F" w14:textId="585C0A39" w:rsidR="00631963" w:rsidRPr="00781112" w:rsidRDefault="002B7490" w:rsidP="00A018D4">
            <w:pPr>
              <w:jc w:val="center"/>
              <w:rPr>
                <w:rFonts w:cs="Arial"/>
                <w:color w:val="000000" w:themeColor="text1"/>
                <w:szCs w:val="16"/>
              </w:rPr>
            </w:pPr>
            <w:r w:rsidRPr="00781112">
              <w:rPr>
                <w:rFonts w:cs="Arial"/>
                <w:color w:val="000000" w:themeColor="text1"/>
                <w:szCs w:val="16"/>
              </w:rPr>
              <w:t>68.61%</w:t>
            </w:r>
          </w:p>
        </w:tc>
        <w:tc>
          <w:tcPr>
            <w:tcW w:w="533" w:type="pct"/>
            <w:shd w:val="clear" w:color="auto" w:fill="auto"/>
            <w:vAlign w:val="center"/>
          </w:tcPr>
          <w:p w14:paraId="4B6AC9A3" w14:textId="0D7F6AEF" w:rsidR="00631963" w:rsidRPr="00781112" w:rsidRDefault="002B7490" w:rsidP="00A018D4">
            <w:pPr>
              <w:jc w:val="center"/>
              <w:rPr>
                <w:rFonts w:cs="Arial"/>
                <w:color w:val="000000" w:themeColor="text1"/>
                <w:szCs w:val="16"/>
              </w:rPr>
            </w:pPr>
            <w:r w:rsidRPr="00781112">
              <w:rPr>
                <w:rFonts w:cs="Arial"/>
                <w:color w:val="000000" w:themeColor="text1"/>
                <w:szCs w:val="16"/>
              </w:rPr>
              <w:t>64.21%</w:t>
            </w:r>
          </w:p>
        </w:tc>
        <w:tc>
          <w:tcPr>
            <w:tcW w:w="533" w:type="pct"/>
            <w:shd w:val="clear" w:color="auto" w:fill="auto"/>
            <w:vAlign w:val="center"/>
          </w:tcPr>
          <w:p w14:paraId="0D12A1DA" w14:textId="6C35FF67" w:rsidR="00631963"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33" w:type="pct"/>
            <w:shd w:val="clear" w:color="auto" w:fill="auto"/>
            <w:vAlign w:val="center"/>
          </w:tcPr>
          <w:p w14:paraId="2E7D658D" w14:textId="6E94158A" w:rsidR="00631963"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0FEF5E26" w14:textId="1BAD9686" w:rsidTr="00360DD6">
        <w:trPr>
          <w:trHeight w:val="361"/>
        </w:trPr>
        <w:tc>
          <w:tcPr>
            <w:tcW w:w="1040" w:type="pct"/>
            <w:shd w:val="clear" w:color="auto" w:fill="auto"/>
            <w:vAlign w:val="center"/>
          </w:tcPr>
          <w:p w14:paraId="787D8C24" w14:textId="626F335A" w:rsidR="00631963" w:rsidRPr="00781112" w:rsidRDefault="00631963" w:rsidP="00631963">
            <w:pPr>
              <w:rPr>
                <w:rFonts w:cs="Arial"/>
                <w:color w:val="000000" w:themeColor="text1"/>
                <w:szCs w:val="16"/>
              </w:rPr>
            </w:pPr>
            <w:r w:rsidRPr="00781112">
              <w:rPr>
                <w:rFonts w:cs="Arial"/>
                <w:color w:val="000000" w:themeColor="text1"/>
                <w:szCs w:val="16"/>
                <w:shd w:val="clear" w:color="auto" w:fill="FFFFFF"/>
              </w:rPr>
              <w:t xml:space="preserve">B.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less than 40% of the day</w:t>
            </w:r>
          </w:p>
        </w:tc>
        <w:tc>
          <w:tcPr>
            <w:tcW w:w="646" w:type="pct"/>
            <w:shd w:val="clear" w:color="auto" w:fill="auto"/>
            <w:vAlign w:val="center"/>
          </w:tcPr>
          <w:p w14:paraId="03764807" w14:textId="322EE6A5" w:rsidR="00631963" w:rsidRPr="00781112" w:rsidRDefault="002B7490" w:rsidP="00A018D4">
            <w:pPr>
              <w:jc w:val="center"/>
              <w:rPr>
                <w:rFonts w:cs="Arial"/>
                <w:color w:val="000000" w:themeColor="text1"/>
                <w:szCs w:val="16"/>
              </w:rPr>
            </w:pPr>
            <w:r w:rsidRPr="00781112">
              <w:rPr>
                <w:rFonts w:cs="Arial"/>
                <w:color w:val="000000" w:themeColor="text1"/>
                <w:szCs w:val="16"/>
              </w:rPr>
              <w:t>3,139</w:t>
            </w:r>
          </w:p>
        </w:tc>
        <w:tc>
          <w:tcPr>
            <w:tcW w:w="647" w:type="pct"/>
            <w:shd w:val="clear" w:color="auto" w:fill="auto"/>
            <w:vAlign w:val="center"/>
          </w:tcPr>
          <w:p w14:paraId="6BB5ED43" w14:textId="72BAFF29" w:rsidR="00631963" w:rsidRPr="00781112" w:rsidRDefault="002B7490" w:rsidP="00A018D4">
            <w:pPr>
              <w:jc w:val="center"/>
              <w:rPr>
                <w:rFonts w:cs="Arial"/>
                <w:color w:val="000000" w:themeColor="text1"/>
                <w:szCs w:val="16"/>
              </w:rPr>
            </w:pPr>
            <w:r w:rsidRPr="00781112">
              <w:rPr>
                <w:rFonts w:cs="Arial"/>
                <w:color w:val="000000" w:themeColor="text1"/>
                <w:szCs w:val="16"/>
              </w:rPr>
              <w:t>45,991</w:t>
            </w:r>
          </w:p>
        </w:tc>
        <w:tc>
          <w:tcPr>
            <w:tcW w:w="533" w:type="pct"/>
            <w:shd w:val="clear" w:color="auto" w:fill="auto"/>
            <w:vAlign w:val="center"/>
          </w:tcPr>
          <w:p w14:paraId="3D5C1070" w14:textId="57DABC44" w:rsidR="00631963" w:rsidRPr="00781112" w:rsidRDefault="002B7490" w:rsidP="00A018D4">
            <w:pPr>
              <w:jc w:val="center"/>
              <w:rPr>
                <w:rFonts w:cs="Arial"/>
                <w:color w:val="000000" w:themeColor="text1"/>
                <w:szCs w:val="16"/>
              </w:rPr>
            </w:pPr>
            <w:r w:rsidRPr="00781112">
              <w:rPr>
                <w:rFonts w:cs="Arial"/>
                <w:color w:val="000000" w:themeColor="text1"/>
                <w:szCs w:val="16"/>
              </w:rPr>
              <w:t>10.45%</w:t>
            </w:r>
          </w:p>
        </w:tc>
        <w:tc>
          <w:tcPr>
            <w:tcW w:w="533" w:type="pct"/>
            <w:shd w:val="clear" w:color="auto" w:fill="auto"/>
            <w:vAlign w:val="center"/>
          </w:tcPr>
          <w:p w14:paraId="02F3CF00" w14:textId="6A81B00C" w:rsidR="00631963" w:rsidRPr="00781112" w:rsidRDefault="002B7490" w:rsidP="00A018D4">
            <w:pPr>
              <w:jc w:val="center"/>
              <w:rPr>
                <w:rFonts w:cs="Arial"/>
                <w:color w:val="000000" w:themeColor="text1"/>
                <w:szCs w:val="16"/>
              </w:rPr>
            </w:pPr>
            <w:r w:rsidRPr="00781112">
              <w:rPr>
                <w:rFonts w:cs="Arial"/>
                <w:color w:val="000000" w:themeColor="text1"/>
                <w:szCs w:val="16"/>
              </w:rPr>
              <w:t>6.10%</w:t>
            </w:r>
          </w:p>
        </w:tc>
        <w:tc>
          <w:tcPr>
            <w:tcW w:w="533" w:type="pct"/>
            <w:shd w:val="clear" w:color="auto" w:fill="auto"/>
            <w:vAlign w:val="center"/>
          </w:tcPr>
          <w:p w14:paraId="07434586" w14:textId="19522680" w:rsidR="00631963" w:rsidRPr="00781112" w:rsidRDefault="002B7490" w:rsidP="00A018D4">
            <w:pPr>
              <w:jc w:val="center"/>
              <w:rPr>
                <w:rFonts w:cs="Arial"/>
                <w:color w:val="000000" w:themeColor="text1"/>
                <w:szCs w:val="16"/>
              </w:rPr>
            </w:pPr>
            <w:r w:rsidRPr="00781112">
              <w:rPr>
                <w:rFonts w:cs="Arial"/>
                <w:color w:val="000000" w:themeColor="text1"/>
                <w:szCs w:val="16"/>
              </w:rPr>
              <w:t>6.83%</w:t>
            </w:r>
          </w:p>
        </w:tc>
        <w:tc>
          <w:tcPr>
            <w:tcW w:w="533" w:type="pct"/>
            <w:shd w:val="clear" w:color="auto" w:fill="auto"/>
            <w:vAlign w:val="center"/>
          </w:tcPr>
          <w:p w14:paraId="59BFCAE8" w14:textId="7F9BACFA" w:rsidR="00631963"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33" w:type="pct"/>
            <w:shd w:val="clear" w:color="auto" w:fill="auto"/>
            <w:vAlign w:val="center"/>
          </w:tcPr>
          <w:p w14:paraId="6D7448AA" w14:textId="1247E0AB"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18A60D9F" w14:textId="211489DF" w:rsidTr="00360DD6">
        <w:trPr>
          <w:trHeight w:val="361"/>
        </w:trPr>
        <w:tc>
          <w:tcPr>
            <w:tcW w:w="1040" w:type="pct"/>
            <w:shd w:val="clear" w:color="auto" w:fill="auto"/>
            <w:vAlign w:val="center"/>
          </w:tcPr>
          <w:p w14:paraId="0B4BA19D" w14:textId="5F11E8FF" w:rsidR="00631963" w:rsidRPr="00781112" w:rsidRDefault="00631963" w:rsidP="00631963">
            <w:pPr>
              <w:pStyle w:val="Explanation"/>
              <w:rPr>
                <w:rFonts w:cs="Arial"/>
                <w:color w:val="000000" w:themeColor="text1"/>
                <w:szCs w:val="16"/>
              </w:rPr>
            </w:pPr>
            <w:r w:rsidRPr="00781112">
              <w:rPr>
                <w:rFonts w:cs="Arial"/>
                <w:i w:val="0"/>
                <w:color w:val="000000" w:themeColor="text1"/>
                <w:szCs w:val="16"/>
                <w:shd w:val="clear" w:color="auto" w:fill="FFFFFF"/>
              </w:rPr>
              <w:t xml:space="preserve">C. Number of children with IEPs aged 5 (kindergarten) through 21 inside separate schools, residential facilities, or homebound/hospital placements </w:t>
            </w:r>
            <w:r w:rsidR="00163FA7" w:rsidRPr="00781112">
              <w:rPr>
                <w:rFonts w:cs="Arial"/>
                <w:color w:val="000000" w:themeColor="text1"/>
                <w:szCs w:val="16"/>
              </w:rPr>
              <w:t>[</w:t>
            </w:r>
            <w:r w:rsidRPr="00781112">
              <w:rPr>
                <w:rFonts w:cs="Arial"/>
                <w:color w:val="000000" w:themeColor="text1"/>
                <w:szCs w:val="16"/>
              </w:rPr>
              <w:t>c1+c2+c3</w:t>
            </w:r>
            <w:r w:rsidR="00163FA7" w:rsidRPr="00781112">
              <w:rPr>
                <w:rFonts w:cs="Arial"/>
                <w:color w:val="000000" w:themeColor="text1"/>
                <w:szCs w:val="16"/>
              </w:rPr>
              <w:t>]</w:t>
            </w:r>
          </w:p>
        </w:tc>
        <w:tc>
          <w:tcPr>
            <w:tcW w:w="646" w:type="pct"/>
            <w:shd w:val="clear" w:color="auto" w:fill="auto"/>
            <w:vAlign w:val="center"/>
          </w:tcPr>
          <w:p w14:paraId="6F83B928" w14:textId="3C12179B" w:rsidR="00631963" w:rsidRPr="00781112" w:rsidRDefault="002B7490" w:rsidP="00A018D4">
            <w:pPr>
              <w:jc w:val="center"/>
              <w:rPr>
                <w:rFonts w:cs="Arial"/>
                <w:color w:val="000000" w:themeColor="text1"/>
                <w:szCs w:val="16"/>
              </w:rPr>
            </w:pPr>
            <w:r w:rsidRPr="00781112">
              <w:rPr>
                <w:rFonts w:cs="Arial"/>
                <w:color w:val="000000" w:themeColor="text1"/>
                <w:szCs w:val="16"/>
              </w:rPr>
              <w:t>584</w:t>
            </w:r>
          </w:p>
        </w:tc>
        <w:tc>
          <w:tcPr>
            <w:tcW w:w="647" w:type="pct"/>
            <w:shd w:val="clear" w:color="auto" w:fill="auto"/>
            <w:vAlign w:val="center"/>
          </w:tcPr>
          <w:p w14:paraId="2B632B6B" w14:textId="0ADBABA1" w:rsidR="00631963" w:rsidRPr="00781112" w:rsidRDefault="002B7490" w:rsidP="00A018D4">
            <w:pPr>
              <w:jc w:val="center"/>
              <w:rPr>
                <w:rFonts w:cs="Arial"/>
                <w:color w:val="000000" w:themeColor="text1"/>
                <w:szCs w:val="16"/>
              </w:rPr>
            </w:pPr>
            <w:r w:rsidRPr="00781112">
              <w:rPr>
                <w:rFonts w:cs="Arial"/>
                <w:color w:val="000000" w:themeColor="text1"/>
                <w:szCs w:val="16"/>
              </w:rPr>
              <w:t>45,991</w:t>
            </w:r>
          </w:p>
        </w:tc>
        <w:tc>
          <w:tcPr>
            <w:tcW w:w="533" w:type="pct"/>
            <w:shd w:val="clear" w:color="auto" w:fill="auto"/>
            <w:vAlign w:val="center"/>
          </w:tcPr>
          <w:p w14:paraId="16857354" w14:textId="17E80039" w:rsidR="00631963" w:rsidRPr="00781112" w:rsidRDefault="002B7490" w:rsidP="00A018D4">
            <w:pPr>
              <w:jc w:val="center"/>
              <w:rPr>
                <w:rFonts w:cs="Arial"/>
                <w:color w:val="000000" w:themeColor="text1"/>
                <w:szCs w:val="16"/>
              </w:rPr>
            </w:pPr>
            <w:r w:rsidRPr="00781112">
              <w:rPr>
                <w:rFonts w:cs="Arial"/>
                <w:color w:val="000000" w:themeColor="text1"/>
                <w:szCs w:val="16"/>
              </w:rPr>
              <w:t>0.94%</w:t>
            </w:r>
          </w:p>
        </w:tc>
        <w:tc>
          <w:tcPr>
            <w:tcW w:w="533" w:type="pct"/>
            <w:shd w:val="clear" w:color="auto" w:fill="auto"/>
            <w:vAlign w:val="center"/>
          </w:tcPr>
          <w:p w14:paraId="10D1478E" w14:textId="0F36466F" w:rsidR="00631963" w:rsidRPr="00781112" w:rsidRDefault="002B7490" w:rsidP="00A018D4">
            <w:pPr>
              <w:jc w:val="center"/>
              <w:rPr>
                <w:rFonts w:cs="Arial"/>
                <w:color w:val="000000" w:themeColor="text1"/>
                <w:szCs w:val="16"/>
              </w:rPr>
            </w:pPr>
            <w:r w:rsidRPr="00781112">
              <w:rPr>
                <w:rFonts w:cs="Arial"/>
                <w:color w:val="000000" w:themeColor="text1"/>
                <w:szCs w:val="16"/>
              </w:rPr>
              <w:t>1.40%</w:t>
            </w:r>
          </w:p>
        </w:tc>
        <w:tc>
          <w:tcPr>
            <w:tcW w:w="533" w:type="pct"/>
            <w:shd w:val="clear" w:color="auto" w:fill="auto"/>
            <w:vAlign w:val="center"/>
          </w:tcPr>
          <w:p w14:paraId="2E9E2BFC" w14:textId="26FEF90C" w:rsidR="00631963" w:rsidRPr="00781112" w:rsidRDefault="002B7490" w:rsidP="00A018D4">
            <w:pPr>
              <w:jc w:val="center"/>
              <w:rPr>
                <w:rFonts w:cs="Arial"/>
                <w:color w:val="000000" w:themeColor="text1"/>
                <w:szCs w:val="16"/>
              </w:rPr>
            </w:pPr>
            <w:r w:rsidRPr="00781112">
              <w:rPr>
                <w:rFonts w:cs="Arial"/>
                <w:color w:val="000000" w:themeColor="text1"/>
                <w:szCs w:val="16"/>
              </w:rPr>
              <w:t>1.27%</w:t>
            </w:r>
          </w:p>
        </w:tc>
        <w:tc>
          <w:tcPr>
            <w:tcW w:w="533" w:type="pct"/>
            <w:shd w:val="clear" w:color="auto" w:fill="auto"/>
            <w:vAlign w:val="center"/>
          </w:tcPr>
          <w:p w14:paraId="5321D014" w14:textId="1EA51894"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2BFA05A8" w14:textId="3EACA9B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tbl>
      <w:tblPr>
        <w:tblStyle w:val="TableGrid"/>
        <w:tblW w:w="10795" w:type="dxa"/>
        <w:shd w:val="clear" w:color="auto" w:fill="FBD4B4" w:themeFill="accent6" w:themeFillTint="66"/>
        <w:tblLook w:val="04A0" w:firstRow="1" w:lastRow="0" w:firstColumn="1" w:lastColumn="0" w:noHBand="0" w:noVBand="1"/>
        <w:tblCaption w:val="B05CFFYAPRDATA1"/>
      </w:tblPr>
      <w:tblGrid>
        <w:gridCol w:w="715"/>
        <w:gridCol w:w="10080"/>
      </w:tblGrid>
      <w:tr w:rsidR="005C29F8" w:rsidRPr="00781112" w14:paraId="3FDCF912" w14:textId="77777777" w:rsidTr="0033429D">
        <w:trPr>
          <w:tblHeader/>
        </w:trPr>
        <w:tc>
          <w:tcPr>
            <w:tcW w:w="715" w:type="dxa"/>
          </w:tcPr>
          <w:p w14:paraId="383E6F3C" w14:textId="77777777" w:rsidR="009569B8" w:rsidRPr="00781112" w:rsidRDefault="009569B8" w:rsidP="004369B2">
            <w:pPr>
              <w:jc w:val="center"/>
              <w:rPr>
                <w:color w:val="000000" w:themeColor="text1"/>
              </w:rPr>
            </w:pPr>
            <w:r w:rsidRPr="00781112">
              <w:rPr>
                <w:b/>
                <w:color w:val="000000" w:themeColor="text1"/>
              </w:rPr>
              <w:t>Part</w:t>
            </w:r>
          </w:p>
        </w:tc>
        <w:tc>
          <w:tcPr>
            <w:tcW w:w="10080" w:type="dxa"/>
            <w:shd w:val="clear" w:color="auto" w:fill="auto"/>
          </w:tcPr>
          <w:p w14:paraId="4E3E1CA0" w14:textId="77777777" w:rsidR="009569B8" w:rsidRPr="00781112" w:rsidRDefault="009569B8" w:rsidP="004369B2">
            <w:pPr>
              <w:jc w:val="center"/>
              <w:rPr>
                <w:color w:val="000000" w:themeColor="text1"/>
              </w:rPr>
            </w:pPr>
            <w:r w:rsidRPr="00781112">
              <w:rPr>
                <w:b/>
                <w:color w:val="000000" w:themeColor="text1"/>
              </w:rPr>
              <w:t>Reasons for slippage, if applicable</w:t>
            </w:r>
          </w:p>
        </w:tc>
      </w:tr>
      <w:tr w:rsidR="005C29F8" w:rsidRPr="00781112" w14:paraId="1A9F60C6" w14:textId="77777777" w:rsidTr="00E21107">
        <w:tc>
          <w:tcPr>
            <w:tcW w:w="715" w:type="dxa"/>
            <w:vAlign w:val="center"/>
          </w:tcPr>
          <w:p w14:paraId="1B4C044E" w14:textId="77777777" w:rsidR="009569B8" w:rsidRPr="00781112" w:rsidRDefault="009569B8" w:rsidP="004369B2">
            <w:pPr>
              <w:jc w:val="center"/>
              <w:rPr>
                <w:b/>
                <w:color w:val="000000" w:themeColor="text1"/>
              </w:rPr>
            </w:pPr>
            <w:r w:rsidRPr="00781112">
              <w:rPr>
                <w:b/>
                <w:color w:val="000000" w:themeColor="text1"/>
              </w:rPr>
              <w:t>A</w:t>
            </w:r>
          </w:p>
        </w:tc>
        <w:tc>
          <w:tcPr>
            <w:tcW w:w="10080" w:type="dxa"/>
            <w:shd w:val="clear" w:color="auto" w:fill="auto"/>
          </w:tcPr>
          <w:p w14:paraId="4E4DD2DE" w14:textId="752834A8" w:rsidR="009569B8" w:rsidRPr="00781112" w:rsidRDefault="003D7F56" w:rsidP="004369B2">
            <w:pPr>
              <w:rPr>
                <w:color w:val="000000" w:themeColor="text1"/>
              </w:rPr>
            </w:pPr>
            <w:r w:rsidRPr="00781112">
              <w:rPr>
                <w:color w:val="000000" w:themeColor="text1"/>
              </w:rPr>
              <w:t xml:space="preserve">The total number of students with disabilities (SWD) increased by 5.95% from 43,416 in FFY 2022 to 45,991 in FFY 2023, an increase of 2,575 students. This overall increase in the population of SWDs likely posed challenges in maintaining or improving the inclusion rates </w:t>
            </w:r>
            <w:r w:rsidRPr="00781112">
              <w:rPr>
                <w:color w:val="000000" w:themeColor="text1"/>
              </w:rPr>
              <w:lastRenderedPageBreak/>
              <w:t xml:space="preserve">within regular classrooms. </w:t>
            </w:r>
            <w:r w:rsidRPr="00781112">
              <w:rPr>
                <w:color w:val="000000" w:themeColor="text1"/>
              </w:rPr>
              <w:br/>
            </w:r>
            <w:r w:rsidRPr="00781112">
              <w:rPr>
                <w:color w:val="000000" w:themeColor="text1"/>
              </w:rPr>
              <w:br/>
              <w:t xml:space="preserve">Additionally, there was a significant shift in placement categories. The number of SWDs spending less than 40% of their day in regular classrooms decreased by 30.78% (from 4,525 to 3,139), while those spending between 40% and 79% of their day in regular classrooms increased by 32.39% (from 9,235 to 12,226). </w:t>
            </w:r>
          </w:p>
        </w:tc>
      </w:tr>
    </w:tbl>
    <w:p w14:paraId="073B208C" w14:textId="4B79EDF3" w:rsidR="006C575D" w:rsidRPr="00781112" w:rsidRDefault="006C575D" w:rsidP="004369B2">
      <w:pPr>
        <w:rPr>
          <w:b/>
          <w:color w:val="000000" w:themeColor="text1"/>
        </w:rPr>
      </w:pPr>
      <w:r w:rsidRPr="00781112">
        <w:rPr>
          <w:b/>
          <w:color w:val="000000" w:themeColor="text1"/>
        </w:rPr>
        <w:lastRenderedPageBreak/>
        <w:t>Provide additional information about this indicator (optional)</w:t>
      </w:r>
    </w:p>
    <w:p w14:paraId="2F810D98" w14:textId="08328771" w:rsidR="003C308E" w:rsidRPr="00781112" w:rsidRDefault="002B7490" w:rsidP="007D435F">
      <w:pPr>
        <w:rPr>
          <w:rFonts w:cs="Arial"/>
          <w:color w:val="000000" w:themeColor="text1"/>
          <w:szCs w:val="16"/>
        </w:rPr>
      </w:pPr>
      <w:r w:rsidRPr="00781112">
        <w:rPr>
          <w:rFonts w:cs="Arial"/>
          <w:color w:val="000000" w:themeColor="text1"/>
          <w:szCs w:val="16"/>
        </w:rPr>
        <w:t>While the percentage of students in the most inclusive setting did decrease (i.e., inside the regular class 80% or more of the day), these data suggest a positive trend towards more inclusive education settings. The significant decrease in the number of SWDs spending less than 40% of their day in regular classrooms, coupled with the increase in those spending between 40% and 79% of their day in such settings, indicates a successful shift towards more inclusive practices.</w:t>
      </w:r>
    </w:p>
    <w:p w14:paraId="0B7E5CD7" w14:textId="77777777" w:rsidR="004A4803" w:rsidRPr="00781112" w:rsidRDefault="004A4803" w:rsidP="004369B2">
      <w:pPr>
        <w:rPr>
          <w:color w:val="000000" w:themeColor="text1"/>
        </w:rPr>
      </w:pPr>
    </w:p>
    <w:p w14:paraId="68DA7415" w14:textId="0FE711BA" w:rsidR="000A2C83" w:rsidRPr="00781112" w:rsidRDefault="007B5383" w:rsidP="008645AD">
      <w:pPr>
        <w:pStyle w:val="Heading2"/>
      </w:pPr>
      <w:r w:rsidRPr="00781112">
        <w:t>5</w:t>
      </w:r>
      <w:r w:rsidR="002203FA" w:rsidRPr="00781112">
        <w:t xml:space="preserve"> </w:t>
      </w:r>
      <w:r w:rsidRPr="00781112">
        <w:t xml:space="preserve">- </w:t>
      </w:r>
      <w:r w:rsidR="000A2C83" w:rsidRPr="00781112">
        <w:t>Prior FFY Required Actions</w:t>
      </w:r>
    </w:p>
    <w:p w14:paraId="2C73DADD" w14:textId="6039179B" w:rsidR="00163FA7" w:rsidRPr="00781112" w:rsidRDefault="002B7490" w:rsidP="000A2C83">
      <w:pPr>
        <w:rPr>
          <w:rFonts w:cs="Arial"/>
          <w:color w:val="000000" w:themeColor="text1"/>
          <w:szCs w:val="16"/>
        </w:rPr>
      </w:pPr>
      <w:r w:rsidRPr="00781112">
        <w:rPr>
          <w:rFonts w:cs="Arial"/>
          <w:color w:val="000000" w:themeColor="text1"/>
          <w:szCs w:val="16"/>
        </w:rPr>
        <w:t>None</w:t>
      </w:r>
    </w:p>
    <w:p w14:paraId="30448C87" w14:textId="2E9FCBE3" w:rsidR="006C575D" w:rsidRPr="00781112" w:rsidRDefault="007B5383" w:rsidP="008645AD">
      <w:pPr>
        <w:pStyle w:val="Heading2"/>
      </w:pPr>
      <w:r w:rsidRPr="00781112">
        <w:t>5 - OSEP Response</w:t>
      </w:r>
    </w:p>
    <w:p w14:paraId="63E8B575" w14:textId="0FE467D2" w:rsidR="003C308E" w:rsidRPr="00781112" w:rsidRDefault="003C308E" w:rsidP="001F692C">
      <w:pPr>
        <w:rPr>
          <w:rFonts w:cs="Arial"/>
          <w:color w:val="000000" w:themeColor="text1"/>
          <w:szCs w:val="16"/>
        </w:rPr>
      </w:pPr>
    </w:p>
    <w:p w14:paraId="66CCD9C9" w14:textId="435D8999" w:rsidR="006C575D" w:rsidRPr="00781112" w:rsidRDefault="007B5383" w:rsidP="008645AD">
      <w:pPr>
        <w:pStyle w:val="Heading2"/>
      </w:pPr>
      <w:r w:rsidRPr="00781112">
        <w:t>5 - Required Actions</w:t>
      </w:r>
    </w:p>
    <w:p w14:paraId="140EB887" w14:textId="21164854" w:rsidR="003C308E" w:rsidRPr="00781112" w:rsidRDefault="003C308E" w:rsidP="001F692C">
      <w:pPr>
        <w:rPr>
          <w:rFonts w:cs="Arial"/>
          <w:color w:val="000000" w:themeColor="text1"/>
          <w:szCs w:val="16"/>
        </w:rPr>
      </w:pPr>
    </w:p>
    <w:p w14:paraId="0AFF9CFF"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5527AAE" w14:textId="1CCE2F0D" w:rsidR="00D21EAA" w:rsidRPr="00781112" w:rsidRDefault="00D21EAA" w:rsidP="000444E2">
      <w:pPr>
        <w:pStyle w:val="Heading1"/>
        <w:rPr>
          <w:color w:val="000000" w:themeColor="text1"/>
          <w:sz w:val="22"/>
        </w:rPr>
      </w:pPr>
      <w:r w:rsidRPr="00781112">
        <w:rPr>
          <w:color w:val="000000" w:themeColor="text1"/>
          <w:sz w:val="22"/>
        </w:rPr>
        <w:lastRenderedPageBreak/>
        <w:t>Indicator 6: Preschool Environments</w:t>
      </w:r>
    </w:p>
    <w:p w14:paraId="0EEB38B7" w14:textId="349AFE17" w:rsidR="00897094" w:rsidRPr="002C274F" w:rsidRDefault="00897094" w:rsidP="002C274F">
      <w:pPr>
        <w:rPr>
          <w:b/>
          <w:bCs/>
          <w:sz w:val="20"/>
          <w:szCs w:val="20"/>
        </w:rPr>
      </w:pPr>
      <w:bookmarkStart w:id="35" w:name="_Toc392159299"/>
      <w:r w:rsidRPr="002C274F">
        <w:rPr>
          <w:b/>
          <w:bCs/>
          <w:sz w:val="20"/>
          <w:szCs w:val="20"/>
        </w:rPr>
        <w:t>Instructions and Measurement</w:t>
      </w:r>
    </w:p>
    <w:p w14:paraId="38394246" w14:textId="27FF79AA" w:rsidR="00CC634E" w:rsidRPr="00781112" w:rsidRDefault="00CC634E" w:rsidP="004369B2">
      <w:pPr>
        <w:rPr>
          <w:color w:val="000000" w:themeColor="text1"/>
        </w:rPr>
      </w:pPr>
      <w:r w:rsidRPr="00781112">
        <w:rPr>
          <w:b/>
          <w:color w:val="000000" w:themeColor="text1"/>
        </w:rPr>
        <w:t xml:space="preserve">Monitoring Priority: </w:t>
      </w:r>
      <w:r w:rsidRPr="00781112">
        <w:rPr>
          <w:color w:val="000000" w:themeColor="text1"/>
        </w:rPr>
        <w:t>FAPE in the LRE</w:t>
      </w:r>
    </w:p>
    <w:p w14:paraId="07B041D6" w14:textId="3EA0507C"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w:t>
      </w:r>
      <w:r w:rsidR="00BE028C" w:rsidRPr="00781112">
        <w:rPr>
          <w:rFonts w:cs="Arial"/>
          <w:color w:val="000000" w:themeColor="text1"/>
          <w:szCs w:val="16"/>
        </w:rPr>
        <w:t xml:space="preserve"> </w:t>
      </w:r>
      <w:r w:rsidRPr="00781112">
        <w:rPr>
          <w:rFonts w:cs="Arial"/>
          <w:color w:val="000000" w:themeColor="text1"/>
          <w:szCs w:val="16"/>
        </w:rPr>
        <w:t xml:space="preserve">with IEPs </w:t>
      </w:r>
      <w:r w:rsidR="000B1A1B" w:rsidRPr="00781112">
        <w:rPr>
          <w:rFonts w:cs="Arial"/>
          <w:color w:val="000000" w:themeColor="text1"/>
          <w:szCs w:val="16"/>
        </w:rPr>
        <w:t xml:space="preserve">aged 3, 4, and aged 5 who are enrolled in a preschool program </w:t>
      </w:r>
      <w:r w:rsidRPr="00781112">
        <w:rPr>
          <w:rFonts w:cs="Arial"/>
          <w:color w:val="000000" w:themeColor="text1"/>
          <w:szCs w:val="16"/>
        </w:rPr>
        <w:t>attending a:</w:t>
      </w:r>
    </w:p>
    <w:p w14:paraId="0FDA7062" w14:textId="4CA83104" w:rsidR="00CC634E" w:rsidRPr="00781112" w:rsidRDefault="005F3399" w:rsidP="006A01BD">
      <w:pPr>
        <w:ind w:left="720"/>
        <w:rPr>
          <w:rFonts w:cs="Arial"/>
          <w:color w:val="000000" w:themeColor="text1"/>
          <w:szCs w:val="16"/>
        </w:rPr>
      </w:pPr>
      <w:r w:rsidRPr="00781112">
        <w:rPr>
          <w:rFonts w:cs="Arial"/>
          <w:color w:val="000000" w:themeColor="text1"/>
          <w:szCs w:val="16"/>
        </w:rPr>
        <w:t>A. Regular early childhood program and receiving the majority of special education and related services in the regular early childhood program; and</w:t>
      </w:r>
    </w:p>
    <w:p w14:paraId="4A161793" w14:textId="5A062A32" w:rsidR="00CC634E" w:rsidRPr="00781112" w:rsidRDefault="005F3399" w:rsidP="006A01BD">
      <w:pPr>
        <w:ind w:firstLine="720"/>
        <w:rPr>
          <w:rFonts w:cs="Arial"/>
          <w:color w:val="000000" w:themeColor="text1"/>
          <w:szCs w:val="16"/>
        </w:rPr>
      </w:pPr>
      <w:r w:rsidRPr="00781112">
        <w:rPr>
          <w:rFonts w:cs="Arial"/>
          <w:color w:val="000000" w:themeColor="text1"/>
          <w:szCs w:val="16"/>
        </w:rPr>
        <w:t>B. Separate special education class, separate school, or residential facility.</w:t>
      </w:r>
    </w:p>
    <w:p w14:paraId="797114DB" w14:textId="5A0252FB" w:rsidR="003608F9" w:rsidRPr="00781112" w:rsidRDefault="003608F9" w:rsidP="00360DD6">
      <w:pPr>
        <w:ind w:left="360"/>
        <w:rPr>
          <w:rFonts w:cs="Arial"/>
          <w:szCs w:val="16"/>
        </w:rPr>
      </w:pPr>
      <w:r w:rsidRPr="00781112">
        <w:rPr>
          <w:rFonts w:cs="Arial"/>
          <w:color w:val="000000" w:themeColor="text1"/>
          <w:szCs w:val="16"/>
        </w:rPr>
        <w:tab/>
        <w:t xml:space="preserve">C. </w:t>
      </w:r>
      <w:r w:rsidRPr="00781112">
        <w:rPr>
          <w:rFonts w:cs="Arial"/>
          <w:szCs w:val="16"/>
        </w:rPr>
        <w:t>Receiving special education and related services in the home.</w:t>
      </w:r>
    </w:p>
    <w:p w14:paraId="1AC955CF" w14:textId="38EDB6BF"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7FA9AD7" w14:textId="77777777" w:rsidR="005322B8" w:rsidRPr="00781112" w:rsidRDefault="005322B8" w:rsidP="004369B2">
      <w:pPr>
        <w:rPr>
          <w:color w:val="000000" w:themeColor="text1"/>
        </w:rPr>
      </w:pPr>
      <w:r w:rsidRPr="00781112">
        <w:rPr>
          <w:b/>
          <w:color w:val="000000" w:themeColor="text1"/>
        </w:rPr>
        <w:t>Data Source</w:t>
      </w:r>
    </w:p>
    <w:p w14:paraId="7412FE19" w14:textId="736BCFC9" w:rsidR="005322B8" w:rsidRPr="00781112" w:rsidRDefault="005322B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ame data as used for reporting to the Department under section 618 of the IDEA, using the definitions in ED</w:t>
      </w:r>
      <w:r w:rsidRPr="00BA3DBE">
        <w:rPr>
          <w:rFonts w:cs="Arial"/>
          <w:i/>
          <w:iCs/>
          <w:color w:val="000000" w:themeColor="text1"/>
          <w:szCs w:val="16"/>
          <w:shd w:val="clear" w:color="auto" w:fill="FFFFFF"/>
        </w:rPr>
        <w:t>Facts</w:t>
      </w:r>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089.</w:t>
      </w:r>
    </w:p>
    <w:p w14:paraId="17AAF6AD" w14:textId="77777777" w:rsidR="005322B8" w:rsidRPr="00781112" w:rsidRDefault="005322B8" w:rsidP="004369B2">
      <w:pPr>
        <w:rPr>
          <w:color w:val="000000" w:themeColor="text1"/>
        </w:rPr>
      </w:pPr>
      <w:r w:rsidRPr="00781112">
        <w:rPr>
          <w:b/>
          <w:color w:val="000000" w:themeColor="text1"/>
        </w:rPr>
        <w:t>Measurement</w:t>
      </w:r>
    </w:p>
    <w:p w14:paraId="14C60C6A" w14:textId="3C4928BE" w:rsidR="005322B8" w:rsidRPr="00781112" w:rsidRDefault="00724BCB" w:rsidP="00286BDF">
      <w:pPr>
        <w:rPr>
          <w:rFonts w:cs="Arial"/>
          <w:color w:val="000000" w:themeColor="text1"/>
          <w:szCs w:val="16"/>
        </w:rPr>
      </w:pPr>
      <w:r w:rsidRPr="00781112">
        <w:rPr>
          <w:rFonts w:cs="Arial"/>
          <w:color w:val="000000" w:themeColor="text1"/>
          <w:szCs w:val="16"/>
        </w:rPr>
        <w:tab/>
        <w:t>A. Percent</w:t>
      </w:r>
      <w:r w:rsidR="005322B8" w:rsidRPr="00781112">
        <w:rPr>
          <w:rFonts w:cs="Arial"/>
          <w:color w:val="000000" w:themeColor="text1"/>
          <w:szCs w:val="16"/>
          <w:shd w:val="clear" w:color="auto" w:fill="FFFFFF"/>
        </w:rPr>
        <w:t xml:space="preserve"> = </w:t>
      </w:r>
      <w:r w:rsidR="00B2497F" w:rsidRPr="00781112">
        <w:rPr>
          <w:rFonts w:cs="Arial"/>
          <w:color w:val="000000" w:themeColor="text1"/>
          <w:szCs w:val="16"/>
          <w:shd w:val="clear" w:color="auto" w:fill="FFFFFF"/>
        </w:rPr>
        <w:t xml:space="preserve">[(# </w:t>
      </w:r>
      <w:r w:rsidR="005322B8" w:rsidRPr="00781112">
        <w:rPr>
          <w:rFonts w:cs="Arial"/>
          <w:color w:val="000000" w:themeColor="text1"/>
          <w:szCs w:val="16"/>
          <w:shd w:val="clear" w:color="auto" w:fill="FFFFFF"/>
        </w:rPr>
        <w:t>of children age</w:t>
      </w:r>
      <w:r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regular early childhood program and receiving the majority of special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education and related services in the regular early childhood program) divided by the (total # of children age</w:t>
      </w:r>
      <w:r w:rsidR="00774DE0"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774DE0"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100.</w:t>
      </w:r>
    </w:p>
    <w:p w14:paraId="0CD6EF84" w14:textId="323578A9" w:rsidR="005322B8" w:rsidRPr="00781112" w:rsidRDefault="00774DE0" w:rsidP="00286BDF">
      <w:pPr>
        <w:rPr>
          <w:rFonts w:cs="Arial"/>
          <w:color w:val="000000" w:themeColor="text1"/>
          <w:szCs w:val="16"/>
          <w:shd w:val="clear" w:color="auto" w:fill="FFFFFF"/>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separate special education class, separate school</w:t>
      </w:r>
      <w:r w:rsidR="00D23004">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or residential facility) </w:t>
      </w:r>
      <w:r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divided by the (total #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100.</w:t>
      </w:r>
    </w:p>
    <w:p w14:paraId="48F03EFA" w14:textId="54A1E7EC" w:rsidR="00774DE0" w:rsidRPr="00781112" w:rsidRDefault="002C5A1B" w:rsidP="00360DD6">
      <w:pPr>
        <w:ind w:left="360"/>
        <w:rPr>
          <w:rFonts w:cs="Arial"/>
          <w:szCs w:val="16"/>
        </w:rPr>
      </w:pPr>
      <w:r w:rsidRPr="00781112">
        <w:rPr>
          <w:rFonts w:cs="Arial"/>
          <w:color w:val="000000" w:themeColor="text1"/>
          <w:szCs w:val="16"/>
          <w:shd w:val="clear" w:color="auto" w:fill="FFFFFF"/>
        </w:rPr>
        <w:tab/>
      </w:r>
      <w:r w:rsidR="007E77D6" w:rsidRPr="00781112">
        <w:rPr>
          <w:rFonts w:cs="Arial"/>
          <w:color w:val="000000" w:themeColor="text1"/>
          <w:szCs w:val="16"/>
          <w:shd w:val="clear" w:color="auto" w:fill="FFFFFF"/>
        </w:rPr>
        <w:t xml:space="preserve">C. </w:t>
      </w:r>
      <w:r w:rsidRPr="00781112">
        <w:rPr>
          <w:rFonts w:cs="Arial"/>
          <w:szCs w:val="16"/>
        </w:rPr>
        <w:t xml:space="preserve">Percent = [(# of children ages 3, 4, and 5 with IEPs receiving special education and related services in the home) divided by the (total # of </w:t>
      </w:r>
      <w:r w:rsidRPr="00781112">
        <w:rPr>
          <w:rFonts w:cs="Arial"/>
          <w:szCs w:val="16"/>
        </w:rPr>
        <w:tab/>
        <w:t>children ages 3, 4, and 5 with IEPs)] times 100.</w:t>
      </w:r>
    </w:p>
    <w:p w14:paraId="2CAF467D" w14:textId="77777777" w:rsidR="005322B8" w:rsidRPr="00781112" w:rsidRDefault="005322B8" w:rsidP="004369B2">
      <w:pPr>
        <w:rPr>
          <w:color w:val="000000" w:themeColor="text1"/>
        </w:rPr>
      </w:pPr>
      <w:r w:rsidRPr="00781112">
        <w:rPr>
          <w:b/>
          <w:color w:val="000000" w:themeColor="text1"/>
        </w:rPr>
        <w:t>Instructions</w:t>
      </w:r>
    </w:p>
    <w:p w14:paraId="5B2FF157" w14:textId="6FABC6E7" w:rsidR="005322B8" w:rsidRPr="00781112" w:rsidRDefault="005322B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4451A4DB" w14:textId="77777777" w:rsidR="00426EC6" w:rsidRPr="00781112" w:rsidRDefault="00426EC6" w:rsidP="00426EC6">
      <w:pPr>
        <w:rPr>
          <w:rFonts w:cs="Arial"/>
          <w:szCs w:val="16"/>
        </w:rPr>
      </w:pPr>
      <w:r w:rsidRPr="00781112">
        <w:rPr>
          <w:rFonts w:cs="Arial"/>
          <w:szCs w:val="16"/>
        </w:rPr>
        <w:t>States must report five-year-old children with disabilities who are enrolled in preschool programs in this indicator. Five-year-old children with disabilities who are enrolled in kindergarten are included in Indicator 5.</w:t>
      </w:r>
    </w:p>
    <w:p w14:paraId="0B2E3F2D" w14:textId="77777777" w:rsidR="00426EC6" w:rsidRPr="00781112" w:rsidRDefault="00426EC6" w:rsidP="00426EC6">
      <w:pPr>
        <w:rPr>
          <w:rFonts w:cs="Arial"/>
          <w:szCs w:val="16"/>
        </w:rPr>
      </w:pPr>
      <w:r w:rsidRPr="00781112">
        <w:rPr>
          <w:rFonts w:cs="Arial"/>
          <w:szCs w:val="16"/>
        </w:rPr>
        <w:t>States may choose to set one target that is inclusive of children ages 3, 4, and 5, or set individual targets for each age.</w:t>
      </w:r>
    </w:p>
    <w:p w14:paraId="7F82A520" w14:textId="77777777" w:rsidR="00633044" w:rsidRPr="00781112" w:rsidRDefault="00633044" w:rsidP="00633044">
      <w:pPr>
        <w:rPr>
          <w:rFonts w:cs="Arial"/>
          <w:szCs w:val="16"/>
        </w:rPr>
      </w:pPr>
      <w:r w:rsidRPr="00781112">
        <w:rPr>
          <w:rFonts w:cs="Arial"/>
          <w:szCs w:val="16"/>
        </w:rPr>
        <w:t>For Indicator 6C: States are not required to establish a baseline or targets if the number of children receiving special education and related services in the home is less than 10, regardless of whether the State chooses to set one target that is inclusive of children ages 3, 4, and 5, or set individual targets for each age. In a reporting period during which the number of children receiving special education and related services in the home reaches 10 or greater, States are required to develop baseline and targets and report on them in the corresponding SPP/APR.</w:t>
      </w:r>
    </w:p>
    <w:p w14:paraId="676DC96C" w14:textId="77777777" w:rsidR="00085D61" w:rsidRDefault="00633044" w:rsidP="00BB7BC9">
      <w:pPr>
        <w:rPr>
          <w:rFonts w:cs="Arial"/>
          <w:iCs/>
          <w:szCs w:val="16"/>
        </w:rPr>
      </w:pPr>
      <w:r w:rsidRPr="00781112">
        <w:rPr>
          <w:rFonts w:cs="Arial"/>
          <w:szCs w:val="16"/>
        </w:rPr>
        <w:t xml:space="preserve">For Indicator 6C: </w:t>
      </w:r>
      <w:r w:rsidRPr="00781112">
        <w:rPr>
          <w:rFonts w:cs="Arial"/>
          <w:iCs/>
          <w:szCs w:val="16"/>
        </w:rPr>
        <w:t>States may express their targets in a range (</w:t>
      </w:r>
      <w:r w:rsidRPr="00781112">
        <w:rPr>
          <w:rFonts w:cs="Arial"/>
          <w:i/>
          <w:iCs/>
          <w:szCs w:val="16"/>
        </w:rPr>
        <w:t>e.g.</w:t>
      </w:r>
      <w:r w:rsidRPr="00781112">
        <w:rPr>
          <w:rFonts w:cs="Arial"/>
          <w:iCs/>
          <w:szCs w:val="16"/>
        </w:rPr>
        <w:t>, 75-85%).</w:t>
      </w:r>
    </w:p>
    <w:p w14:paraId="594A7ED4" w14:textId="4CE4250A" w:rsidR="005322B8" w:rsidRPr="00781112" w:rsidRDefault="005322B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19F07E42" w14:textId="35DC1378" w:rsidR="005322B8" w:rsidRPr="00781112" w:rsidRDefault="005322B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IDEA section 618, explain.</w:t>
      </w:r>
    </w:p>
    <w:bookmarkEnd w:id="35"/>
    <w:p w14:paraId="1489816D" w14:textId="2F10D57A" w:rsidR="008D3484" w:rsidRPr="00781112" w:rsidRDefault="00C96236" w:rsidP="008645AD">
      <w:pPr>
        <w:pStyle w:val="Heading2"/>
      </w:pPr>
      <w:r w:rsidRPr="00781112">
        <w:t>6</w:t>
      </w:r>
      <w:r w:rsidR="00C91B94" w:rsidRPr="00781112">
        <w:t xml:space="preserve"> </w:t>
      </w:r>
      <w:r w:rsidRPr="00781112">
        <w:t xml:space="preserve">- </w:t>
      </w:r>
      <w:r w:rsidR="008D3484" w:rsidRPr="00781112">
        <w:t>Indicator Data</w:t>
      </w:r>
    </w:p>
    <w:p w14:paraId="625E607A" w14:textId="77777777" w:rsidR="0091098C" w:rsidRPr="00781112" w:rsidRDefault="0091098C" w:rsidP="004369B2">
      <w:pPr>
        <w:rPr>
          <w:color w:val="000000" w:themeColor="text1"/>
        </w:rPr>
      </w:pPr>
      <w:r w:rsidRPr="00781112">
        <w:rPr>
          <w:b/>
          <w:color w:val="000000" w:themeColor="text1"/>
        </w:rPr>
        <w:t>Not Applicable</w:t>
      </w:r>
    </w:p>
    <w:p w14:paraId="5333465D" w14:textId="3F1EC485" w:rsidR="004B75EC" w:rsidRPr="00781112" w:rsidRDefault="003229FA">
      <w:pPr>
        <w:rPr>
          <w:b/>
          <w:color w:val="000000" w:themeColor="text1"/>
        </w:rPr>
      </w:pPr>
      <w:r w:rsidRPr="00781112">
        <w:rPr>
          <w:b/>
          <w:color w:val="000000" w:themeColor="text1"/>
        </w:rPr>
        <w:t xml:space="preserve">Select yes if this indicator is not applicable. </w:t>
      </w:r>
    </w:p>
    <w:p w14:paraId="2FEE6491" w14:textId="58E763AD" w:rsidR="00043AC9" w:rsidRPr="00781112" w:rsidRDefault="00043AC9" w:rsidP="004369B2">
      <w:pPr>
        <w:rPr>
          <w:rFonts w:cs="Arial"/>
          <w:color w:val="000000" w:themeColor="text1"/>
          <w:szCs w:val="16"/>
        </w:rPr>
      </w:pPr>
      <w:r w:rsidRPr="00781112">
        <w:rPr>
          <w:rFonts w:cs="Arial"/>
          <w:color w:val="000000" w:themeColor="text1"/>
          <w:szCs w:val="16"/>
        </w:rPr>
        <w:t>NO</w:t>
      </w:r>
    </w:p>
    <w:p w14:paraId="1E57959E" w14:textId="77777777" w:rsidR="00AE3B11" w:rsidRPr="00781112" w:rsidRDefault="00AE3B11" w:rsidP="002441FF">
      <w:pPr>
        <w:rPr>
          <w:color w:val="000000" w:themeColor="text1"/>
        </w:rPr>
      </w:pPr>
    </w:p>
    <w:p w14:paraId="2DFC3658" w14:textId="63E75FBF" w:rsidR="006309D0" w:rsidRPr="00781112" w:rsidRDefault="006309D0" w:rsidP="006309D0">
      <w:pPr>
        <w:rPr>
          <w:b/>
          <w:color w:val="000000" w:themeColor="text1"/>
        </w:rPr>
      </w:pPr>
      <w:r w:rsidRPr="00781112">
        <w:rPr>
          <w:b/>
          <w:color w:val="000000" w:themeColor="text1"/>
        </w:rPr>
        <w:t>Historical Data (Inclusive) – 6A, 6B, 6C</w:t>
      </w:r>
    </w:p>
    <w:tbl>
      <w:tblPr>
        <w:tblW w:w="4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HISTDATA"/>
      </w:tblPr>
      <w:tblGrid>
        <w:gridCol w:w="625"/>
        <w:gridCol w:w="1036"/>
        <w:gridCol w:w="1618"/>
        <w:gridCol w:w="1619"/>
        <w:gridCol w:w="1618"/>
        <w:gridCol w:w="1619"/>
        <w:gridCol w:w="1619"/>
      </w:tblGrid>
      <w:tr w:rsidR="001F2C34" w:rsidRPr="00781112" w14:paraId="10B8D4E0" w14:textId="65C4ABC5" w:rsidTr="005F5FE9">
        <w:trPr>
          <w:trHeight w:val="485"/>
        </w:trPr>
        <w:tc>
          <w:tcPr>
            <w:tcW w:w="625" w:type="dxa"/>
            <w:tcBorders>
              <w:top w:val="single" w:sz="4" w:space="0" w:color="auto"/>
              <w:left w:val="single" w:sz="4" w:space="0" w:color="auto"/>
              <w:bottom w:val="single" w:sz="4" w:space="0" w:color="auto"/>
              <w:right w:val="single" w:sz="4" w:space="0" w:color="auto"/>
            </w:tcBorders>
            <w:shd w:val="clear" w:color="auto" w:fill="auto"/>
          </w:tcPr>
          <w:p w14:paraId="2D5DFCFC" w14:textId="199152DC"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Part</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0195DB54"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FFY</w:t>
            </w:r>
          </w:p>
        </w:tc>
        <w:tc>
          <w:tcPr>
            <w:tcW w:w="1618" w:type="dxa"/>
            <w:tcBorders>
              <w:top w:val="single" w:sz="4" w:space="0" w:color="auto"/>
              <w:left w:val="single" w:sz="4" w:space="0" w:color="auto"/>
              <w:bottom w:val="single" w:sz="4" w:space="0" w:color="auto"/>
              <w:right w:val="single" w:sz="4" w:space="0" w:color="auto"/>
            </w:tcBorders>
            <w:shd w:val="clear" w:color="auto" w:fill="auto"/>
            <w:hideMark/>
          </w:tcPr>
          <w:p w14:paraId="6D0BD013" w14:textId="2E725702"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2018</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93A4955" w14:textId="7857A3E8"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2019</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1C44EE" w14:textId="0FBA6B8E"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2020</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38D2C75" w14:textId="09B1260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2021</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09EF8815" w14:textId="0E900FD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2022</w:t>
            </w:r>
          </w:p>
        </w:tc>
      </w:tr>
      <w:tr w:rsidR="001F2C34" w:rsidRPr="00781112" w14:paraId="12643853" w14:textId="714409A9"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1DCB50CC"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8A73" w14:textId="4E273194"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D572D5A" w14:textId="187A2156" w:rsidR="001F2C34" w:rsidRPr="00781112" w:rsidRDefault="001F2C34" w:rsidP="00A018D4">
            <w:pPr>
              <w:jc w:val="center"/>
              <w:rPr>
                <w:rFonts w:cs="Arial"/>
                <w:color w:val="000000" w:themeColor="text1"/>
                <w:szCs w:val="16"/>
              </w:rPr>
            </w:pPr>
            <w:r w:rsidRPr="00781112">
              <w:rPr>
                <w:rFonts w:cs="Arial"/>
                <w:color w:val="000000" w:themeColor="text1"/>
                <w:szCs w:val="16"/>
              </w:rPr>
              <w:t>32.30%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473ABC9" w14:textId="69DF669C" w:rsidR="001F2C34" w:rsidRPr="00781112" w:rsidRDefault="001F2C34" w:rsidP="00A018D4">
            <w:pPr>
              <w:jc w:val="center"/>
              <w:rPr>
                <w:rFonts w:cs="Arial"/>
                <w:color w:val="000000" w:themeColor="text1"/>
                <w:szCs w:val="16"/>
              </w:rPr>
            </w:pPr>
            <w:r w:rsidRPr="00781112">
              <w:rPr>
                <w:rFonts w:cs="Arial"/>
                <w:color w:val="000000" w:themeColor="text1"/>
                <w:szCs w:val="16"/>
              </w:rPr>
              <w:t>32.80%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49232E9" w14:textId="6EBFCFBD" w:rsidR="001F2C34" w:rsidRPr="00781112" w:rsidRDefault="001F2C34" w:rsidP="00A018D4">
            <w:pPr>
              <w:jc w:val="center"/>
              <w:rPr>
                <w:rFonts w:cs="Arial"/>
                <w:color w:val="000000" w:themeColor="text1"/>
                <w:szCs w:val="16"/>
              </w:rPr>
            </w:pPr>
            <w:r w:rsidRPr="00781112">
              <w:rPr>
                <w:rFonts w:cs="Arial"/>
                <w:color w:val="000000" w:themeColor="text1"/>
                <w:szCs w:val="16"/>
              </w:rPr>
              <w:t>49.24%</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7B7D5E8" w14:textId="6AF11356" w:rsidR="001F2C34" w:rsidRPr="00781112" w:rsidRDefault="001F2C34" w:rsidP="00A018D4">
            <w:pPr>
              <w:jc w:val="center"/>
              <w:rPr>
                <w:rFonts w:cs="Arial"/>
                <w:color w:val="000000" w:themeColor="text1"/>
                <w:szCs w:val="16"/>
              </w:rPr>
            </w:pPr>
            <w:r w:rsidRPr="00781112">
              <w:rPr>
                <w:rFonts w:cs="Arial"/>
                <w:color w:val="000000" w:themeColor="text1"/>
                <w:szCs w:val="16"/>
              </w:rPr>
              <w:t>49.75%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960723" w14:textId="6EE6EB41" w:rsidR="001F2C34" w:rsidRPr="00781112" w:rsidRDefault="001F2C34" w:rsidP="00A018D4">
            <w:pPr>
              <w:jc w:val="center"/>
              <w:rPr>
                <w:rFonts w:cs="Arial"/>
                <w:color w:val="000000" w:themeColor="text1"/>
                <w:szCs w:val="16"/>
              </w:rPr>
            </w:pPr>
            <w:r w:rsidRPr="00781112">
              <w:rPr>
                <w:rFonts w:cs="Arial"/>
                <w:color w:val="000000" w:themeColor="text1"/>
                <w:szCs w:val="16"/>
              </w:rPr>
              <w:t>50.25%</w:t>
            </w:r>
          </w:p>
        </w:tc>
      </w:tr>
      <w:tr w:rsidR="001F2C34" w:rsidRPr="00781112" w14:paraId="24AB409F" w14:textId="3963C8DA" w:rsidTr="005F5FE9">
        <w:trPr>
          <w:trHeight w:val="85"/>
        </w:trPr>
        <w:tc>
          <w:tcPr>
            <w:tcW w:w="625" w:type="dxa"/>
            <w:tcBorders>
              <w:left w:val="single" w:sz="4" w:space="0" w:color="auto"/>
              <w:right w:val="single" w:sz="4" w:space="0" w:color="auto"/>
            </w:tcBorders>
            <w:shd w:val="clear" w:color="auto" w:fill="auto"/>
            <w:vAlign w:val="center"/>
          </w:tcPr>
          <w:p w14:paraId="29D181B3" w14:textId="5F8E2E42"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FC6E"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CB2CE2B" w14:textId="24BBB7A6" w:rsidR="001F2C34" w:rsidRPr="00781112" w:rsidRDefault="001F2C34" w:rsidP="00A018D4">
            <w:pPr>
              <w:jc w:val="center"/>
              <w:rPr>
                <w:rFonts w:cs="Arial"/>
                <w:color w:val="000000" w:themeColor="text1"/>
                <w:szCs w:val="16"/>
              </w:rPr>
            </w:pPr>
            <w:r w:rsidRPr="00781112">
              <w:rPr>
                <w:rFonts w:cs="Arial"/>
                <w:color w:val="000000" w:themeColor="text1"/>
                <w:szCs w:val="16"/>
              </w:rPr>
              <w:t>34.18%</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29C2908" w14:textId="5081117A" w:rsidR="001F2C34" w:rsidRPr="00781112" w:rsidRDefault="001F2C34" w:rsidP="00A018D4">
            <w:pPr>
              <w:jc w:val="center"/>
              <w:rPr>
                <w:rFonts w:cs="Arial"/>
                <w:color w:val="000000" w:themeColor="text1"/>
                <w:szCs w:val="16"/>
              </w:rPr>
            </w:pPr>
            <w:r w:rsidRPr="00781112">
              <w:rPr>
                <w:rFonts w:cs="Arial"/>
                <w:color w:val="000000" w:themeColor="text1"/>
                <w:szCs w:val="16"/>
              </w:rPr>
              <w:t>39.60%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BDED07A" w14:textId="02885BAD" w:rsidR="001F2C34" w:rsidRPr="00781112" w:rsidRDefault="001F2C34" w:rsidP="00A018D4">
            <w:pPr>
              <w:jc w:val="center"/>
              <w:rPr>
                <w:rFonts w:cs="Arial"/>
                <w:color w:val="000000" w:themeColor="text1"/>
                <w:szCs w:val="16"/>
              </w:rPr>
            </w:pPr>
            <w:r w:rsidRPr="00781112">
              <w:rPr>
                <w:rFonts w:cs="Arial"/>
                <w:color w:val="000000" w:themeColor="text1"/>
                <w:szCs w:val="16"/>
              </w:rPr>
              <w:t>49.24%</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6DF0B77B" w14:textId="4431B3F8" w:rsidR="001F2C34" w:rsidRPr="00781112" w:rsidRDefault="001F2C34" w:rsidP="00A018D4">
            <w:pPr>
              <w:jc w:val="center"/>
              <w:rPr>
                <w:rFonts w:cs="Arial"/>
                <w:color w:val="000000" w:themeColor="text1"/>
                <w:szCs w:val="16"/>
              </w:rPr>
            </w:pPr>
            <w:r w:rsidRPr="00781112">
              <w:rPr>
                <w:rFonts w:cs="Arial"/>
                <w:color w:val="000000" w:themeColor="text1"/>
                <w:szCs w:val="16"/>
              </w:rPr>
              <w:t>53.08%</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6BBCE63" w14:textId="41D20CCF" w:rsidR="001F2C34" w:rsidRPr="00781112" w:rsidRDefault="001F2C34" w:rsidP="00A018D4">
            <w:pPr>
              <w:jc w:val="center"/>
              <w:rPr>
                <w:rFonts w:cs="Arial"/>
                <w:color w:val="000000" w:themeColor="text1"/>
                <w:szCs w:val="16"/>
              </w:rPr>
            </w:pPr>
            <w:r w:rsidRPr="00781112">
              <w:rPr>
                <w:rFonts w:cs="Arial"/>
                <w:color w:val="000000" w:themeColor="text1"/>
                <w:szCs w:val="16"/>
              </w:rPr>
              <w:t>54.48%</w:t>
            </w:r>
          </w:p>
        </w:tc>
      </w:tr>
      <w:tr w:rsidR="001F2C34" w:rsidRPr="00781112" w14:paraId="734556E7" w14:textId="7880148D"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58DAD373"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B70F3" w14:textId="4BE0D72F"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AF8D8D8" w14:textId="73E1A0AF" w:rsidR="001F2C34" w:rsidRPr="00781112" w:rsidRDefault="001F2C34" w:rsidP="00A018D4">
            <w:pPr>
              <w:jc w:val="center"/>
              <w:rPr>
                <w:rFonts w:cs="Arial"/>
                <w:color w:val="000000" w:themeColor="text1"/>
                <w:szCs w:val="16"/>
              </w:rPr>
            </w:pPr>
            <w:r w:rsidRPr="00781112">
              <w:rPr>
                <w:rFonts w:cs="Arial"/>
                <w:color w:val="000000" w:themeColor="text1"/>
                <w:szCs w:val="16"/>
              </w:rPr>
              <w:t>10.30%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7A3A3A6" w14:textId="38FA47E9" w:rsidR="001F2C34" w:rsidRPr="00781112" w:rsidRDefault="001F2C34" w:rsidP="00A018D4">
            <w:pPr>
              <w:jc w:val="center"/>
              <w:rPr>
                <w:rFonts w:cs="Arial"/>
                <w:color w:val="000000" w:themeColor="text1"/>
                <w:szCs w:val="16"/>
              </w:rPr>
            </w:pPr>
            <w:r w:rsidRPr="00781112">
              <w:rPr>
                <w:rFonts w:cs="Arial"/>
                <w:color w:val="000000" w:themeColor="text1"/>
                <w:szCs w:val="16"/>
              </w:rPr>
              <w:t>10.20%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BC9CE3A" w14:textId="269EBDC7" w:rsidR="001F2C34" w:rsidRPr="00781112" w:rsidRDefault="001F2C34" w:rsidP="00A018D4">
            <w:pPr>
              <w:jc w:val="center"/>
              <w:rPr>
                <w:rFonts w:cs="Arial"/>
                <w:color w:val="000000" w:themeColor="text1"/>
                <w:szCs w:val="16"/>
              </w:rPr>
            </w:pPr>
            <w:r w:rsidRPr="00781112">
              <w:rPr>
                <w:rFonts w:cs="Arial"/>
                <w:color w:val="000000" w:themeColor="text1"/>
                <w:szCs w:val="16"/>
              </w:rPr>
              <w:t>9.67%</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7F96662" w14:textId="3E673D09" w:rsidR="001F2C34" w:rsidRPr="00781112" w:rsidRDefault="001F2C34">
            <w:pPr>
              <w:jc w:val="center"/>
              <w:rPr>
                <w:color w:val="000000" w:themeColor="text1"/>
              </w:rPr>
            </w:pPr>
            <w:r w:rsidRPr="00781112">
              <w:rPr>
                <w:color w:val="000000" w:themeColor="text1"/>
              </w:rPr>
              <w:t>9.50%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5D972E0" w14:textId="0A302924" w:rsidR="001F2C34" w:rsidRPr="00781112" w:rsidRDefault="001F2C34" w:rsidP="00A018D4">
            <w:pPr>
              <w:jc w:val="center"/>
              <w:rPr>
                <w:rFonts w:cs="Arial"/>
                <w:color w:val="000000" w:themeColor="text1"/>
                <w:szCs w:val="16"/>
              </w:rPr>
            </w:pPr>
            <w:r w:rsidRPr="00781112">
              <w:rPr>
                <w:rFonts w:cs="Arial"/>
                <w:color w:val="000000" w:themeColor="text1"/>
                <w:szCs w:val="16"/>
              </w:rPr>
              <w:t>9.40%</w:t>
            </w:r>
          </w:p>
        </w:tc>
      </w:tr>
      <w:tr w:rsidR="001F2C34" w:rsidRPr="00781112" w14:paraId="3B42BE2A" w14:textId="601B062F" w:rsidTr="005F5FE9">
        <w:trPr>
          <w:trHeight w:val="85"/>
        </w:trPr>
        <w:tc>
          <w:tcPr>
            <w:tcW w:w="625" w:type="dxa"/>
            <w:tcBorders>
              <w:left w:val="single" w:sz="4" w:space="0" w:color="auto"/>
              <w:right w:val="single" w:sz="4" w:space="0" w:color="auto"/>
            </w:tcBorders>
            <w:shd w:val="clear" w:color="auto" w:fill="auto"/>
            <w:vAlign w:val="center"/>
          </w:tcPr>
          <w:p w14:paraId="4623D633" w14:textId="276C317C"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596DA"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5D90031" w14:textId="3012CDE0" w:rsidR="001F2C34" w:rsidRPr="00781112" w:rsidRDefault="001F2C34" w:rsidP="00A018D4">
            <w:pPr>
              <w:jc w:val="center"/>
              <w:rPr>
                <w:rFonts w:cs="Arial"/>
                <w:color w:val="000000" w:themeColor="text1"/>
                <w:szCs w:val="16"/>
              </w:rPr>
            </w:pPr>
            <w:r w:rsidRPr="00781112">
              <w:rPr>
                <w:rFonts w:cs="Arial"/>
                <w:color w:val="000000" w:themeColor="text1"/>
                <w:szCs w:val="16"/>
              </w:rPr>
              <w:t>8.39%</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0E906DB" w14:textId="5C70E2DD" w:rsidR="001F2C34" w:rsidRPr="00781112" w:rsidRDefault="001F2C34" w:rsidP="00A018D4">
            <w:pPr>
              <w:jc w:val="center"/>
              <w:rPr>
                <w:rFonts w:cs="Arial"/>
                <w:color w:val="000000" w:themeColor="text1"/>
                <w:szCs w:val="16"/>
              </w:rPr>
            </w:pPr>
            <w:r w:rsidRPr="00781112">
              <w:rPr>
                <w:rFonts w:cs="Arial"/>
                <w:color w:val="000000" w:themeColor="text1"/>
                <w:szCs w:val="16"/>
              </w:rPr>
              <w:t>9.74%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6B8DC18" w14:textId="71BC25FA" w:rsidR="001F2C34" w:rsidRPr="00781112" w:rsidRDefault="001F2C34" w:rsidP="00A018D4">
            <w:pPr>
              <w:jc w:val="center"/>
              <w:rPr>
                <w:rFonts w:cs="Arial"/>
                <w:color w:val="000000" w:themeColor="text1"/>
                <w:szCs w:val="16"/>
              </w:rPr>
            </w:pPr>
            <w:r w:rsidRPr="00781112">
              <w:rPr>
                <w:rFonts w:cs="Arial"/>
                <w:color w:val="000000" w:themeColor="text1"/>
                <w:szCs w:val="16"/>
              </w:rPr>
              <w:t>9.67%</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3CE06B12" w14:textId="5A09E506" w:rsidR="001F2C34" w:rsidRPr="00781112" w:rsidRDefault="001F2C34" w:rsidP="00A018D4">
            <w:pPr>
              <w:jc w:val="center"/>
              <w:rPr>
                <w:rFonts w:cs="Arial"/>
                <w:color w:val="000000" w:themeColor="text1"/>
                <w:szCs w:val="16"/>
              </w:rPr>
            </w:pPr>
            <w:r w:rsidRPr="00781112">
              <w:rPr>
                <w:rFonts w:cs="Arial"/>
                <w:color w:val="000000" w:themeColor="text1"/>
                <w:szCs w:val="16"/>
              </w:rPr>
              <w:t>6.30%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8787007" w14:textId="48A40519" w:rsidR="001F2C34" w:rsidRPr="00781112" w:rsidRDefault="001F2C34" w:rsidP="00A018D4">
            <w:pPr>
              <w:jc w:val="center"/>
              <w:rPr>
                <w:rFonts w:cs="Arial"/>
                <w:color w:val="000000" w:themeColor="text1"/>
                <w:szCs w:val="16"/>
              </w:rPr>
            </w:pPr>
            <w:r w:rsidRPr="00781112">
              <w:rPr>
                <w:rFonts w:cs="Arial"/>
                <w:color w:val="000000" w:themeColor="text1"/>
                <w:szCs w:val="16"/>
              </w:rPr>
              <w:t>13.35%</w:t>
            </w:r>
          </w:p>
        </w:tc>
      </w:tr>
      <w:tr w:rsidR="001B1B03" w:rsidRPr="00781112" w14:paraId="44E5410D" w14:textId="77777777" w:rsidTr="005F5FE9">
        <w:trPr>
          <w:trHeight w:val="85"/>
        </w:trPr>
        <w:tc>
          <w:tcPr>
            <w:tcW w:w="625" w:type="dxa"/>
            <w:tcBorders>
              <w:left w:val="single" w:sz="4" w:space="0" w:color="auto"/>
              <w:right w:val="single" w:sz="4" w:space="0" w:color="auto"/>
            </w:tcBorders>
            <w:shd w:val="clear" w:color="auto" w:fill="auto"/>
            <w:vAlign w:val="center"/>
          </w:tcPr>
          <w:p w14:paraId="0EB03788" w14:textId="1AE2298F"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194F252A" w14:textId="3C17C94E"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C517E0C" w14:textId="514D705D"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D5D5845" w14:textId="1753D905" w:rsidR="001B1B03" w:rsidRPr="00781112" w:rsidRDefault="001B1B03" w:rsidP="001B1B03">
            <w:pPr>
              <w:jc w:val="center"/>
              <w:rPr>
                <w:rFonts w:cs="Arial"/>
                <w:color w:val="000000" w:themeColor="text1"/>
                <w:szCs w:val="16"/>
              </w:rPr>
            </w:pP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71101499" w14:textId="5B7307FE" w:rsidR="001B1B03" w:rsidRPr="00781112" w:rsidRDefault="001B1B03" w:rsidP="001B1B03">
            <w:pPr>
              <w:jc w:val="center"/>
              <w:rPr>
                <w:rFonts w:cs="Arial"/>
                <w:color w:val="000000" w:themeColor="text1"/>
                <w:szCs w:val="16"/>
              </w:rPr>
            </w:pPr>
            <w:r w:rsidRPr="00781112">
              <w:rPr>
                <w:rFonts w:cs="Arial"/>
                <w:color w:val="000000" w:themeColor="text1"/>
                <w:szCs w:val="16"/>
              </w:rPr>
              <w:t>2.26%</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0F32101" w14:textId="67E5358E" w:rsidR="001B1B03" w:rsidRPr="00781112" w:rsidRDefault="001B1B03" w:rsidP="001B1B03">
            <w:pPr>
              <w:jc w:val="center"/>
              <w:rPr>
                <w:rFonts w:cs="Arial"/>
                <w:color w:val="000000" w:themeColor="text1"/>
                <w:szCs w:val="16"/>
              </w:rPr>
            </w:pPr>
            <w:r w:rsidRPr="00781112">
              <w:rPr>
                <w:color w:val="000000" w:themeColor="text1"/>
              </w:rPr>
              <w:t>2.25%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A45DABC" w14:textId="0D50AB3D" w:rsidR="001B1B03" w:rsidRPr="00781112" w:rsidRDefault="001B1B03" w:rsidP="001B1B03">
            <w:pPr>
              <w:jc w:val="center"/>
              <w:rPr>
                <w:rFonts w:cs="Arial"/>
                <w:color w:val="000000" w:themeColor="text1"/>
                <w:szCs w:val="16"/>
              </w:rPr>
            </w:pPr>
            <w:r w:rsidRPr="00781112">
              <w:rPr>
                <w:rFonts w:cs="Arial"/>
                <w:color w:val="000000" w:themeColor="text1"/>
                <w:szCs w:val="16"/>
              </w:rPr>
              <w:t>2.24%</w:t>
            </w:r>
          </w:p>
        </w:tc>
      </w:tr>
      <w:tr w:rsidR="001B1B03" w:rsidRPr="00781112" w14:paraId="66A9CDF0" w14:textId="77777777" w:rsidTr="005F5FE9">
        <w:trPr>
          <w:trHeight w:val="85"/>
        </w:trPr>
        <w:tc>
          <w:tcPr>
            <w:tcW w:w="625" w:type="dxa"/>
            <w:tcBorders>
              <w:left w:val="single" w:sz="4" w:space="0" w:color="auto"/>
              <w:right w:val="single" w:sz="4" w:space="0" w:color="auto"/>
            </w:tcBorders>
            <w:shd w:val="clear" w:color="auto" w:fill="auto"/>
            <w:vAlign w:val="center"/>
          </w:tcPr>
          <w:p w14:paraId="080D6AF5" w14:textId="1EBCBFA2"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05CCEB5C" w14:textId="1BE94F5B"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16DDE4C" w14:textId="34636400"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EF5D417" w14:textId="3D38DFCB" w:rsidR="001B1B03" w:rsidRPr="00781112" w:rsidRDefault="001B1B03" w:rsidP="001B1B03">
            <w:pPr>
              <w:jc w:val="center"/>
              <w:rPr>
                <w:rFonts w:cs="Arial"/>
                <w:color w:val="000000" w:themeColor="text1"/>
                <w:szCs w:val="16"/>
              </w:rPr>
            </w:pP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7D63EF7" w14:textId="70B517E1" w:rsidR="001B1B03" w:rsidRPr="00781112" w:rsidRDefault="001B1B03" w:rsidP="001B1B03">
            <w:pPr>
              <w:jc w:val="center"/>
              <w:rPr>
                <w:rFonts w:cs="Arial"/>
                <w:color w:val="000000" w:themeColor="text1"/>
                <w:szCs w:val="16"/>
              </w:rPr>
            </w:pPr>
            <w:r w:rsidRPr="00781112">
              <w:rPr>
                <w:rFonts w:cs="Arial"/>
                <w:color w:val="000000" w:themeColor="text1"/>
                <w:szCs w:val="16"/>
              </w:rPr>
              <w:t>2.26%</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13A3D95" w14:textId="4990597A" w:rsidR="001B1B03" w:rsidRPr="00781112" w:rsidRDefault="001B1B03" w:rsidP="001B1B03">
            <w:pPr>
              <w:jc w:val="center"/>
              <w:rPr>
                <w:rFonts w:cs="Arial"/>
                <w:color w:val="000000" w:themeColor="text1"/>
                <w:szCs w:val="16"/>
              </w:rPr>
            </w:pPr>
            <w:r w:rsidRPr="00781112">
              <w:rPr>
                <w:rFonts w:cs="Arial"/>
                <w:color w:val="000000" w:themeColor="text1"/>
                <w:szCs w:val="16"/>
              </w:rPr>
              <w:t>0.89%</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594B47" w14:textId="75BCBF55" w:rsidR="001B1B03" w:rsidRPr="00781112" w:rsidRDefault="001B1B03" w:rsidP="001B1B03">
            <w:pPr>
              <w:jc w:val="center"/>
              <w:rPr>
                <w:rFonts w:cs="Arial"/>
                <w:color w:val="000000" w:themeColor="text1"/>
                <w:szCs w:val="16"/>
              </w:rPr>
            </w:pPr>
            <w:r w:rsidRPr="00781112">
              <w:rPr>
                <w:rFonts w:cs="Arial"/>
                <w:color w:val="000000" w:themeColor="text1"/>
                <w:szCs w:val="16"/>
              </w:rPr>
              <w:t>0.62%</w:t>
            </w:r>
          </w:p>
        </w:tc>
      </w:tr>
    </w:tbl>
    <w:p w14:paraId="057E33A3" w14:textId="77777777" w:rsidR="00AE3B11" w:rsidRDefault="00AE3B11" w:rsidP="004369B2">
      <w:pPr>
        <w:rPr>
          <w:color w:val="000000" w:themeColor="text1"/>
        </w:rPr>
      </w:pPr>
    </w:p>
    <w:p w14:paraId="6FE45EEF" w14:textId="77777777" w:rsidR="00AE3B11" w:rsidRPr="00651552" w:rsidRDefault="00AE3B11" w:rsidP="0059735F">
      <w:pPr>
        <w:rPr>
          <w:bCs/>
          <w:color w:val="000000" w:themeColor="text1"/>
        </w:rPr>
      </w:pPr>
    </w:p>
    <w:p w14:paraId="34B0E047" w14:textId="080D5172" w:rsidR="0059735F" w:rsidRPr="00781112" w:rsidRDefault="0059735F" w:rsidP="0059735F">
      <w:pPr>
        <w:rPr>
          <w:b/>
          <w:color w:val="000000" w:themeColor="text1"/>
        </w:rPr>
      </w:pPr>
      <w:r w:rsidRPr="00781112">
        <w:rPr>
          <w:b/>
          <w:color w:val="000000" w:themeColor="text1"/>
        </w:rPr>
        <w:t xml:space="preserve">Targets: Description of Stakeholder Input </w:t>
      </w:r>
    </w:p>
    <w:p w14:paraId="137AAC0F" w14:textId="77777777" w:rsidR="0059735F" w:rsidRPr="00781112" w:rsidRDefault="0059735F" w:rsidP="0059735F">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t>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lastRenderedPageBreak/>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The baseline for this indicator was adjusted to FFY 2020 based on direction by OSEP during the clarification period in order to exclude 5-year-olds in kindergarten. Targets were then adjusted to show a 0.5% increase per year for indicator 6A, and a 0.1 decrease per year for indicator 6B. Indicator 6C is new and was established using FFY 2020 data for the baseline and a slight decrease each year. These were the increments that were presented to and accepted by stakeholders.</w:t>
      </w:r>
      <w:r w:rsidRPr="00781112">
        <w:rPr>
          <w:rFonts w:cs="Arial"/>
          <w:color w:val="000000" w:themeColor="text1"/>
          <w:szCs w:val="16"/>
        </w:rPr>
        <w:br/>
      </w:r>
      <w:r w:rsidRPr="00781112">
        <w:rPr>
          <w:rFonts w:cs="Arial"/>
          <w:color w:val="000000" w:themeColor="text1"/>
          <w:szCs w:val="16"/>
        </w:rPr>
        <w:br/>
        <w:t>FFY 2023</w:t>
      </w:r>
      <w:r w:rsidRPr="00781112">
        <w:rPr>
          <w:rFonts w:cs="Arial"/>
          <w:color w:val="000000" w:themeColor="text1"/>
          <w:szCs w:val="16"/>
        </w:rPr>
        <w:br/>
        <w:t>Stakeholders did not express interest in revising the Preschool Environments targets during any meetings throughout the reporting period; however, WVDE/OSE is receptive to any potential concerns or recommendations that stakeholders may have regarding these targets.</w:t>
      </w:r>
    </w:p>
    <w:p w14:paraId="0B88D679" w14:textId="77777777" w:rsidR="0059735F" w:rsidRPr="00781112" w:rsidRDefault="0059735F" w:rsidP="004369B2">
      <w:pPr>
        <w:rPr>
          <w:color w:val="000000" w:themeColor="text1"/>
        </w:rPr>
      </w:pPr>
    </w:p>
    <w:p w14:paraId="5CC249BC" w14:textId="12B8F79F" w:rsidR="00AA04BD" w:rsidRPr="00781112" w:rsidRDefault="00AA04BD" w:rsidP="004369B2">
      <w:pPr>
        <w:rPr>
          <w:b/>
          <w:color w:val="000000" w:themeColor="text1"/>
        </w:rPr>
      </w:pPr>
      <w:r w:rsidRPr="00781112">
        <w:rPr>
          <w:b/>
          <w:color w:val="000000" w:themeColor="text1"/>
        </w:rPr>
        <w:t>Targets</w:t>
      </w:r>
    </w:p>
    <w:p w14:paraId="1C259A9C" w14:textId="25371496" w:rsidR="001C2B29" w:rsidRPr="001C443D" w:rsidRDefault="007F67C7" w:rsidP="001C443D">
      <w:pPr>
        <w:rPr>
          <w:b/>
          <w:bCs/>
        </w:rPr>
      </w:pPr>
      <w:r w:rsidRPr="001C443D">
        <w:rPr>
          <w:b/>
          <w:bCs/>
        </w:rPr>
        <w:t xml:space="preserve">Please select if the State wants to set baselines and targets based on individual age ranges (i.e., separate baseline and targets for each age), or inclusive of all children ages 3, 4, and 5. </w:t>
      </w:r>
    </w:p>
    <w:p w14:paraId="0237921B" w14:textId="17150ECF" w:rsidR="00794672" w:rsidRPr="00781112" w:rsidRDefault="00794672" w:rsidP="00794672">
      <w:pPr>
        <w:rPr>
          <w:color w:val="000000" w:themeColor="text1"/>
        </w:rPr>
      </w:pPr>
      <w:r w:rsidRPr="00781112">
        <w:rPr>
          <w:rFonts w:cs="Arial"/>
          <w:color w:val="000000" w:themeColor="text1"/>
          <w:szCs w:val="16"/>
        </w:rPr>
        <w:t>Inclusive Targets</w:t>
      </w:r>
    </w:p>
    <w:p w14:paraId="647A8A68" w14:textId="7712D124" w:rsidR="00794672" w:rsidRPr="001C443D" w:rsidRDefault="00E20E93" w:rsidP="001C443D">
      <w:pPr>
        <w:rPr>
          <w:b/>
          <w:bCs/>
        </w:rPr>
      </w:pPr>
      <w:r w:rsidRPr="001C443D">
        <w:rPr>
          <w:b/>
          <w:bCs/>
        </w:rPr>
        <w:t>Please select if the State wants to use target ranges for 6C.</w:t>
      </w:r>
    </w:p>
    <w:p w14:paraId="4C1CAE3E" w14:textId="29D1D533" w:rsidR="00794672" w:rsidRDefault="00794672" w:rsidP="00794672">
      <w:pPr>
        <w:rPr>
          <w:rFonts w:cs="Arial"/>
          <w:color w:val="000000" w:themeColor="text1"/>
          <w:szCs w:val="16"/>
        </w:rPr>
      </w:pPr>
      <w:r w:rsidRPr="00781112">
        <w:rPr>
          <w:rFonts w:cs="Arial"/>
          <w:color w:val="000000" w:themeColor="text1"/>
          <w:szCs w:val="16"/>
        </w:rPr>
        <w:t>Target Range not used</w:t>
      </w:r>
    </w:p>
    <w:p w14:paraId="5C7F1365" w14:textId="570192EE" w:rsidR="0073461B" w:rsidRDefault="0073461B" w:rsidP="0073461B">
      <w:pPr>
        <w:pStyle w:val="Subhed"/>
        <w:rPr>
          <w:b w:val="0"/>
          <w:bCs/>
          <w:color w:val="C00000"/>
        </w:rPr>
      </w:pPr>
    </w:p>
    <w:p w14:paraId="770D6443" w14:textId="39B3F3FD" w:rsidR="004D796B" w:rsidRPr="00781112" w:rsidRDefault="004D796B" w:rsidP="004369B2">
      <w:pPr>
        <w:rPr>
          <w:color w:val="000000" w:themeColor="text1"/>
        </w:rPr>
      </w:pPr>
    </w:p>
    <w:p w14:paraId="7D77C5FC" w14:textId="77777777" w:rsidR="008C34A2" w:rsidRPr="0075451F" w:rsidRDefault="008C34A2" w:rsidP="008C34A2">
      <w:pPr>
        <w:pStyle w:val="Subhed"/>
        <w:rPr>
          <w:b w:val="0"/>
        </w:rPr>
      </w:pPr>
      <w:r>
        <w:t>Baselines for Inclusive Targets option (A, B, C)</w:t>
      </w:r>
    </w:p>
    <w:tbl>
      <w:tblPr>
        <w:tblW w:w="2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BASELINEDATAINCL"/>
      </w:tblPr>
      <w:tblGrid>
        <w:gridCol w:w="1436"/>
        <w:gridCol w:w="2025"/>
        <w:gridCol w:w="2025"/>
      </w:tblGrid>
      <w:tr w:rsidR="008C34A2" w:rsidRPr="00781112" w14:paraId="76A746DF" w14:textId="77777777" w:rsidTr="00DF5DC9">
        <w:trPr>
          <w:trHeight w:val="485"/>
          <w:tblHeader/>
        </w:trPr>
        <w:tc>
          <w:tcPr>
            <w:tcW w:w="1436" w:type="dxa"/>
            <w:tcBorders>
              <w:top w:val="single" w:sz="4" w:space="0" w:color="auto"/>
              <w:left w:val="single" w:sz="4" w:space="0" w:color="auto"/>
              <w:bottom w:val="single" w:sz="4" w:space="0" w:color="auto"/>
              <w:right w:val="single" w:sz="4" w:space="0" w:color="auto"/>
            </w:tcBorders>
            <w:shd w:val="clear" w:color="auto" w:fill="auto"/>
          </w:tcPr>
          <w:p w14:paraId="76F354A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Part</w:t>
            </w:r>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70043BB3"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Year</w:t>
            </w:r>
          </w:p>
        </w:tc>
        <w:tc>
          <w:tcPr>
            <w:tcW w:w="2025" w:type="dxa"/>
            <w:tcBorders>
              <w:top w:val="single" w:sz="4" w:space="0" w:color="auto"/>
              <w:left w:val="single" w:sz="4" w:space="0" w:color="auto"/>
              <w:bottom w:val="single" w:sz="4" w:space="0" w:color="auto"/>
              <w:right w:val="single" w:sz="4" w:space="0" w:color="auto"/>
            </w:tcBorders>
          </w:tcPr>
          <w:p w14:paraId="6D732D8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Data</w:t>
            </w:r>
          </w:p>
        </w:tc>
      </w:tr>
      <w:tr w:rsidR="008C34A2" w:rsidRPr="00781112" w14:paraId="3EC108E9"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A56D253"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A</w:t>
            </w:r>
          </w:p>
        </w:tc>
        <w:tc>
          <w:tcPr>
            <w:tcW w:w="2025" w:type="dxa"/>
            <w:tcBorders>
              <w:top w:val="single" w:sz="4" w:space="0" w:color="auto"/>
              <w:left w:val="single" w:sz="4" w:space="0" w:color="auto"/>
              <w:right w:val="single" w:sz="4" w:space="0" w:color="auto"/>
            </w:tcBorders>
            <w:shd w:val="clear" w:color="auto" w:fill="auto"/>
          </w:tcPr>
          <w:p w14:paraId="3FCF70A0"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142085FD"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49.24%</w:t>
            </w:r>
          </w:p>
        </w:tc>
      </w:tr>
      <w:tr w:rsidR="008C34A2" w:rsidRPr="00781112" w14:paraId="6C0A9325"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E7FAFD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B</w:t>
            </w:r>
          </w:p>
        </w:tc>
        <w:tc>
          <w:tcPr>
            <w:tcW w:w="2025" w:type="dxa"/>
            <w:tcBorders>
              <w:top w:val="single" w:sz="4" w:space="0" w:color="auto"/>
              <w:left w:val="single" w:sz="4" w:space="0" w:color="auto"/>
              <w:right w:val="single" w:sz="4" w:space="0" w:color="auto"/>
            </w:tcBorders>
            <w:shd w:val="clear" w:color="auto" w:fill="auto"/>
          </w:tcPr>
          <w:p w14:paraId="538A3CE6"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794F234F"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9.67%</w:t>
            </w:r>
          </w:p>
        </w:tc>
      </w:tr>
      <w:tr w:rsidR="008C34A2" w:rsidRPr="00781112" w14:paraId="2DFA9728" w14:textId="77777777" w:rsidTr="00DF5DC9">
        <w:trPr>
          <w:trHeight w:val="85"/>
        </w:trPr>
        <w:tc>
          <w:tcPr>
            <w:tcW w:w="1436" w:type="dxa"/>
            <w:tcBorders>
              <w:left w:val="single" w:sz="4" w:space="0" w:color="auto"/>
              <w:right w:val="single" w:sz="4" w:space="0" w:color="auto"/>
            </w:tcBorders>
            <w:shd w:val="clear" w:color="auto" w:fill="auto"/>
            <w:vAlign w:val="center"/>
          </w:tcPr>
          <w:p w14:paraId="6CBBDF9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C</w:t>
            </w:r>
          </w:p>
        </w:tc>
        <w:tc>
          <w:tcPr>
            <w:tcW w:w="2025" w:type="dxa"/>
            <w:tcBorders>
              <w:left w:val="single" w:sz="4" w:space="0" w:color="auto"/>
              <w:right w:val="single" w:sz="4" w:space="0" w:color="auto"/>
            </w:tcBorders>
            <w:shd w:val="clear" w:color="auto" w:fill="auto"/>
          </w:tcPr>
          <w:p w14:paraId="7E7E5689"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left w:val="single" w:sz="4" w:space="0" w:color="auto"/>
              <w:right w:val="single" w:sz="4" w:space="0" w:color="auto"/>
            </w:tcBorders>
          </w:tcPr>
          <w:p w14:paraId="4FCAB124"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2.26%</w:t>
            </w:r>
          </w:p>
        </w:tc>
      </w:tr>
    </w:tbl>
    <w:p w14:paraId="3CB9A2A8" w14:textId="77777777" w:rsidR="008C34A2" w:rsidRPr="00992ACE" w:rsidRDefault="008C34A2" w:rsidP="00992ACE">
      <w:pPr>
        <w:rPr>
          <w:rFonts w:cs="Arial"/>
          <w:color w:val="000000" w:themeColor="text1"/>
          <w:szCs w:val="16"/>
        </w:rPr>
      </w:pPr>
    </w:p>
    <w:p w14:paraId="47A40AAD" w14:textId="088A53BD" w:rsidR="0059735F" w:rsidRPr="00781112" w:rsidRDefault="0059735F" w:rsidP="0059735F">
      <w:pPr>
        <w:rPr>
          <w:b/>
          <w:bCs/>
          <w:color w:val="000000" w:themeColor="text1"/>
        </w:rPr>
      </w:pPr>
      <w:r w:rsidRPr="00781112">
        <w:rPr>
          <w:b/>
          <w:bCs/>
        </w:rPr>
        <w:t>Inclusive Targets – 6A, 6B</w:t>
      </w:r>
    </w:p>
    <w:tbl>
      <w:tblPr>
        <w:tblW w:w="2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BTARGETSINCL"/>
      </w:tblPr>
      <w:tblGrid>
        <w:gridCol w:w="1078"/>
        <w:gridCol w:w="1617"/>
        <w:gridCol w:w="1617"/>
        <w:gridCol w:w="1623"/>
      </w:tblGrid>
      <w:tr w:rsidR="00AC3EF2" w:rsidRPr="00781112" w14:paraId="502A05CF" w14:textId="31F34C5E" w:rsidTr="00FE4611">
        <w:trPr>
          <w:trHeight w:val="297"/>
        </w:trPr>
        <w:tc>
          <w:tcPr>
            <w:tcW w:w="908" w:type="pct"/>
            <w:tcBorders>
              <w:bottom w:val="single" w:sz="4" w:space="0" w:color="auto"/>
            </w:tcBorders>
            <w:shd w:val="clear" w:color="auto" w:fill="auto"/>
          </w:tcPr>
          <w:p w14:paraId="24938C30" w14:textId="77777777" w:rsidR="00AC3EF2" w:rsidRPr="00781112" w:rsidRDefault="00AC3EF2" w:rsidP="00D62058">
            <w:pPr>
              <w:jc w:val="center"/>
              <w:rPr>
                <w:b/>
                <w:color w:val="000000" w:themeColor="text1"/>
              </w:rPr>
            </w:pPr>
            <w:r w:rsidRPr="00781112">
              <w:rPr>
                <w:b/>
                <w:color w:val="000000" w:themeColor="text1"/>
              </w:rPr>
              <w:t>FFY</w:t>
            </w:r>
          </w:p>
        </w:tc>
        <w:tc>
          <w:tcPr>
            <w:tcW w:w="1362" w:type="pct"/>
            <w:shd w:val="clear" w:color="auto" w:fill="auto"/>
          </w:tcPr>
          <w:p w14:paraId="4B75D90A" w14:textId="04FBCB48" w:rsidR="00AC3EF2" w:rsidRPr="00781112" w:rsidRDefault="00AC3EF2" w:rsidP="00D62058">
            <w:pPr>
              <w:jc w:val="center"/>
              <w:rPr>
                <w:b/>
                <w:color w:val="000000" w:themeColor="text1"/>
              </w:rPr>
            </w:pPr>
            <w:r w:rsidRPr="00781112">
              <w:rPr>
                <w:b/>
                <w:color w:val="000000" w:themeColor="text1"/>
              </w:rPr>
              <w:t>2023</w:t>
            </w:r>
          </w:p>
        </w:tc>
        <w:tc>
          <w:tcPr>
            <w:tcW w:w="1362" w:type="pct"/>
          </w:tcPr>
          <w:p w14:paraId="5DC58FF5" w14:textId="7CBB0832" w:rsidR="00AC3EF2" w:rsidRPr="00781112" w:rsidRDefault="00AC3EF2" w:rsidP="00360DD6">
            <w:pPr>
              <w:jc w:val="center"/>
              <w:rPr>
                <w:b/>
                <w:color w:val="000000" w:themeColor="text1"/>
              </w:rPr>
            </w:pPr>
            <w:r w:rsidRPr="00781112">
              <w:rPr>
                <w:b/>
                <w:color w:val="000000" w:themeColor="text1"/>
              </w:rPr>
              <w:t>2024</w:t>
            </w:r>
          </w:p>
        </w:tc>
        <w:tc>
          <w:tcPr>
            <w:tcW w:w="1367" w:type="pct"/>
          </w:tcPr>
          <w:p w14:paraId="7F3093B9" w14:textId="2E366C4A" w:rsidR="00AC3EF2" w:rsidRPr="00781112" w:rsidRDefault="00AC3EF2" w:rsidP="00360DD6">
            <w:pPr>
              <w:jc w:val="center"/>
              <w:rPr>
                <w:b/>
                <w:color w:val="000000" w:themeColor="text1"/>
              </w:rPr>
            </w:pPr>
            <w:r w:rsidRPr="00781112">
              <w:rPr>
                <w:b/>
                <w:color w:val="000000" w:themeColor="text1"/>
              </w:rPr>
              <w:t>2025</w:t>
            </w:r>
          </w:p>
        </w:tc>
      </w:tr>
      <w:tr w:rsidR="00AC3EF2" w:rsidRPr="00781112" w14:paraId="19DCE246" w14:textId="1AEE89BD" w:rsidTr="00FE4611">
        <w:trPr>
          <w:trHeight w:val="303"/>
        </w:trPr>
        <w:tc>
          <w:tcPr>
            <w:tcW w:w="908" w:type="pct"/>
            <w:shd w:val="clear" w:color="auto" w:fill="auto"/>
            <w:vAlign w:val="center"/>
          </w:tcPr>
          <w:p w14:paraId="772DAD56" w14:textId="1540F97B" w:rsidR="00AC3EF2" w:rsidRPr="00781112" w:rsidRDefault="00AC3EF2" w:rsidP="00BA3DBE">
            <w:pPr>
              <w:jc w:val="center"/>
              <w:rPr>
                <w:rFonts w:cs="Arial"/>
                <w:color w:val="000000" w:themeColor="text1"/>
                <w:szCs w:val="16"/>
              </w:rPr>
            </w:pPr>
            <w:r w:rsidRPr="00781112">
              <w:rPr>
                <w:rFonts w:cs="Arial"/>
                <w:color w:val="000000" w:themeColor="text1"/>
                <w:szCs w:val="16"/>
              </w:rPr>
              <w:t>Target A &gt;=</w:t>
            </w:r>
          </w:p>
        </w:tc>
        <w:tc>
          <w:tcPr>
            <w:tcW w:w="1362" w:type="pct"/>
            <w:shd w:val="clear" w:color="auto" w:fill="auto"/>
            <w:vAlign w:val="center"/>
          </w:tcPr>
          <w:p w14:paraId="2E5FC5F6" w14:textId="4C6B8E64" w:rsidR="00AC3EF2" w:rsidRPr="00781112" w:rsidRDefault="00AC3EF2" w:rsidP="00D62058">
            <w:pPr>
              <w:jc w:val="center"/>
              <w:rPr>
                <w:rFonts w:cs="Arial"/>
                <w:color w:val="000000" w:themeColor="text1"/>
                <w:szCs w:val="16"/>
              </w:rPr>
            </w:pPr>
            <w:r w:rsidRPr="00781112">
              <w:rPr>
                <w:rFonts w:cs="Arial"/>
                <w:color w:val="000000" w:themeColor="text1"/>
                <w:szCs w:val="16"/>
              </w:rPr>
              <w:t>50.75%</w:t>
            </w:r>
          </w:p>
        </w:tc>
        <w:tc>
          <w:tcPr>
            <w:tcW w:w="1362" w:type="pct"/>
          </w:tcPr>
          <w:p w14:paraId="4C26EA28" w14:textId="691A218F" w:rsidR="00AC3EF2" w:rsidRPr="00781112" w:rsidRDefault="00AC3EF2" w:rsidP="00360DD6">
            <w:pPr>
              <w:jc w:val="center"/>
              <w:rPr>
                <w:rFonts w:cs="Arial"/>
                <w:color w:val="000000" w:themeColor="text1"/>
                <w:szCs w:val="16"/>
              </w:rPr>
            </w:pPr>
            <w:r w:rsidRPr="00781112">
              <w:rPr>
                <w:rFonts w:cs="Arial"/>
                <w:color w:val="000000" w:themeColor="text1"/>
                <w:szCs w:val="16"/>
              </w:rPr>
              <w:t>51.25%</w:t>
            </w:r>
          </w:p>
        </w:tc>
        <w:tc>
          <w:tcPr>
            <w:tcW w:w="1367" w:type="pct"/>
          </w:tcPr>
          <w:p w14:paraId="0BF1D9D9" w14:textId="482D9F05" w:rsidR="00AC3EF2" w:rsidRPr="00781112" w:rsidRDefault="00AC3EF2" w:rsidP="00360DD6">
            <w:pPr>
              <w:jc w:val="center"/>
              <w:rPr>
                <w:rFonts w:cs="Arial"/>
                <w:color w:val="000000" w:themeColor="text1"/>
                <w:szCs w:val="16"/>
              </w:rPr>
            </w:pPr>
            <w:r w:rsidRPr="00781112">
              <w:rPr>
                <w:rFonts w:cs="Arial"/>
                <w:color w:val="000000" w:themeColor="text1"/>
                <w:szCs w:val="16"/>
              </w:rPr>
              <w:t>51.75%</w:t>
            </w:r>
          </w:p>
        </w:tc>
      </w:tr>
      <w:tr w:rsidR="00AC3EF2" w:rsidRPr="00781112" w14:paraId="3AA5E8F7" w14:textId="085D0F95" w:rsidTr="00FE4611">
        <w:trPr>
          <w:trHeight w:val="303"/>
        </w:trPr>
        <w:tc>
          <w:tcPr>
            <w:tcW w:w="908" w:type="pct"/>
            <w:shd w:val="clear" w:color="auto" w:fill="auto"/>
            <w:vAlign w:val="center"/>
          </w:tcPr>
          <w:p w14:paraId="49E152B3" w14:textId="4DC08CD2" w:rsidR="00AC3EF2" w:rsidRPr="00781112" w:rsidRDefault="00AC3EF2" w:rsidP="00BA3DBE">
            <w:pPr>
              <w:jc w:val="center"/>
              <w:rPr>
                <w:rFonts w:cs="Arial"/>
                <w:color w:val="000000" w:themeColor="text1"/>
                <w:szCs w:val="16"/>
              </w:rPr>
            </w:pPr>
            <w:r w:rsidRPr="00781112">
              <w:rPr>
                <w:rFonts w:cs="Arial"/>
                <w:color w:val="000000" w:themeColor="text1"/>
                <w:szCs w:val="16"/>
              </w:rPr>
              <w:t>Target B &lt;=</w:t>
            </w:r>
          </w:p>
        </w:tc>
        <w:tc>
          <w:tcPr>
            <w:tcW w:w="1362" w:type="pct"/>
            <w:shd w:val="clear" w:color="auto" w:fill="auto"/>
            <w:vAlign w:val="center"/>
          </w:tcPr>
          <w:p w14:paraId="642E6A80" w14:textId="7A6AF652" w:rsidR="00AC3EF2" w:rsidRPr="00781112" w:rsidRDefault="00AC3EF2" w:rsidP="00D62058">
            <w:pPr>
              <w:jc w:val="center"/>
              <w:rPr>
                <w:rFonts w:cs="Arial"/>
                <w:color w:val="000000" w:themeColor="text1"/>
                <w:szCs w:val="16"/>
              </w:rPr>
            </w:pPr>
            <w:r w:rsidRPr="00781112">
              <w:rPr>
                <w:rFonts w:cs="Arial"/>
                <w:color w:val="000000" w:themeColor="text1"/>
                <w:szCs w:val="16"/>
              </w:rPr>
              <w:t>9.30%</w:t>
            </w:r>
          </w:p>
        </w:tc>
        <w:tc>
          <w:tcPr>
            <w:tcW w:w="1362" w:type="pct"/>
          </w:tcPr>
          <w:p w14:paraId="752B6B9E" w14:textId="3979D870" w:rsidR="00AC3EF2" w:rsidRPr="00781112" w:rsidRDefault="00AC3EF2" w:rsidP="00360DD6">
            <w:pPr>
              <w:jc w:val="center"/>
              <w:rPr>
                <w:rFonts w:cs="Arial"/>
                <w:color w:val="000000" w:themeColor="text1"/>
                <w:szCs w:val="16"/>
              </w:rPr>
            </w:pPr>
            <w:r w:rsidRPr="00781112">
              <w:rPr>
                <w:rFonts w:cs="Arial"/>
                <w:color w:val="000000" w:themeColor="text1"/>
                <w:szCs w:val="16"/>
              </w:rPr>
              <w:t>9.20%</w:t>
            </w:r>
          </w:p>
        </w:tc>
        <w:tc>
          <w:tcPr>
            <w:tcW w:w="1367" w:type="pct"/>
          </w:tcPr>
          <w:p w14:paraId="1DCC77D9" w14:textId="4B30FDBE" w:rsidR="00AC3EF2" w:rsidRPr="00781112" w:rsidRDefault="00AC3EF2" w:rsidP="00360DD6">
            <w:pPr>
              <w:jc w:val="center"/>
              <w:rPr>
                <w:rFonts w:cs="Arial"/>
                <w:color w:val="000000" w:themeColor="text1"/>
                <w:szCs w:val="16"/>
              </w:rPr>
            </w:pPr>
            <w:r w:rsidRPr="00781112">
              <w:rPr>
                <w:rFonts w:cs="Arial"/>
                <w:color w:val="000000" w:themeColor="text1"/>
                <w:szCs w:val="16"/>
              </w:rPr>
              <w:t>9.10%</w:t>
            </w:r>
          </w:p>
        </w:tc>
      </w:tr>
    </w:tbl>
    <w:p w14:paraId="27170CED" w14:textId="772C81FC" w:rsidR="00E428BD" w:rsidRDefault="00E428BD" w:rsidP="004369B2">
      <w:pPr>
        <w:rPr>
          <w:color w:val="000000" w:themeColor="text1"/>
        </w:rPr>
      </w:pPr>
      <w:bookmarkStart w:id="36" w:name="_Toc382082378"/>
      <w:bookmarkStart w:id="37" w:name="_Toc392159302"/>
    </w:p>
    <w:p w14:paraId="38AC4E98" w14:textId="77777777" w:rsidR="0040181B" w:rsidRPr="00781112" w:rsidRDefault="0040181B" w:rsidP="0040181B">
      <w:pPr>
        <w:rPr>
          <w:b/>
          <w:bCs/>
          <w:color w:val="000000" w:themeColor="text1"/>
        </w:rPr>
      </w:pPr>
      <w:r w:rsidRPr="00781112">
        <w:rPr>
          <w:b/>
          <w:bCs/>
        </w:rPr>
        <w:t>Inclusive Targets – 6C</w:t>
      </w:r>
    </w:p>
    <w:tbl>
      <w:tblPr>
        <w:tblW w:w="2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CTARGETSINCL"/>
      </w:tblPr>
      <w:tblGrid>
        <w:gridCol w:w="1078"/>
        <w:gridCol w:w="1617"/>
        <w:gridCol w:w="1617"/>
        <w:gridCol w:w="1623"/>
      </w:tblGrid>
      <w:tr w:rsidR="00AB2AE1" w:rsidRPr="00781112" w14:paraId="6B43903F" w14:textId="77777777" w:rsidTr="00FE4611">
        <w:trPr>
          <w:trHeight w:val="297"/>
        </w:trPr>
        <w:tc>
          <w:tcPr>
            <w:tcW w:w="908" w:type="pct"/>
            <w:tcBorders>
              <w:bottom w:val="single" w:sz="4" w:space="0" w:color="auto"/>
            </w:tcBorders>
            <w:shd w:val="clear" w:color="auto" w:fill="auto"/>
          </w:tcPr>
          <w:p w14:paraId="454FDD0F" w14:textId="77777777" w:rsidR="00AB2AE1" w:rsidRPr="00781112" w:rsidRDefault="00AB2AE1" w:rsidP="00992ACE">
            <w:pPr>
              <w:jc w:val="center"/>
              <w:rPr>
                <w:b/>
                <w:color w:val="000000" w:themeColor="text1"/>
              </w:rPr>
            </w:pPr>
            <w:r w:rsidRPr="00781112">
              <w:rPr>
                <w:b/>
                <w:color w:val="000000" w:themeColor="text1"/>
              </w:rPr>
              <w:t>FFY</w:t>
            </w:r>
          </w:p>
        </w:tc>
        <w:tc>
          <w:tcPr>
            <w:tcW w:w="1362" w:type="pct"/>
            <w:shd w:val="clear" w:color="auto" w:fill="auto"/>
          </w:tcPr>
          <w:p w14:paraId="23E06477" w14:textId="77777777" w:rsidR="00AB2AE1" w:rsidRPr="00781112" w:rsidRDefault="00AB2AE1" w:rsidP="00992ACE">
            <w:pPr>
              <w:jc w:val="center"/>
              <w:rPr>
                <w:b/>
                <w:color w:val="000000" w:themeColor="text1"/>
              </w:rPr>
            </w:pPr>
            <w:r w:rsidRPr="00781112">
              <w:rPr>
                <w:b/>
                <w:color w:val="000000" w:themeColor="text1"/>
              </w:rPr>
              <w:t>2023</w:t>
            </w:r>
          </w:p>
        </w:tc>
        <w:tc>
          <w:tcPr>
            <w:tcW w:w="1362" w:type="pct"/>
          </w:tcPr>
          <w:p w14:paraId="727ADECD" w14:textId="77777777" w:rsidR="00AB2AE1" w:rsidRPr="00781112" w:rsidRDefault="00AB2AE1" w:rsidP="00992ACE">
            <w:pPr>
              <w:jc w:val="center"/>
              <w:rPr>
                <w:b/>
                <w:color w:val="000000" w:themeColor="text1"/>
              </w:rPr>
            </w:pPr>
            <w:r w:rsidRPr="00781112">
              <w:rPr>
                <w:b/>
                <w:color w:val="000000" w:themeColor="text1"/>
              </w:rPr>
              <w:t>2024</w:t>
            </w:r>
          </w:p>
        </w:tc>
        <w:tc>
          <w:tcPr>
            <w:tcW w:w="1367" w:type="pct"/>
          </w:tcPr>
          <w:p w14:paraId="6EC259CD" w14:textId="77777777" w:rsidR="00AB2AE1" w:rsidRPr="00781112" w:rsidRDefault="00AB2AE1" w:rsidP="00992ACE">
            <w:pPr>
              <w:jc w:val="center"/>
              <w:rPr>
                <w:b/>
                <w:color w:val="000000" w:themeColor="text1"/>
              </w:rPr>
            </w:pPr>
            <w:r w:rsidRPr="00781112">
              <w:rPr>
                <w:b/>
                <w:color w:val="000000" w:themeColor="text1"/>
              </w:rPr>
              <w:t>2025</w:t>
            </w:r>
          </w:p>
        </w:tc>
      </w:tr>
      <w:tr w:rsidR="00AB2AE1" w:rsidRPr="00781112" w14:paraId="38A2A2D3" w14:textId="77777777" w:rsidTr="00FE4611">
        <w:trPr>
          <w:trHeight w:val="303"/>
        </w:trPr>
        <w:tc>
          <w:tcPr>
            <w:tcW w:w="908" w:type="pct"/>
            <w:shd w:val="clear" w:color="auto" w:fill="auto"/>
            <w:vAlign w:val="center"/>
          </w:tcPr>
          <w:p w14:paraId="1A01A931" w14:textId="77777777" w:rsidR="00AB2AE1" w:rsidRPr="00781112" w:rsidRDefault="00AB2AE1" w:rsidP="00BA3DBE">
            <w:pPr>
              <w:jc w:val="center"/>
              <w:rPr>
                <w:rFonts w:cs="Arial"/>
                <w:color w:val="000000" w:themeColor="text1"/>
                <w:szCs w:val="16"/>
              </w:rPr>
            </w:pPr>
            <w:r w:rsidRPr="00781112">
              <w:rPr>
                <w:rFonts w:cs="Arial"/>
                <w:color w:val="000000" w:themeColor="text1"/>
                <w:szCs w:val="16"/>
              </w:rPr>
              <w:t>Target C &lt;=</w:t>
            </w:r>
          </w:p>
        </w:tc>
        <w:tc>
          <w:tcPr>
            <w:tcW w:w="1362" w:type="pct"/>
            <w:shd w:val="clear" w:color="auto" w:fill="auto"/>
            <w:vAlign w:val="center"/>
          </w:tcPr>
          <w:p w14:paraId="4CC46A48" w14:textId="77777777" w:rsidR="00AB2AE1" w:rsidRPr="00781112" w:rsidRDefault="00AB2AE1" w:rsidP="00992ACE">
            <w:pPr>
              <w:jc w:val="center"/>
              <w:rPr>
                <w:rFonts w:cs="Arial"/>
                <w:color w:val="000000" w:themeColor="text1"/>
                <w:szCs w:val="16"/>
              </w:rPr>
            </w:pPr>
            <w:r w:rsidRPr="00781112">
              <w:rPr>
                <w:rFonts w:cs="Arial"/>
                <w:color w:val="000000" w:themeColor="text1"/>
                <w:szCs w:val="16"/>
              </w:rPr>
              <w:t>2.23%</w:t>
            </w:r>
          </w:p>
        </w:tc>
        <w:tc>
          <w:tcPr>
            <w:tcW w:w="1362" w:type="pct"/>
          </w:tcPr>
          <w:p w14:paraId="262E2FD0" w14:textId="77777777" w:rsidR="00AB2AE1" w:rsidRPr="00781112" w:rsidRDefault="00AB2AE1" w:rsidP="00992ACE">
            <w:pPr>
              <w:jc w:val="center"/>
              <w:rPr>
                <w:rFonts w:cs="Arial"/>
                <w:color w:val="000000" w:themeColor="text1"/>
                <w:szCs w:val="16"/>
              </w:rPr>
            </w:pPr>
            <w:r w:rsidRPr="00781112">
              <w:rPr>
                <w:rFonts w:cs="Arial"/>
                <w:color w:val="000000" w:themeColor="text1"/>
                <w:szCs w:val="16"/>
              </w:rPr>
              <w:t>2.22%</w:t>
            </w:r>
          </w:p>
        </w:tc>
        <w:tc>
          <w:tcPr>
            <w:tcW w:w="1367" w:type="pct"/>
          </w:tcPr>
          <w:p w14:paraId="54ED085E" w14:textId="77777777" w:rsidR="00AB2AE1" w:rsidRPr="00781112" w:rsidRDefault="00AB2AE1" w:rsidP="00992ACE">
            <w:pPr>
              <w:jc w:val="center"/>
              <w:rPr>
                <w:rFonts w:cs="Arial"/>
                <w:color w:val="000000" w:themeColor="text1"/>
                <w:szCs w:val="16"/>
              </w:rPr>
            </w:pPr>
            <w:r w:rsidRPr="00781112">
              <w:rPr>
                <w:rFonts w:cs="Arial"/>
                <w:color w:val="000000" w:themeColor="text1"/>
                <w:szCs w:val="16"/>
              </w:rPr>
              <w:t>2.21%</w:t>
            </w:r>
          </w:p>
        </w:tc>
      </w:tr>
    </w:tbl>
    <w:p w14:paraId="6F4455E5" w14:textId="77777777" w:rsidR="0040181B" w:rsidRPr="00781112" w:rsidRDefault="0040181B" w:rsidP="0040181B">
      <w:pPr>
        <w:rPr>
          <w:color w:val="000000" w:themeColor="text1"/>
        </w:rPr>
      </w:pPr>
    </w:p>
    <w:p w14:paraId="50508AD8" w14:textId="0C71BBD3" w:rsidR="008751D3" w:rsidRPr="00781112" w:rsidRDefault="008751D3" w:rsidP="004369B2">
      <w:pPr>
        <w:rPr>
          <w:b/>
          <w:color w:val="000000" w:themeColor="text1"/>
        </w:rPr>
      </w:pPr>
      <w:r w:rsidRPr="00781112">
        <w:rPr>
          <w:b/>
          <w:color w:val="000000" w:themeColor="text1"/>
        </w:rPr>
        <w:t>Prepopulated Data</w:t>
      </w:r>
    </w:p>
    <w:p w14:paraId="4FE8FE34"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Data Source:  </w:t>
      </w:r>
    </w:p>
    <w:p w14:paraId="386CE8B6" w14:textId="365EFD16" w:rsidR="004F4564" w:rsidRPr="00781112" w:rsidRDefault="004F4564" w:rsidP="004F4564">
      <w:pPr>
        <w:rPr>
          <w:rFonts w:cs="Arial"/>
          <w:color w:val="000000" w:themeColor="text1"/>
          <w:szCs w:val="16"/>
        </w:rPr>
      </w:pPr>
      <w:r w:rsidRPr="00781112">
        <w:rPr>
          <w:rFonts w:cs="Arial"/>
          <w:color w:val="000000" w:themeColor="text1"/>
          <w:szCs w:val="16"/>
        </w:rPr>
        <w:t>SY 2023-24 Child Count/Educational Environment Data Groups (EDFacts file spec FS089; Data group 613)</w:t>
      </w:r>
    </w:p>
    <w:p w14:paraId="4528541A"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Date: </w:t>
      </w:r>
    </w:p>
    <w:p w14:paraId="372F35F3" w14:textId="3C0B439F" w:rsidR="004F4564" w:rsidRPr="00781112" w:rsidRDefault="004F4564" w:rsidP="004F4564">
      <w:pPr>
        <w:rPr>
          <w:rFonts w:cs="Arial"/>
          <w:color w:val="000000" w:themeColor="text1"/>
          <w:szCs w:val="16"/>
        </w:rPr>
      </w:pPr>
      <w:r w:rsidRPr="00781112">
        <w:rPr>
          <w:rFonts w:cs="Arial"/>
          <w:color w:val="000000" w:themeColor="text1"/>
          <w:szCs w:val="16"/>
        </w:rPr>
        <w:t>07/31/2024</w:t>
      </w:r>
    </w:p>
    <w:p w14:paraId="023F428E" w14:textId="77777777" w:rsidR="004F4564" w:rsidRPr="00781112" w:rsidRDefault="004F4564"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06PREPOPDATA"/>
      </w:tblPr>
      <w:tblGrid>
        <w:gridCol w:w="3348"/>
        <w:gridCol w:w="1862"/>
        <w:gridCol w:w="1862"/>
        <w:gridCol w:w="1862"/>
        <w:gridCol w:w="1856"/>
      </w:tblGrid>
      <w:tr w:rsidR="00E25159" w:rsidRPr="00781112" w14:paraId="08E6335C" w14:textId="3E29B965" w:rsidTr="00360DD6">
        <w:trPr>
          <w:cantSplit/>
          <w:tblHeader/>
        </w:trPr>
        <w:tc>
          <w:tcPr>
            <w:tcW w:w="1551" w:type="pct"/>
            <w:shd w:val="clear" w:color="auto" w:fill="auto"/>
          </w:tcPr>
          <w:p w14:paraId="47ECA16E" w14:textId="77777777" w:rsidR="00E25159" w:rsidRPr="00781112" w:rsidRDefault="00E25159" w:rsidP="009C613A">
            <w:pPr>
              <w:spacing w:after="0"/>
              <w:jc w:val="center"/>
              <w:rPr>
                <w:rFonts w:cs="Arial"/>
                <w:b/>
                <w:color w:val="000000" w:themeColor="text1"/>
                <w:szCs w:val="16"/>
              </w:rPr>
            </w:pPr>
            <w:r w:rsidRPr="00781112">
              <w:rPr>
                <w:rFonts w:cs="Arial"/>
                <w:b/>
                <w:color w:val="000000" w:themeColor="text1"/>
                <w:szCs w:val="16"/>
              </w:rPr>
              <w:t>Description</w:t>
            </w:r>
          </w:p>
        </w:tc>
        <w:tc>
          <w:tcPr>
            <w:tcW w:w="863" w:type="pct"/>
          </w:tcPr>
          <w:p w14:paraId="06AF5DE5" w14:textId="64A96718"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3</w:t>
            </w:r>
          </w:p>
        </w:tc>
        <w:tc>
          <w:tcPr>
            <w:tcW w:w="863" w:type="pct"/>
          </w:tcPr>
          <w:p w14:paraId="43D1389C" w14:textId="51E4E6FF"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4</w:t>
            </w:r>
          </w:p>
        </w:tc>
        <w:tc>
          <w:tcPr>
            <w:tcW w:w="863" w:type="pct"/>
            <w:shd w:val="clear" w:color="auto" w:fill="auto"/>
          </w:tcPr>
          <w:p w14:paraId="5BF9C35D" w14:textId="53AE3D4B"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5</w:t>
            </w:r>
          </w:p>
        </w:tc>
        <w:tc>
          <w:tcPr>
            <w:tcW w:w="860" w:type="pct"/>
          </w:tcPr>
          <w:p w14:paraId="61BA1D5F" w14:textId="4D953D5F" w:rsidR="00E25159" w:rsidRPr="00781112" w:rsidRDefault="00BB48E9" w:rsidP="009C613A">
            <w:pPr>
              <w:spacing w:after="0"/>
              <w:jc w:val="center"/>
              <w:rPr>
                <w:rFonts w:cs="Arial"/>
                <w:b/>
                <w:color w:val="000000" w:themeColor="text1"/>
                <w:szCs w:val="16"/>
              </w:rPr>
            </w:pPr>
            <w:r w:rsidRPr="00781112">
              <w:rPr>
                <w:rFonts w:cs="Arial"/>
                <w:b/>
                <w:szCs w:val="16"/>
              </w:rPr>
              <w:t>3 through 5 - Total</w:t>
            </w:r>
          </w:p>
        </w:tc>
      </w:tr>
      <w:tr w:rsidR="00DC09CA" w:rsidRPr="00781112" w14:paraId="4FFA6181" w14:textId="716A2CB6" w:rsidTr="00360DD6">
        <w:trPr>
          <w:cantSplit/>
        </w:trPr>
        <w:tc>
          <w:tcPr>
            <w:tcW w:w="1551" w:type="pct"/>
            <w:shd w:val="clear" w:color="auto" w:fill="auto"/>
            <w:vAlign w:val="bottom"/>
          </w:tcPr>
          <w:p w14:paraId="0C7ED212" w14:textId="5E72519E" w:rsidR="00DC09CA" w:rsidRPr="00781112" w:rsidRDefault="00DC09CA" w:rsidP="00DC09CA">
            <w:pPr>
              <w:rPr>
                <w:rFonts w:cs="Arial"/>
                <w:color w:val="000000" w:themeColor="text1"/>
                <w:szCs w:val="16"/>
              </w:rPr>
            </w:pPr>
            <w:r w:rsidRPr="00781112">
              <w:rPr>
                <w:rFonts w:cs="Arial"/>
                <w:color w:val="000000" w:themeColor="text1"/>
                <w:szCs w:val="16"/>
              </w:rPr>
              <w:t>Total number of children with IEPs</w:t>
            </w:r>
          </w:p>
        </w:tc>
        <w:tc>
          <w:tcPr>
            <w:tcW w:w="863" w:type="pct"/>
            <w:vAlign w:val="bottom"/>
          </w:tcPr>
          <w:p w14:paraId="20DD7859" w14:textId="2613E52D" w:rsidR="00DC09CA" w:rsidRPr="00781112" w:rsidRDefault="00DC09CA" w:rsidP="00DC09CA">
            <w:pPr>
              <w:jc w:val="center"/>
              <w:rPr>
                <w:rFonts w:cs="Arial"/>
                <w:color w:val="000000" w:themeColor="text1"/>
                <w:szCs w:val="16"/>
              </w:rPr>
            </w:pPr>
            <w:r w:rsidRPr="00781112">
              <w:rPr>
                <w:rFonts w:cs="Arial"/>
                <w:color w:val="000000" w:themeColor="text1"/>
                <w:szCs w:val="16"/>
              </w:rPr>
              <w:t>1,161</w:t>
            </w:r>
          </w:p>
        </w:tc>
        <w:tc>
          <w:tcPr>
            <w:tcW w:w="863" w:type="pct"/>
          </w:tcPr>
          <w:p w14:paraId="05D687A1" w14:textId="615962C4" w:rsidR="00DC09CA" w:rsidRPr="00781112" w:rsidRDefault="00DC09CA" w:rsidP="00DC09CA">
            <w:pPr>
              <w:jc w:val="center"/>
              <w:rPr>
                <w:rFonts w:cs="Arial"/>
                <w:color w:val="000000" w:themeColor="text1"/>
                <w:szCs w:val="16"/>
              </w:rPr>
            </w:pPr>
            <w:r w:rsidRPr="00781112">
              <w:rPr>
                <w:rFonts w:cs="Arial"/>
                <w:color w:val="000000" w:themeColor="text1"/>
                <w:szCs w:val="16"/>
              </w:rPr>
              <w:t>1,801</w:t>
            </w:r>
          </w:p>
        </w:tc>
        <w:tc>
          <w:tcPr>
            <w:tcW w:w="863" w:type="pct"/>
            <w:shd w:val="clear" w:color="auto" w:fill="auto"/>
          </w:tcPr>
          <w:p w14:paraId="784DA572" w14:textId="619FE690" w:rsidR="00DC09CA" w:rsidRPr="00781112" w:rsidRDefault="00DC09CA" w:rsidP="00DC09CA">
            <w:pPr>
              <w:jc w:val="center"/>
              <w:rPr>
                <w:rFonts w:cs="Arial"/>
                <w:color w:val="000000" w:themeColor="text1"/>
                <w:szCs w:val="16"/>
              </w:rPr>
            </w:pPr>
            <w:r w:rsidRPr="00781112">
              <w:rPr>
                <w:rFonts w:cs="Arial"/>
                <w:color w:val="000000" w:themeColor="text1"/>
                <w:szCs w:val="16"/>
              </w:rPr>
              <w:t>993</w:t>
            </w:r>
          </w:p>
        </w:tc>
        <w:tc>
          <w:tcPr>
            <w:tcW w:w="860" w:type="pct"/>
            <w:vAlign w:val="bottom"/>
          </w:tcPr>
          <w:p w14:paraId="11422879" w14:textId="0ABA0049" w:rsidR="00DC09CA" w:rsidRPr="00781112" w:rsidRDefault="00DC09CA" w:rsidP="00DC09CA">
            <w:pPr>
              <w:jc w:val="center"/>
              <w:rPr>
                <w:rFonts w:cs="Arial"/>
                <w:color w:val="000000" w:themeColor="text1"/>
                <w:szCs w:val="16"/>
              </w:rPr>
            </w:pPr>
            <w:r w:rsidRPr="00781112">
              <w:rPr>
                <w:rFonts w:cs="Arial"/>
                <w:color w:val="000000" w:themeColor="text1"/>
                <w:szCs w:val="16"/>
              </w:rPr>
              <w:t>3,955</w:t>
            </w:r>
          </w:p>
        </w:tc>
      </w:tr>
      <w:tr w:rsidR="00AA6D68" w:rsidRPr="00781112" w14:paraId="60B80599" w14:textId="5C935507" w:rsidTr="00360DD6">
        <w:trPr>
          <w:cantSplit/>
        </w:trPr>
        <w:tc>
          <w:tcPr>
            <w:tcW w:w="1551" w:type="pct"/>
            <w:shd w:val="clear" w:color="auto" w:fill="auto"/>
            <w:vAlign w:val="bottom"/>
          </w:tcPr>
          <w:p w14:paraId="143C4F1B" w14:textId="07512ED2" w:rsidR="00AA6D68" w:rsidRPr="00781112" w:rsidRDefault="00AA6D68" w:rsidP="00AA6D68">
            <w:pPr>
              <w:rPr>
                <w:rFonts w:cs="Arial"/>
                <w:color w:val="000000" w:themeColor="text1"/>
                <w:szCs w:val="16"/>
              </w:rPr>
            </w:pPr>
            <w:r w:rsidRPr="00781112">
              <w:rPr>
                <w:rFonts w:cs="Arial"/>
                <w:color w:val="000000" w:themeColor="text1"/>
                <w:szCs w:val="16"/>
              </w:rPr>
              <w:t>a1. Number of children attending a regular early childhood program and receiving the majority of special education and related services in the regular early childhood program</w:t>
            </w:r>
          </w:p>
        </w:tc>
        <w:tc>
          <w:tcPr>
            <w:tcW w:w="863" w:type="pct"/>
            <w:vAlign w:val="bottom"/>
          </w:tcPr>
          <w:p w14:paraId="659D2B47" w14:textId="4A180B03" w:rsidR="00AA6D68" w:rsidRPr="00781112" w:rsidRDefault="00AA6D68" w:rsidP="00AA6D68">
            <w:pPr>
              <w:jc w:val="center"/>
              <w:rPr>
                <w:rFonts w:cs="Arial"/>
                <w:color w:val="000000" w:themeColor="text1"/>
                <w:szCs w:val="16"/>
              </w:rPr>
            </w:pPr>
            <w:r w:rsidRPr="00781112">
              <w:rPr>
                <w:rFonts w:cs="Arial"/>
                <w:color w:val="000000" w:themeColor="text1"/>
                <w:szCs w:val="16"/>
              </w:rPr>
              <w:t>712</w:t>
            </w:r>
          </w:p>
        </w:tc>
        <w:tc>
          <w:tcPr>
            <w:tcW w:w="863" w:type="pct"/>
            <w:vAlign w:val="bottom"/>
          </w:tcPr>
          <w:p w14:paraId="2D2F33A9" w14:textId="09F0EE8B" w:rsidR="00AA6D68" w:rsidRPr="00781112" w:rsidRDefault="00AA6D68" w:rsidP="00AA6D68">
            <w:pPr>
              <w:jc w:val="center"/>
              <w:rPr>
                <w:rFonts w:cs="Arial"/>
                <w:color w:val="000000" w:themeColor="text1"/>
                <w:szCs w:val="16"/>
              </w:rPr>
            </w:pPr>
            <w:r w:rsidRPr="00781112">
              <w:rPr>
                <w:rFonts w:cs="Arial"/>
                <w:color w:val="000000" w:themeColor="text1"/>
                <w:szCs w:val="16"/>
              </w:rPr>
              <w:t>1,187</w:t>
            </w:r>
          </w:p>
        </w:tc>
        <w:tc>
          <w:tcPr>
            <w:tcW w:w="863" w:type="pct"/>
            <w:shd w:val="clear" w:color="auto" w:fill="auto"/>
            <w:vAlign w:val="bottom"/>
          </w:tcPr>
          <w:p w14:paraId="68B37A39" w14:textId="60285701" w:rsidR="00AA6D68" w:rsidRPr="00781112" w:rsidRDefault="00AA6D68" w:rsidP="00AA6D68">
            <w:pPr>
              <w:jc w:val="center"/>
              <w:rPr>
                <w:rFonts w:cs="Arial"/>
                <w:color w:val="000000" w:themeColor="text1"/>
                <w:szCs w:val="16"/>
              </w:rPr>
            </w:pPr>
            <w:r w:rsidRPr="00781112">
              <w:rPr>
                <w:rFonts w:cs="Arial"/>
                <w:color w:val="000000" w:themeColor="text1"/>
                <w:szCs w:val="16"/>
              </w:rPr>
              <w:t>658</w:t>
            </w:r>
          </w:p>
        </w:tc>
        <w:tc>
          <w:tcPr>
            <w:tcW w:w="860" w:type="pct"/>
            <w:vAlign w:val="bottom"/>
          </w:tcPr>
          <w:p w14:paraId="1B31D3BF" w14:textId="343E52C8" w:rsidR="00AA6D68" w:rsidRPr="00781112" w:rsidRDefault="00AA6D68" w:rsidP="00AA6D68">
            <w:pPr>
              <w:jc w:val="center"/>
              <w:rPr>
                <w:rFonts w:cs="Arial"/>
                <w:color w:val="000000" w:themeColor="text1"/>
                <w:szCs w:val="16"/>
              </w:rPr>
            </w:pPr>
            <w:r w:rsidRPr="00781112">
              <w:rPr>
                <w:rFonts w:cs="Arial"/>
                <w:color w:val="000000" w:themeColor="text1"/>
                <w:szCs w:val="16"/>
              </w:rPr>
              <w:t>2,557</w:t>
            </w:r>
          </w:p>
        </w:tc>
      </w:tr>
      <w:tr w:rsidR="00AA6D68" w:rsidRPr="00781112" w14:paraId="582B62E7" w14:textId="4FE061F8" w:rsidTr="00360DD6">
        <w:trPr>
          <w:cantSplit/>
        </w:trPr>
        <w:tc>
          <w:tcPr>
            <w:tcW w:w="1551" w:type="pct"/>
            <w:shd w:val="clear" w:color="auto" w:fill="auto"/>
            <w:vAlign w:val="bottom"/>
          </w:tcPr>
          <w:p w14:paraId="446012AB" w14:textId="507DD720" w:rsidR="00AA6D68" w:rsidRPr="00781112" w:rsidRDefault="00AA6D68" w:rsidP="00AA6D68">
            <w:pPr>
              <w:rPr>
                <w:rFonts w:cs="Arial"/>
                <w:color w:val="000000" w:themeColor="text1"/>
                <w:szCs w:val="16"/>
              </w:rPr>
            </w:pPr>
            <w:r w:rsidRPr="00781112">
              <w:rPr>
                <w:rFonts w:cs="Arial"/>
                <w:color w:val="000000" w:themeColor="text1"/>
                <w:szCs w:val="16"/>
              </w:rPr>
              <w:t>b1. Number of children attending separate special education class</w:t>
            </w:r>
          </w:p>
        </w:tc>
        <w:tc>
          <w:tcPr>
            <w:tcW w:w="863" w:type="pct"/>
            <w:vAlign w:val="bottom"/>
          </w:tcPr>
          <w:p w14:paraId="5B37B0B3" w14:textId="176B3EE5" w:rsidR="00AA6D68" w:rsidRPr="00781112" w:rsidRDefault="00AA6D68" w:rsidP="00AA6D68">
            <w:pPr>
              <w:jc w:val="center"/>
              <w:rPr>
                <w:rFonts w:cs="Arial"/>
                <w:color w:val="000000" w:themeColor="text1"/>
                <w:szCs w:val="16"/>
              </w:rPr>
            </w:pPr>
            <w:r w:rsidRPr="00781112">
              <w:rPr>
                <w:rFonts w:cs="Arial"/>
                <w:color w:val="000000" w:themeColor="text1"/>
                <w:szCs w:val="16"/>
              </w:rPr>
              <w:t>141</w:t>
            </w:r>
          </w:p>
        </w:tc>
        <w:tc>
          <w:tcPr>
            <w:tcW w:w="863" w:type="pct"/>
            <w:vAlign w:val="bottom"/>
          </w:tcPr>
          <w:p w14:paraId="649C86D1" w14:textId="317BBD6C" w:rsidR="00AA6D68" w:rsidRPr="00781112" w:rsidRDefault="00AA6D68" w:rsidP="00AA6D68">
            <w:pPr>
              <w:jc w:val="center"/>
              <w:rPr>
                <w:rFonts w:cs="Arial"/>
                <w:color w:val="000000" w:themeColor="text1"/>
                <w:szCs w:val="16"/>
              </w:rPr>
            </w:pPr>
            <w:r w:rsidRPr="00781112">
              <w:rPr>
                <w:rFonts w:cs="Arial"/>
                <w:color w:val="000000" w:themeColor="text1"/>
                <w:szCs w:val="16"/>
              </w:rPr>
              <w:t>207</w:t>
            </w:r>
          </w:p>
        </w:tc>
        <w:tc>
          <w:tcPr>
            <w:tcW w:w="863" w:type="pct"/>
            <w:shd w:val="clear" w:color="auto" w:fill="auto"/>
            <w:vAlign w:val="bottom"/>
          </w:tcPr>
          <w:p w14:paraId="34B911BF" w14:textId="069E997C" w:rsidR="00AA6D68" w:rsidRPr="00781112" w:rsidRDefault="00AA6D68" w:rsidP="00AA6D68">
            <w:pPr>
              <w:jc w:val="center"/>
              <w:rPr>
                <w:rFonts w:cs="Arial"/>
                <w:color w:val="000000" w:themeColor="text1"/>
                <w:szCs w:val="16"/>
              </w:rPr>
            </w:pPr>
            <w:r w:rsidRPr="00781112">
              <w:rPr>
                <w:rFonts w:cs="Arial"/>
                <w:color w:val="000000" w:themeColor="text1"/>
                <w:szCs w:val="16"/>
              </w:rPr>
              <w:t>100</w:t>
            </w:r>
          </w:p>
        </w:tc>
        <w:tc>
          <w:tcPr>
            <w:tcW w:w="860" w:type="pct"/>
            <w:vAlign w:val="bottom"/>
          </w:tcPr>
          <w:p w14:paraId="6E1B5396" w14:textId="55FA87AA" w:rsidR="00AA6D68" w:rsidRPr="00781112" w:rsidRDefault="00AA6D68" w:rsidP="00AA6D68">
            <w:pPr>
              <w:jc w:val="center"/>
              <w:rPr>
                <w:rFonts w:cs="Arial"/>
                <w:color w:val="000000" w:themeColor="text1"/>
                <w:szCs w:val="16"/>
              </w:rPr>
            </w:pPr>
            <w:r w:rsidRPr="00781112">
              <w:rPr>
                <w:rFonts w:cs="Arial"/>
                <w:color w:val="000000" w:themeColor="text1"/>
                <w:szCs w:val="16"/>
              </w:rPr>
              <w:t>448</w:t>
            </w:r>
          </w:p>
        </w:tc>
      </w:tr>
      <w:tr w:rsidR="00AA6D68" w:rsidRPr="00781112" w14:paraId="5F08FCEF" w14:textId="35AA1AA1" w:rsidTr="00360DD6">
        <w:trPr>
          <w:cantSplit/>
        </w:trPr>
        <w:tc>
          <w:tcPr>
            <w:tcW w:w="1551" w:type="pct"/>
            <w:shd w:val="clear" w:color="auto" w:fill="auto"/>
            <w:vAlign w:val="bottom"/>
          </w:tcPr>
          <w:p w14:paraId="3C415E88" w14:textId="06B2C03E" w:rsidR="00AA6D68" w:rsidRPr="00781112" w:rsidRDefault="00AA6D68" w:rsidP="00AA6D68">
            <w:pPr>
              <w:rPr>
                <w:rFonts w:cs="Arial"/>
                <w:color w:val="000000" w:themeColor="text1"/>
                <w:szCs w:val="16"/>
              </w:rPr>
            </w:pPr>
            <w:r w:rsidRPr="00781112">
              <w:rPr>
                <w:rFonts w:cs="Arial"/>
                <w:color w:val="000000" w:themeColor="text1"/>
                <w:szCs w:val="16"/>
              </w:rPr>
              <w:t>b2. Number of children attending separate school</w:t>
            </w:r>
          </w:p>
        </w:tc>
        <w:tc>
          <w:tcPr>
            <w:tcW w:w="863" w:type="pct"/>
            <w:vAlign w:val="bottom"/>
          </w:tcPr>
          <w:p w14:paraId="0B0C493F" w14:textId="085891A4"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vAlign w:val="bottom"/>
          </w:tcPr>
          <w:p w14:paraId="7F83F331" w14:textId="1A8FD76D"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shd w:val="clear" w:color="auto" w:fill="auto"/>
            <w:vAlign w:val="bottom"/>
          </w:tcPr>
          <w:p w14:paraId="32D467B1" w14:textId="0D72CE8A"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0" w:type="pct"/>
            <w:vAlign w:val="bottom"/>
          </w:tcPr>
          <w:p w14:paraId="59CC5F97" w14:textId="073369C4"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r>
      <w:tr w:rsidR="00AA6D68" w:rsidRPr="00781112" w14:paraId="285801C1" w14:textId="545BB6C5" w:rsidTr="00360DD6">
        <w:trPr>
          <w:cantSplit/>
        </w:trPr>
        <w:tc>
          <w:tcPr>
            <w:tcW w:w="1551" w:type="pct"/>
            <w:shd w:val="clear" w:color="auto" w:fill="auto"/>
            <w:vAlign w:val="bottom"/>
          </w:tcPr>
          <w:p w14:paraId="4D90BA5B" w14:textId="1285C74B" w:rsidR="00AA6D68" w:rsidRPr="00781112" w:rsidRDefault="00AA6D68" w:rsidP="00AA6D68">
            <w:pPr>
              <w:rPr>
                <w:rFonts w:cs="Arial"/>
                <w:color w:val="000000" w:themeColor="text1"/>
                <w:szCs w:val="16"/>
              </w:rPr>
            </w:pPr>
            <w:r w:rsidRPr="00781112">
              <w:rPr>
                <w:rFonts w:cs="Arial"/>
                <w:color w:val="000000" w:themeColor="text1"/>
                <w:szCs w:val="16"/>
              </w:rPr>
              <w:t>b3. Number of children attending residential facility</w:t>
            </w:r>
          </w:p>
        </w:tc>
        <w:tc>
          <w:tcPr>
            <w:tcW w:w="863" w:type="pct"/>
            <w:vAlign w:val="bottom"/>
          </w:tcPr>
          <w:p w14:paraId="10FA71B8" w14:textId="48D7E7C4"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vAlign w:val="bottom"/>
          </w:tcPr>
          <w:p w14:paraId="3DF044A6" w14:textId="3BE72431"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shd w:val="clear" w:color="auto" w:fill="auto"/>
            <w:vAlign w:val="bottom"/>
          </w:tcPr>
          <w:p w14:paraId="444A24A0" w14:textId="086A4938"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0" w:type="pct"/>
            <w:vAlign w:val="bottom"/>
          </w:tcPr>
          <w:p w14:paraId="5D7F86B2" w14:textId="5A6D31FC"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r>
      <w:tr w:rsidR="00AA6D68" w:rsidRPr="00781112" w14:paraId="162FD575" w14:textId="77777777" w:rsidTr="00360DD6">
        <w:trPr>
          <w:cantSplit/>
        </w:trPr>
        <w:tc>
          <w:tcPr>
            <w:tcW w:w="1551" w:type="pct"/>
            <w:shd w:val="clear" w:color="auto" w:fill="auto"/>
          </w:tcPr>
          <w:p w14:paraId="469B81A7" w14:textId="048681D7" w:rsidR="00AA6D68" w:rsidRPr="00781112" w:rsidRDefault="00AA6D68" w:rsidP="00AA6D68">
            <w:pPr>
              <w:rPr>
                <w:rFonts w:cs="Arial"/>
                <w:color w:val="000000" w:themeColor="text1"/>
                <w:szCs w:val="16"/>
              </w:rPr>
            </w:pPr>
            <w:r w:rsidRPr="00781112">
              <w:rPr>
                <w:rFonts w:cs="Arial"/>
                <w:color w:val="000000"/>
                <w:szCs w:val="16"/>
              </w:rPr>
              <w:t>c1</w:t>
            </w:r>
            <w:r w:rsidRPr="00781112">
              <w:rPr>
                <w:rFonts w:cs="Arial"/>
                <w:b/>
                <w:bCs/>
                <w:color w:val="000000"/>
                <w:szCs w:val="16"/>
              </w:rPr>
              <w:t xml:space="preserve">. </w:t>
            </w:r>
            <w:r w:rsidRPr="00781112">
              <w:rPr>
                <w:rFonts w:cs="Arial"/>
                <w:color w:val="000000"/>
                <w:szCs w:val="16"/>
              </w:rPr>
              <w:t>Number</w:t>
            </w:r>
            <w:r w:rsidRPr="00781112">
              <w:rPr>
                <w:rFonts w:cs="Arial"/>
                <w:b/>
                <w:bCs/>
                <w:color w:val="000000"/>
                <w:szCs w:val="16"/>
              </w:rPr>
              <w:t xml:space="preserve"> </w:t>
            </w:r>
            <w:r w:rsidRPr="00781112">
              <w:rPr>
                <w:rFonts w:cs="Arial"/>
                <w:color w:val="000000"/>
                <w:szCs w:val="16"/>
              </w:rPr>
              <w:t xml:space="preserve">of children receiving </w:t>
            </w:r>
            <w:r w:rsidRPr="00781112">
              <w:rPr>
                <w:rFonts w:cs="Arial"/>
                <w:szCs w:val="16"/>
              </w:rPr>
              <w:t>special education and related services in the home</w:t>
            </w:r>
          </w:p>
        </w:tc>
        <w:tc>
          <w:tcPr>
            <w:tcW w:w="863" w:type="pct"/>
            <w:vAlign w:val="bottom"/>
          </w:tcPr>
          <w:p w14:paraId="56C9B5B7" w14:textId="065E27FB" w:rsidR="00AA6D68" w:rsidRPr="00781112" w:rsidRDefault="00AA6D68" w:rsidP="00AA6D68">
            <w:pPr>
              <w:jc w:val="center"/>
              <w:rPr>
                <w:rFonts w:cs="Arial"/>
                <w:color w:val="000000" w:themeColor="text1"/>
                <w:szCs w:val="16"/>
              </w:rPr>
            </w:pPr>
            <w:r w:rsidRPr="00781112">
              <w:rPr>
                <w:rFonts w:cs="Arial"/>
                <w:color w:val="000000" w:themeColor="text1"/>
                <w:szCs w:val="16"/>
              </w:rPr>
              <w:t>10</w:t>
            </w:r>
          </w:p>
        </w:tc>
        <w:tc>
          <w:tcPr>
            <w:tcW w:w="863" w:type="pct"/>
            <w:vAlign w:val="bottom"/>
          </w:tcPr>
          <w:p w14:paraId="134D035A" w14:textId="14186034" w:rsidR="00AA6D68" w:rsidRPr="00781112" w:rsidRDefault="00AA6D68" w:rsidP="00AA6D68">
            <w:pPr>
              <w:jc w:val="center"/>
              <w:rPr>
                <w:rFonts w:cs="Arial"/>
                <w:color w:val="000000" w:themeColor="text1"/>
                <w:szCs w:val="16"/>
              </w:rPr>
            </w:pPr>
            <w:r w:rsidRPr="00781112">
              <w:rPr>
                <w:rFonts w:cs="Arial"/>
                <w:color w:val="000000" w:themeColor="text1"/>
                <w:szCs w:val="16"/>
              </w:rPr>
              <w:t>8</w:t>
            </w:r>
          </w:p>
        </w:tc>
        <w:tc>
          <w:tcPr>
            <w:tcW w:w="863" w:type="pct"/>
            <w:shd w:val="clear" w:color="auto" w:fill="auto"/>
            <w:vAlign w:val="bottom"/>
          </w:tcPr>
          <w:p w14:paraId="0C864D52" w14:textId="38992EC2" w:rsidR="00AA6D68" w:rsidRPr="00781112" w:rsidDel="00E25159" w:rsidRDefault="00AA6D68" w:rsidP="00AA6D68">
            <w:pPr>
              <w:jc w:val="center"/>
              <w:rPr>
                <w:rFonts w:cs="Arial"/>
                <w:color w:val="000000" w:themeColor="text1"/>
                <w:szCs w:val="16"/>
              </w:rPr>
            </w:pPr>
            <w:r w:rsidRPr="00781112">
              <w:rPr>
                <w:rFonts w:cs="Arial"/>
                <w:color w:val="000000" w:themeColor="text1"/>
                <w:szCs w:val="16"/>
              </w:rPr>
              <w:t>2</w:t>
            </w:r>
          </w:p>
        </w:tc>
        <w:tc>
          <w:tcPr>
            <w:tcW w:w="860" w:type="pct"/>
            <w:vAlign w:val="bottom"/>
          </w:tcPr>
          <w:p w14:paraId="1750EA0E" w14:textId="2B34BC50" w:rsidR="00AA6D68" w:rsidRPr="00781112" w:rsidRDefault="00AA6D68" w:rsidP="00AA6D68">
            <w:pPr>
              <w:jc w:val="center"/>
              <w:rPr>
                <w:rFonts w:cs="Arial"/>
                <w:color w:val="000000" w:themeColor="text1"/>
                <w:szCs w:val="16"/>
              </w:rPr>
            </w:pPr>
            <w:r w:rsidRPr="00781112">
              <w:rPr>
                <w:rFonts w:cs="Arial"/>
                <w:color w:val="000000" w:themeColor="text1"/>
                <w:szCs w:val="16"/>
              </w:rPr>
              <w:t>20</w:t>
            </w:r>
          </w:p>
        </w:tc>
      </w:tr>
    </w:tbl>
    <w:p w14:paraId="68A2C8C5" w14:textId="4EBE62FD" w:rsidR="00AB2A39" w:rsidRPr="00781112" w:rsidRDefault="00AB2A39" w:rsidP="004369B2">
      <w:pPr>
        <w:rPr>
          <w:color w:val="000000" w:themeColor="text1"/>
        </w:rPr>
      </w:pPr>
    </w:p>
    <w:p w14:paraId="051F4366" w14:textId="77777777" w:rsidR="00C910BC" w:rsidRPr="00781112" w:rsidRDefault="00C910BC" w:rsidP="00C910BC">
      <w:pPr>
        <w:rPr>
          <w:b/>
          <w:color w:val="000000" w:themeColor="text1"/>
        </w:rPr>
      </w:pPr>
      <w:r w:rsidRPr="00781112">
        <w:rPr>
          <w:b/>
          <w:color w:val="000000" w:themeColor="text1"/>
        </w:rPr>
        <w:t>Select yes if the data reported in this indicator are not the same as the State’s data reported under section 618 of the IDEA.</w:t>
      </w:r>
    </w:p>
    <w:p w14:paraId="1B696537" w14:textId="29C6B4ED" w:rsidR="00C910BC" w:rsidRPr="00781112" w:rsidRDefault="00C910BC" w:rsidP="00C910BC">
      <w:pPr>
        <w:rPr>
          <w:color w:val="000000" w:themeColor="text1"/>
        </w:rPr>
      </w:pPr>
      <w:r w:rsidRPr="00781112">
        <w:rPr>
          <w:color w:val="000000" w:themeColor="text1"/>
        </w:rPr>
        <w:t>NO</w:t>
      </w:r>
    </w:p>
    <w:p w14:paraId="42C69847" w14:textId="2CAC8037" w:rsidR="002D5ED8" w:rsidRDefault="002D5ED8" w:rsidP="00D16730">
      <w:pPr>
        <w:rPr>
          <w:b/>
          <w:color w:val="000000" w:themeColor="text1"/>
        </w:rPr>
      </w:pPr>
    </w:p>
    <w:p w14:paraId="6C024B4D" w14:textId="77777777" w:rsidR="00D16730" w:rsidRPr="00781112" w:rsidRDefault="00D16730" w:rsidP="007D100A">
      <w:pPr>
        <w:rPr>
          <w:rFonts w:cs="Arial"/>
          <w:color w:val="000000" w:themeColor="text1"/>
          <w:szCs w:val="16"/>
        </w:rPr>
      </w:pPr>
    </w:p>
    <w:p w14:paraId="318E60C6" w14:textId="77777777" w:rsidR="007D100A" w:rsidRPr="00781112" w:rsidRDefault="007D100A" w:rsidP="004369B2">
      <w:pPr>
        <w:rPr>
          <w:b/>
          <w:color w:val="000000" w:themeColor="text1"/>
        </w:rPr>
      </w:pPr>
    </w:p>
    <w:p w14:paraId="0F42B2F6" w14:textId="37ADB66A" w:rsidR="00E60622" w:rsidRPr="00781112" w:rsidRDefault="0047313F" w:rsidP="004369B2">
      <w:pPr>
        <w:rPr>
          <w:b/>
          <w:bCs/>
          <w:color w:val="000000" w:themeColor="text1"/>
        </w:rPr>
      </w:pPr>
      <w:r>
        <w:rPr>
          <w:b/>
          <w:bCs/>
          <w:color w:val="000000" w:themeColor="text1"/>
        </w:rPr>
        <w:t xml:space="preserve">FFY 2023 SPP/APR Data - </w:t>
      </w:r>
      <w:r w:rsidR="00A6295C" w:rsidRPr="00781112">
        <w:rPr>
          <w:rFonts w:cs="Arial"/>
          <w:b/>
          <w:color w:val="000000" w:themeColor="text1"/>
          <w:szCs w:val="16"/>
        </w:rPr>
        <w:t>Aged 3 through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GE3TO5CFFYAPRDATA618"/>
      </w:tblPr>
      <w:tblGrid>
        <w:gridCol w:w="2964"/>
        <w:gridCol w:w="1118"/>
        <w:gridCol w:w="1118"/>
        <w:gridCol w:w="1118"/>
        <w:gridCol w:w="1118"/>
        <w:gridCol w:w="1118"/>
        <w:gridCol w:w="1118"/>
        <w:gridCol w:w="1118"/>
      </w:tblGrid>
      <w:tr w:rsidR="00CC1061" w:rsidRPr="00781112" w14:paraId="38300B51" w14:textId="77777777" w:rsidTr="007239EC">
        <w:trPr>
          <w:trHeight w:val="354"/>
          <w:tblHeader/>
        </w:trPr>
        <w:tc>
          <w:tcPr>
            <w:tcW w:w="1373" w:type="pct"/>
            <w:shd w:val="clear" w:color="auto" w:fill="auto"/>
            <w:vAlign w:val="bottom"/>
          </w:tcPr>
          <w:p w14:paraId="0F38A3C5" w14:textId="3D46820E" w:rsidR="00CC1061" w:rsidRPr="00781112" w:rsidRDefault="00CC1061" w:rsidP="00CC1061">
            <w:pPr>
              <w:jc w:val="center"/>
              <w:rPr>
                <w:rFonts w:cs="Arial"/>
                <w:b/>
                <w:color w:val="000000" w:themeColor="text1"/>
                <w:szCs w:val="16"/>
              </w:rPr>
            </w:pPr>
            <w:r w:rsidRPr="00781112">
              <w:rPr>
                <w:rFonts w:cs="Arial"/>
                <w:b/>
                <w:color w:val="000000" w:themeColor="text1"/>
                <w:szCs w:val="16"/>
              </w:rPr>
              <w:t>Preschool Environments</w:t>
            </w:r>
          </w:p>
        </w:tc>
        <w:tc>
          <w:tcPr>
            <w:tcW w:w="518" w:type="pct"/>
            <w:shd w:val="clear" w:color="auto" w:fill="auto"/>
            <w:vAlign w:val="bottom"/>
          </w:tcPr>
          <w:p w14:paraId="0AEF809B" w14:textId="4D8F18F7" w:rsidR="00CC1061" w:rsidRPr="00781112" w:rsidRDefault="00CC1061" w:rsidP="00CC1061">
            <w:pPr>
              <w:jc w:val="center"/>
              <w:rPr>
                <w:rFonts w:cs="Arial"/>
                <w:b/>
                <w:color w:val="000000" w:themeColor="text1"/>
                <w:szCs w:val="16"/>
              </w:rPr>
            </w:pPr>
            <w:r w:rsidRPr="00781112">
              <w:rPr>
                <w:rFonts w:cs="Arial"/>
                <w:b/>
                <w:color w:val="000000" w:themeColor="text1"/>
                <w:szCs w:val="16"/>
              </w:rPr>
              <w:t>Number of children with IEPs aged 3 through 5 served</w:t>
            </w:r>
          </w:p>
        </w:tc>
        <w:tc>
          <w:tcPr>
            <w:tcW w:w="518" w:type="pct"/>
            <w:shd w:val="clear" w:color="auto" w:fill="auto"/>
            <w:vAlign w:val="bottom"/>
          </w:tcPr>
          <w:p w14:paraId="21256B17" w14:textId="12840CBA" w:rsidR="00CC1061" w:rsidRPr="00781112" w:rsidRDefault="00CC1061" w:rsidP="00CC1061">
            <w:pPr>
              <w:jc w:val="center"/>
              <w:rPr>
                <w:rFonts w:cs="Arial"/>
                <w:b/>
                <w:color w:val="000000" w:themeColor="text1"/>
                <w:szCs w:val="16"/>
              </w:rPr>
            </w:pPr>
            <w:r w:rsidRPr="00781112">
              <w:rPr>
                <w:rFonts w:cs="Arial"/>
                <w:b/>
                <w:color w:val="000000" w:themeColor="text1"/>
                <w:szCs w:val="16"/>
              </w:rPr>
              <w:t>Total number of children with IEPs aged 3 through 5</w:t>
            </w:r>
          </w:p>
        </w:tc>
        <w:tc>
          <w:tcPr>
            <w:tcW w:w="518" w:type="pct"/>
            <w:shd w:val="clear" w:color="auto" w:fill="auto"/>
            <w:vAlign w:val="bottom"/>
          </w:tcPr>
          <w:p w14:paraId="338A0E59" w14:textId="1E3BCDC3" w:rsidR="00CC1061" w:rsidRPr="00781112" w:rsidRDefault="00CC1061" w:rsidP="00CC1061">
            <w:pPr>
              <w:jc w:val="center"/>
              <w:rPr>
                <w:rFonts w:cs="Arial"/>
                <w:b/>
                <w:color w:val="000000" w:themeColor="text1"/>
                <w:szCs w:val="16"/>
              </w:rPr>
            </w:pPr>
            <w:r w:rsidRPr="00073BD7">
              <w:rPr>
                <w:b/>
                <w:bCs/>
              </w:rPr>
              <w:t>FFY 2022 Data</w:t>
            </w:r>
          </w:p>
        </w:tc>
        <w:tc>
          <w:tcPr>
            <w:tcW w:w="518" w:type="pct"/>
            <w:shd w:val="clear" w:color="auto" w:fill="auto"/>
            <w:vAlign w:val="bottom"/>
          </w:tcPr>
          <w:p w14:paraId="525540A0" w14:textId="77516FBA" w:rsidR="00CC1061" w:rsidRPr="00781112" w:rsidRDefault="00CC1061" w:rsidP="00CC1061">
            <w:pPr>
              <w:jc w:val="center"/>
              <w:rPr>
                <w:rFonts w:cs="Arial"/>
                <w:b/>
                <w:color w:val="000000" w:themeColor="text1"/>
                <w:szCs w:val="16"/>
              </w:rPr>
            </w:pPr>
            <w:r w:rsidRPr="00073BD7">
              <w:rPr>
                <w:b/>
                <w:bCs/>
              </w:rPr>
              <w:t>FFY 2023 Target</w:t>
            </w:r>
          </w:p>
        </w:tc>
        <w:tc>
          <w:tcPr>
            <w:tcW w:w="518" w:type="pct"/>
            <w:shd w:val="clear" w:color="auto" w:fill="auto"/>
            <w:vAlign w:val="bottom"/>
          </w:tcPr>
          <w:p w14:paraId="2B9D213A" w14:textId="0A383420" w:rsidR="00CC1061" w:rsidRPr="00781112" w:rsidRDefault="00CC1061" w:rsidP="00CC1061">
            <w:pPr>
              <w:jc w:val="center"/>
              <w:rPr>
                <w:rFonts w:cs="Arial"/>
                <w:b/>
                <w:color w:val="000000" w:themeColor="text1"/>
                <w:szCs w:val="16"/>
              </w:rPr>
            </w:pPr>
            <w:r w:rsidRPr="00073BD7">
              <w:rPr>
                <w:b/>
                <w:bCs/>
              </w:rPr>
              <w:t>FFY 2023 Data</w:t>
            </w:r>
          </w:p>
        </w:tc>
        <w:tc>
          <w:tcPr>
            <w:tcW w:w="518" w:type="pct"/>
            <w:shd w:val="clear" w:color="auto" w:fill="auto"/>
            <w:vAlign w:val="bottom"/>
          </w:tcPr>
          <w:p w14:paraId="46108583"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Status</w:t>
            </w:r>
          </w:p>
        </w:tc>
        <w:tc>
          <w:tcPr>
            <w:tcW w:w="518" w:type="pct"/>
            <w:shd w:val="clear" w:color="auto" w:fill="auto"/>
            <w:vAlign w:val="bottom"/>
          </w:tcPr>
          <w:p w14:paraId="02DECB75"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Slippage</w:t>
            </w:r>
          </w:p>
        </w:tc>
      </w:tr>
      <w:tr w:rsidR="005C29F8" w:rsidRPr="00781112" w14:paraId="57F8AB2C" w14:textId="77777777" w:rsidTr="007239EC">
        <w:trPr>
          <w:trHeight w:val="917"/>
        </w:trPr>
        <w:tc>
          <w:tcPr>
            <w:tcW w:w="1373" w:type="pct"/>
            <w:shd w:val="clear" w:color="auto" w:fill="auto"/>
            <w:vAlign w:val="center"/>
          </w:tcPr>
          <w:p w14:paraId="262EE4AB" w14:textId="15267873"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A. A regular early childhood program and receiving the majority of special education and related services in the regular early childhood program</w:t>
            </w:r>
          </w:p>
        </w:tc>
        <w:tc>
          <w:tcPr>
            <w:tcW w:w="518" w:type="pct"/>
            <w:shd w:val="clear" w:color="auto" w:fill="auto"/>
            <w:vAlign w:val="center"/>
          </w:tcPr>
          <w:p w14:paraId="251726D2" w14:textId="038B4D14" w:rsidR="00CF6742" w:rsidRPr="00781112" w:rsidRDefault="002B7490" w:rsidP="00A018D4">
            <w:pPr>
              <w:jc w:val="center"/>
              <w:rPr>
                <w:rFonts w:cs="Arial"/>
                <w:color w:val="000000" w:themeColor="text1"/>
                <w:szCs w:val="16"/>
              </w:rPr>
            </w:pPr>
            <w:r w:rsidRPr="00781112">
              <w:rPr>
                <w:rFonts w:cs="Arial"/>
                <w:color w:val="000000" w:themeColor="text1"/>
                <w:szCs w:val="16"/>
              </w:rPr>
              <w:t>2,557</w:t>
            </w:r>
          </w:p>
          <w:p w14:paraId="70072E1D" w14:textId="45212F0F" w:rsidR="00CC3A85" w:rsidRPr="00781112" w:rsidRDefault="00CC3A85" w:rsidP="00A018D4">
            <w:pPr>
              <w:jc w:val="center"/>
              <w:rPr>
                <w:rFonts w:cs="Arial"/>
                <w:color w:val="000000" w:themeColor="text1"/>
                <w:szCs w:val="16"/>
              </w:rPr>
            </w:pPr>
          </w:p>
        </w:tc>
        <w:tc>
          <w:tcPr>
            <w:tcW w:w="518" w:type="pct"/>
            <w:shd w:val="clear" w:color="auto" w:fill="auto"/>
            <w:vAlign w:val="center"/>
          </w:tcPr>
          <w:p w14:paraId="5E80FF00" w14:textId="1218B9E8" w:rsidR="00CF6742" w:rsidRPr="00781112" w:rsidRDefault="002B7490" w:rsidP="00A018D4">
            <w:pPr>
              <w:jc w:val="center"/>
              <w:rPr>
                <w:rFonts w:cs="Arial"/>
                <w:color w:val="000000" w:themeColor="text1"/>
                <w:szCs w:val="16"/>
              </w:rPr>
            </w:pPr>
            <w:r w:rsidRPr="00781112">
              <w:rPr>
                <w:rFonts w:cs="Arial"/>
                <w:color w:val="000000" w:themeColor="text1"/>
                <w:szCs w:val="16"/>
              </w:rPr>
              <w:t>3,955</w:t>
            </w:r>
          </w:p>
        </w:tc>
        <w:tc>
          <w:tcPr>
            <w:tcW w:w="518" w:type="pct"/>
            <w:shd w:val="clear" w:color="auto" w:fill="auto"/>
            <w:vAlign w:val="center"/>
          </w:tcPr>
          <w:p w14:paraId="15C39591" w14:textId="59A0B140" w:rsidR="00CF6742" w:rsidRPr="00781112" w:rsidRDefault="002B7490" w:rsidP="00A018D4">
            <w:pPr>
              <w:jc w:val="center"/>
              <w:rPr>
                <w:rFonts w:cs="Arial"/>
                <w:color w:val="000000" w:themeColor="text1"/>
                <w:szCs w:val="16"/>
              </w:rPr>
            </w:pPr>
            <w:r w:rsidRPr="00781112">
              <w:rPr>
                <w:rFonts w:cs="Arial"/>
                <w:color w:val="000000" w:themeColor="text1"/>
                <w:szCs w:val="16"/>
              </w:rPr>
              <w:t>54.48%</w:t>
            </w:r>
          </w:p>
        </w:tc>
        <w:tc>
          <w:tcPr>
            <w:tcW w:w="518" w:type="pct"/>
            <w:shd w:val="clear" w:color="auto" w:fill="auto"/>
            <w:vAlign w:val="center"/>
          </w:tcPr>
          <w:p w14:paraId="0B4DAB1A" w14:textId="6A306EF5" w:rsidR="00CF6742" w:rsidRPr="00781112" w:rsidRDefault="002B7490" w:rsidP="00A018D4">
            <w:pPr>
              <w:jc w:val="center"/>
              <w:rPr>
                <w:rFonts w:cs="Arial"/>
                <w:color w:val="000000" w:themeColor="text1"/>
                <w:szCs w:val="16"/>
              </w:rPr>
            </w:pPr>
            <w:r w:rsidRPr="00781112">
              <w:rPr>
                <w:rFonts w:cs="Arial"/>
                <w:color w:val="000000" w:themeColor="text1"/>
                <w:szCs w:val="16"/>
              </w:rPr>
              <w:t>50.75%</w:t>
            </w:r>
          </w:p>
        </w:tc>
        <w:tc>
          <w:tcPr>
            <w:tcW w:w="518" w:type="pct"/>
            <w:shd w:val="clear" w:color="auto" w:fill="auto"/>
            <w:vAlign w:val="center"/>
          </w:tcPr>
          <w:p w14:paraId="3DA9CC9A" w14:textId="5BC63CA2" w:rsidR="00CF6742" w:rsidRPr="00781112" w:rsidRDefault="002B7490" w:rsidP="00A018D4">
            <w:pPr>
              <w:jc w:val="center"/>
              <w:rPr>
                <w:rFonts w:cs="Arial"/>
                <w:color w:val="000000" w:themeColor="text1"/>
                <w:szCs w:val="16"/>
              </w:rPr>
            </w:pPr>
            <w:r w:rsidRPr="00781112">
              <w:rPr>
                <w:rFonts w:cs="Arial"/>
                <w:color w:val="000000" w:themeColor="text1"/>
                <w:szCs w:val="16"/>
              </w:rPr>
              <w:t>64.65%</w:t>
            </w:r>
          </w:p>
        </w:tc>
        <w:tc>
          <w:tcPr>
            <w:tcW w:w="518" w:type="pct"/>
            <w:shd w:val="clear" w:color="auto" w:fill="auto"/>
            <w:vAlign w:val="center"/>
          </w:tcPr>
          <w:p w14:paraId="361B06B7" w14:textId="5F10F78E" w:rsidR="00CF6742"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45DD5AFE" w14:textId="28F5E139"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203C22FB" w14:textId="77777777" w:rsidTr="007239EC">
        <w:trPr>
          <w:trHeight w:val="361"/>
        </w:trPr>
        <w:tc>
          <w:tcPr>
            <w:tcW w:w="1373" w:type="pct"/>
            <w:shd w:val="clear" w:color="auto" w:fill="auto"/>
            <w:vAlign w:val="center"/>
          </w:tcPr>
          <w:p w14:paraId="79CB9C36" w14:textId="0FF2F3E0"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B. Separate special education class, separate school, or residential facility</w:t>
            </w:r>
          </w:p>
        </w:tc>
        <w:tc>
          <w:tcPr>
            <w:tcW w:w="518" w:type="pct"/>
            <w:shd w:val="clear" w:color="auto" w:fill="auto"/>
            <w:vAlign w:val="center"/>
          </w:tcPr>
          <w:p w14:paraId="1334ACAB" w14:textId="7BCE0AFD" w:rsidR="00CF6742" w:rsidRPr="00781112" w:rsidRDefault="002B7490" w:rsidP="00A018D4">
            <w:pPr>
              <w:jc w:val="center"/>
              <w:rPr>
                <w:rFonts w:cs="Arial"/>
                <w:color w:val="000000" w:themeColor="text1"/>
                <w:szCs w:val="16"/>
              </w:rPr>
            </w:pPr>
            <w:r w:rsidRPr="00781112">
              <w:rPr>
                <w:rFonts w:cs="Arial"/>
                <w:color w:val="000000" w:themeColor="text1"/>
                <w:szCs w:val="16"/>
              </w:rPr>
              <w:t>448</w:t>
            </w:r>
          </w:p>
        </w:tc>
        <w:tc>
          <w:tcPr>
            <w:tcW w:w="518" w:type="pct"/>
            <w:shd w:val="clear" w:color="auto" w:fill="auto"/>
            <w:vAlign w:val="center"/>
          </w:tcPr>
          <w:p w14:paraId="66D0E912" w14:textId="2A889076" w:rsidR="00CF6742" w:rsidRPr="00781112" w:rsidRDefault="002B7490" w:rsidP="00A018D4">
            <w:pPr>
              <w:jc w:val="center"/>
              <w:rPr>
                <w:rFonts w:cs="Arial"/>
                <w:color w:val="000000" w:themeColor="text1"/>
                <w:szCs w:val="16"/>
              </w:rPr>
            </w:pPr>
            <w:r w:rsidRPr="00781112">
              <w:rPr>
                <w:rFonts w:cs="Arial"/>
                <w:color w:val="000000" w:themeColor="text1"/>
                <w:szCs w:val="16"/>
              </w:rPr>
              <w:t>3,955</w:t>
            </w:r>
          </w:p>
        </w:tc>
        <w:tc>
          <w:tcPr>
            <w:tcW w:w="518" w:type="pct"/>
            <w:shd w:val="clear" w:color="auto" w:fill="auto"/>
            <w:vAlign w:val="center"/>
          </w:tcPr>
          <w:p w14:paraId="778A4648" w14:textId="541ABEC8" w:rsidR="00CF6742" w:rsidRPr="00781112" w:rsidRDefault="002B7490" w:rsidP="00A018D4">
            <w:pPr>
              <w:jc w:val="center"/>
              <w:rPr>
                <w:rFonts w:cs="Arial"/>
                <w:color w:val="000000" w:themeColor="text1"/>
                <w:szCs w:val="16"/>
              </w:rPr>
            </w:pPr>
            <w:r w:rsidRPr="00781112">
              <w:rPr>
                <w:rFonts w:cs="Arial"/>
                <w:color w:val="000000" w:themeColor="text1"/>
                <w:szCs w:val="16"/>
              </w:rPr>
              <w:t>13.35%</w:t>
            </w:r>
          </w:p>
        </w:tc>
        <w:tc>
          <w:tcPr>
            <w:tcW w:w="518" w:type="pct"/>
            <w:shd w:val="clear" w:color="auto" w:fill="auto"/>
            <w:vAlign w:val="center"/>
          </w:tcPr>
          <w:p w14:paraId="0EB723D5" w14:textId="782750AE" w:rsidR="00CF6742" w:rsidRPr="00781112" w:rsidRDefault="002B7490" w:rsidP="00A018D4">
            <w:pPr>
              <w:jc w:val="center"/>
              <w:rPr>
                <w:rFonts w:cs="Arial"/>
                <w:color w:val="000000" w:themeColor="text1"/>
                <w:szCs w:val="16"/>
              </w:rPr>
            </w:pPr>
            <w:r w:rsidRPr="00781112">
              <w:rPr>
                <w:rFonts w:cs="Arial"/>
                <w:color w:val="000000" w:themeColor="text1"/>
                <w:szCs w:val="16"/>
              </w:rPr>
              <w:t>9.30%</w:t>
            </w:r>
          </w:p>
        </w:tc>
        <w:tc>
          <w:tcPr>
            <w:tcW w:w="518" w:type="pct"/>
            <w:shd w:val="clear" w:color="auto" w:fill="auto"/>
            <w:vAlign w:val="center"/>
          </w:tcPr>
          <w:p w14:paraId="22E6569B" w14:textId="5DC635D1" w:rsidR="00CF6742" w:rsidRPr="00781112" w:rsidRDefault="002B7490" w:rsidP="00A018D4">
            <w:pPr>
              <w:jc w:val="center"/>
              <w:rPr>
                <w:rFonts w:cs="Arial"/>
                <w:color w:val="000000" w:themeColor="text1"/>
                <w:szCs w:val="16"/>
              </w:rPr>
            </w:pPr>
            <w:r w:rsidRPr="00781112">
              <w:rPr>
                <w:rFonts w:cs="Arial"/>
                <w:color w:val="000000" w:themeColor="text1"/>
                <w:szCs w:val="16"/>
              </w:rPr>
              <w:t>11.33%</w:t>
            </w:r>
          </w:p>
        </w:tc>
        <w:tc>
          <w:tcPr>
            <w:tcW w:w="518" w:type="pct"/>
            <w:shd w:val="clear" w:color="auto" w:fill="auto"/>
            <w:vAlign w:val="center"/>
          </w:tcPr>
          <w:p w14:paraId="799542EF" w14:textId="180B78FB" w:rsidR="00CF674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18" w:type="pct"/>
            <w:shd w:val="clear" w:color="auto" w:fill="auto"/>
            <w:vAlign w:val="center"/>
          </w:tcPr>
          <w:p w14:paraId="6E35C7BA" w14:textId="0B2CF7CC"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7419E3" w:rsidRPr="00781112" w14:paraId="70135A14" w14:textId="77777777" w:rsidTr="007239EC">
        <w:trPr>
          <w:trHeight w:val="361"/>
        </w:trPr>
        <w:tc>
          <w:tcPr>
            <w:tcW w:w="1373" w:type="pct"/>
            <w:shd w:val="clear" w:color="auto" w:fill="auto"/>
            <w:vAlign w:val="center"/>
          </w:tcPr>
          <w:p w14:paraId="72DCC796" w14:textId="256E58C0" w:rsidR="007419E3" w:rsidRPr="00781112" w:rsidRDefault="007419E3" w:rsidP="007419E3">
            <w:pPr>
              <w:rPr>
                <w:rFonts w:cs="Arial"/>
                <w:color w:val="000000" w:themeColor="text1"/>
                <w:szCs w:val="16"/>
                <w:shd w:val="clear" w:color="auto" w:fill="FFFFFF"/>
              </w:rPr>
            </w:pPr>
            <w:r w:rsidRPr="00781112">
              <w:rPr>
                <w:rFonts w:cs="Arial"/>
                <w:color w:val="000000" w:themeColor="text1"/>
                <w:szCs w:val="16"/>
                <w:shd w:val="clear" w:color="auto" w:fill="FFFFFF"/>
              </w:rPr>
              <w:t>C. Home</w:t>
            </w:r>
          </w:p>
        </w:tc>
        <w:tc>
          <w:tcPr>
            <w:tcW w:w="518" w:type="pct"/>
            <w:shd w:val="clear" w:color="auto" w:fill="auto"/>
            <w:vAlign w:val="center"/>
          </w:tcPr>
          <w:p w14:paraId="1AE1B656" w14:textId="4AA764F4" w:rsidR="007419E3" w:rsidRPr="00781112" w:rsidRDefault="007419E3" w:rsidP="007419E3">
            <w:pPr>
              <w:jc w:val="center"/>
              <w:rPr>
                <w:rFonts w:cs="Arial"/>
                <w:color w:val="000000" w:themeColor="text1"/>
                <w:szCs w:val="16"/>
              </w:rPr>
            </w:pPr>
            <w:r w:rsidRPr="00781112">
              <w:rPr>
                <w:rFonts w:cs="Arial"/>
                <w:color w:val="000000" w:themeColor="text1"/>
                <w:szCs w:val="16"/>
              </w:rPr>
              <w:t>20</w:t>
            </w:r>
          </w:p>
        </w:tc>
        <w:tc>
          <w:tcPr>
            <w:tcW w:w="518" w:type="pct"/>
            <w:shd w:val="clear" w:color="auto" w:fill="auto"/>
            <w:vAlign w:val="center"/>
          </w:tcPr>
          <w:p w14:paraId="601CC9FF" w14:textId="0C166449" w:rsidR="007419E3" w:rsidRPr="00781112" w:rsidRDefault="007419E3" w:rsidP="007419E3">
            <w:pPr>
              <w:jc w:val="center"/>
              <w:rPr>
                <w:rFonts w:cs="Arial"/>
                <w:color w:val="000000" w:themeColor="text1"/>
                <w:szCs w:val="16"/>
              </w:rPr>
            </w:pPr>
            <w:r w:rsidRPr="00781112">
              <w:rPr>
                <w:rFonts w:cs="Arial"/>
                <w:color w:val="000000" w:themeColor="text1"/>
                <w:szCs w:val="16"/>
              </w:rPr>
              <w:t>3,955</w:t>
            </w:r>
          </w:p>
        </w:tc>
        <w:tc>
          <w:tcPr>
            <w:tcW w:w="518" w:type="pct"/>
            <w:shd w:val="clear" w:color="auto" w:fill="auto"/>
            <w:vAlign w:val="center"/>
          </w:tcPr>
          <w:p w14:paraId="4B7E23C9" w14:textId="2143D885" w:rsidR="007419E3" w:rsidRPr="00781112" w:rsidRDefault="007419E3" w:rsidP="007419E3">
            <w:pPr>
              <w:jc w:val="center"/>
              <w:rPr>
                <w:rFonts w:cs="Arial"/>
                <w:color w:val="000000" w:themeColor="text1"/>
                <w:szCs w:val="16"/>
              </w:rPr>
            </w:pPr>
            <w:r w:rsidRPr="00781112">
              <w:rPr>
                <w:rFonts w:cs="Arial"/>
                <w:color w:val="000000" w:themeColor="text1"/>
                <w:szCs w:val="16"/>
              </w:rPr>
              <w:t>0.62%</w:t>
            </w:r>
          </w:p>
        </w:tc>
        <w:tc>
          <w:tcPr>
            <w:tcW w:w="518" w:type="pct"/>
            <w:shd w:val="clear" w:color="auto" w:fill="auto"/>
            <w:vAlign w:val="center"/>
          </w:tcPr>
          <w:p w14:paraId="412FC24B" w14:textId="2D7F91B3" w:rsidR="007419E3" w:rsidRPr="00781112" w:rsidRDefault="007419E3" w:rsidP="007419E3">
            <w:pPr>
              <w:jc w:val="center"/>
              <w:rPr>
                <w:rFonts w:cs="Arial"/>
                <w:color w:val="000000" w:themeColor="text1"/>
                <w:szCs w:val="16"/>
              </w:rPr>
            </w:pPr>
            <w:r w:rsidRPr="00781112">
              <w:rPr>
                <w:rFonts w:cs="Arial"/>
                <w:color w:val="000000" w:themeColor="text1"/>
                <w:szCs w:val="16"/>
              </w:rPr>
              <w:t>2.23%</w:t>
            </w:r>
          </w:p>
        </w:tc>
        <w:tc>
          <w:tcPr>
            <w:tcW w:w="518" w:type="pct"/>
            <w:shd w:val="clear" w:color="auto" w:fill="auto"/>
            <w:vAlign w:val="center"/>
          </w:tcPr>
          <w:p w14:paraId="603D7CC7" w14:textId="713E97DD" w:rsidR="007419E3" w:rsidRPr="00781112" w:rsidRDefault="007419E3" w:rsidP="007419E3">
            <w:pPr>
              <w:jc w:val="center"/>
              <w:rPr>
                <w:rFonts w:cs="Arial"/>
                <w:color w:val="000000" w:themeColor="text1"/>
                <w:szCs w:val="16"/>
              </w:rPr>
            </w:pPr>
            <w:r w:rsidRPr="00781112">
              <w:rPr>
                <w:rFonts w:cs="Arial"/>
                <w:color w:val="000000" w:themeColor="text1"/>
                <w:szCs w:val="16"/>
              </w:rPr>
              <w:t>0.51%</w:t>
            </w:r>
          </w:p>
        </w:tc>
        <w:tc>
          <w:tcPr>
            <w:tcW w:w="518" w:type="pct"/>
            <w:shd w:val="clear" w:color="auto" w:fill="auto"/>
            <w:vAlign w:val="center"/>
          </w:tcPr>
          <w:p w14:paraId="31E8CDB6" w14:textId="7E73D59A" w:rsidR="007419E3" w:rsidRPr="00781112" w:rsidRDefault="007419E3" w:rsidP="007419E3">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4B289CC7" w14:textId="072E6906" w:rsidR="007419E3" w:rsidRPr="00781112" w:rsidRDefault="007419E3" w:rsidP="007419E3">
            <w:pPr>
              <w:jc w:val="center"/>
              <w:rPr>
                <w:rFonts w:cs="Arial"/>
                <w:color w:val="000000" w:themeColor="text1"/>
                <w:szCs w:val="16"/>
              </w:rPr>
            </w:pPr>
            <w:r w:rsidRPr="00781112">
              <w:rPr>
                <w:rFonts w:cs="Arial"/>
                <w:color w:val="000000" w:themeColor="text1"/>
                <w:szCs w:val="16"/>
              </w:rPr>
              <w:t>No Slippage</w:t>
            </w:r>
          </w:p>
        </w:tc>
      </w:tr>
    </w:tbl>
    <w:p w14:paraId="21FD52FD" w14:textId="53DF3EF1" w:rsidR="002441FF" w:rsidRDefault="002441FF" w:rsidP="004369B2">
      <w:pPr>
        <w:rPr>
          <w:b/>
          <w:color w:val="000000" w:themeColor="text1"/>
        </w:rPr>
      </w:pPr>
    </w:p>
    <w:p w14:paraId="1157162F" w14:textId="77777777" w:rsidR="002441FF" w:rsidRPr="00781112" w:rsidRDefault="002441FF" w:rsidP="002441FF">
      <w:pPr>
        <w:rPr>
          <w:rFonts w:cs="Arial"/>
          <w:color w:val="000000" w:themeColor="text1"/>
          <w:szCs w:val="16"/>
        </w:rPr>
      </w:pPr>
    </w:p>
    <w:p w14:paraId="11B24ABD"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5D7B4D4" w14:textId="54FAD054" w:rsidR="003C308E" w:rsidRPr="00781112" w:rsidRDefault="003C308E" w:rsidP="007D435F">
      <w:pPr>
        <w:rPr>
          <w:rFonts w:cs="Arial"/>
          <w:color w:val="000000" w:themeColor="text1"/>
          <w:szCs w:val="16"/>
        </w:rPr>
      </w:pPr>
    </w:p>
    <w:p w14:paraId="7DD4BC1C" w14:textId="33DA668A" w:rsidR="000A2C83" w:rsidRPr="00781112" w:rsidRDefault="00C96236" w:rsidP="008645AD">
      <w:pPr>
        <w:pStyle w:val="Heading2"/>
      </w:pPr>
      <w:r w:rsidRPr="00781112">
        <w:t>6</w:t>
      </w:r>
      <w:r w:rsidR="00C91B94" w:rsidRPr="00781112">
        <w:t xml:space="preserve"> </w:t>
      </w:r>
      <w:r w:rsidRPr="00781112">
        <w:t xml:space="preserve">- </w:t>
      </w:r>
      <w:r w:rsidR="000A2C83" w:rsidRPr="00781112">
        <w:t>Prior FFY Required Actions</w:t>
      </w:r>
    </w:p>
    <w:p w14:paraId="566E0CF8" w14:textId="64232129" w:rsidR="00B1280F" w:rsidRPr="00781112" w:rsidRDefault="002B7490" w:rsidP="000A2C83">
      <w:pPr>
        <w:rPr>
          <w:rFonts w:cs="Arial"/>
          <w:color w:val="000000" w:themeColor="text1"/>
          <w:szCs w:val="16"/>
        </w:rPr>
      </w:pPr>
      <w:r w:rsidRPr="00781112">
        <w:rPr>
          <w:rFonts w:cs="Arial"/>
          <w:color w:val="000000" w:themeColor="text1"/>
          <w:szCs w:val="16"/>
        </w:rPr>
        <w:t>None</w:t>
      </w:r>
    </w:p>
    <w:p w14:paraId="7B71DC87" w14:textId="5C9C7EF8" w:rsidR="00221EC9" w:rsidRPr="00781112" w:rsidRDefault="00C96236" w:rsidP="008645AD">
      <w:pPr>
        <w:pStyle w:val="Heading2"/>
      </w:pPr>
      <w:r w:rsidRPr="00781112">
        <w:t>6 - OSEP Response</w:t>
      </w:r>
    </w:p>
    <w:p w14:paraId="39CF981B" w14:textId="16EA9F6F" w:rsidR="003C308E" w:rsidRPr="00781112" w:rsidRDefault="003C308E" w:rsidP="001F692C">
      <w:pPr>
        <w:rPr>
          <w:rFonts w:cs="Arial"/>
          <w:color w:val="000000" w:themeColor="text1"/>
          <w:szCs w:val="16"/>
        </w:rPr>
      </w:pPr>
    </w:p>
    <w:p w14:paraId="6337E261" w14:textId="7ABFCAD4" w:rsidR="00221EC9" w:rsidRPr="00781112" w:rsidRDefault="00C96236" w:rsidP="008645AD">
      <w:pPr>
        <w:pStyle w:val="Heading2"/>
      </w:pPr>
      <w:r w:rsidRPr="00781112">
        <w:t>6 - Required Actions</w:t>
      </w:r>
    </w:p>
    <w:p w14:paraId="4D0B397A" w14:textId="4B808E74" w:rsidR="003C308E" w:rsidRPr="00781112" w:rsidRDefault="003C308E" w:rsidP="001F692C">
      <w:pPr>
        <w:rPr>
          <w:rFonts w:cs="Arial"/>
          <w:color w:val="000000" w:themeColor="text1"/>
          <w:szCs w:val="16"/>
        </w:rPr>
      </w:pPr>
    </w:p>
    <w:p w14:paraId="2AA7BDE7"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26B1B256" w14:textId="288D5BD8" w:rsidR="00D21EAA" w:rsidRPr="00781112" w:rsidRDefault="00D21EAA" w:rsidP="000444E2">
      <w:pPr>
        <w:pStyle w:val="Heading1"/>
        <w:rPr>
          <w:color w:val="000000" w:themeColor="text1"/>
          <w:sz w:val="22"/>
        </w:rPr>
      </w:pPr>
      <w:r w:rsidRPr="00781112">
        <w:rPr>
          <w:color w:val="000000" w:themeColor="text1"/>
          <w:sz w:val="22"/>
        </w:rPr>
        <w:lastRenderedPageBreak/>
        <w:t>Indicator 7: Preschool Outcomes</w:t>
      </w:r>
      <w:bookmarkEnd w:id="36"/>
      <w:bookmarkEnd w:id="37"/>
    </w:p>
    <w:p w14:paraId="1404DCF9" w14:textId="10BB1891" w:rsidR="00531E54" w:rsidRPr="002C274F" w:rsidRDefault="00531E54" w:rsidP="002C274F">
      <w:pPr>
        <w:rPr>
          <w:b/>
          <w:bCs/>
          <w:sz w:val="20"/>
          <w:szCs w:val="20"/>
        </w:rPr>
      </w:pPr>
      <w:bookmarkStart w:id="38" w:name="_Toc392159303"/>
      <w:r w:rsidRPr="002C274F">
        <w:rPr>
          <w:b/>
          <w:bCs/>
          <w:sz w:val="20"/>
          <w:szCs w:val="20"/>
        </w:rPr>
        <w:t>Instructions and Measurement</w:t>
      </w:r>
    </w:p>
    <w:p w14:paraId="0A136297" w14:textId="4837554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4B9EA10" w14:textId="77777777"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preschool children aged 3 through 5 with IEPs who demonstrate improved:</w:t>
      </w:r>
    </w:p>
    <w:p w14:paraId="0B552BED" w14:textId="43FF9A0A" w:rsidR="00CC634E" w:rsidRPr="00781112" w:rsidRDefault="00F006BC" w:rsidP="006A01BD">
      <w:pPr>
        <w:ind w:firstLine="720"/>
        <w:rPr>
          <w:rFonts w:cs="Arial"/>
          <w:color w:val="000000" w:themeColor="text1"/>
          <w:szCs w:val="16"/>
        </w:rPr>
      </w:pPr>
      <w:r w:rsidRPr="00781112">
        <w:rPr>
          <w:rFonts w:cs="Arial"/>
          <w:color w:val="000000" w:themeColor="text1"/>
          <w:szCs w:val="16"/>
        </w:rPr>
        <w:t>A. Positive social-emotional skills (including social relationships);</w:t>
      </w:r>
    </w:p>
    <w:p w14:paraId="5D82DAD8" w14:textId="740E047B" w:rsidR="00CC634E" w:rsidRPr="00781112" w:rsidRDefault="00F006BC" w:rsidP="006A01BD">
      <w:pPr>
        <w:ind w:firstLine="720"/>
        <w:rPr>
          <w:rFonts w:cs="Arial"/>
          <w:color w:val="000000" w:themeColor="text1"/>
          <w:szCs w:val="16"/>
        </w:rPr>
      </w:pPr>
      <w:r w:rsidRPr="00781112">
        <w:rPr>
          <w:rFonts w:cs="Arial"/>
          <w:color w:val="000000" w:themeColor="text1"/>
          <w:szCs w:val="16"/>
        </w:rPr>
        <w:t>B. Acquisition and use of knowledge and skills (including early language/ communication and early literacy); and</w:t>
      </w:r>
    </w:p>
    <w:p w14:paraId="00126FB5" w14:textId="7254CF8C" w:rsidR="00CC634E" w:rsidRPr="00781112" w:rsidRDefault="00F020B0" w:rsidP="006A01BD">
      <w:pPr>
        <w:ind w:firstLine="720"/>
        <w:rPr>
          <w:rFonts w:cs="Arial"/>
          <w:color w:val="000000" w:themeColor="text1"/>
          <w:szCs w:val="16"/>
        </w:rPr>
      </w:pPr>
      <w:r w:rsidRPr="00781112">
        <w:rPr>
          <w:rFonts w:cs="Arial"/>
          <w:color w:val="000000" w:themeColor="text1"/>
          <w:szCs w:val="16"/>
        </w:rPr>
        <w:t>C. Use of appropriate behaviors to meet their needs.</w:t>
      </w:r>
    </w:p>
    <w:p w14:paraId="5E54210F" w14:textId="77777777" w:rsidR="00CC634E" w:rsidRPr="00781112" w:rsidRDefault="00CC634E" w:rsidP="0011074D">
      <w:pPr>
        <w:rPr>
          <w:rFonts w:cs="Arial"/>
          <w:color w:val="000000" w:themeColor="text1"/>
          <w:szCs w:val="16"/>
        </w:rPr>
      </w:pPr>
      <w:r w:rsidRPr="00781112">
        <w:rPr>
          <w:rFonts w:cs="Arial"/>
          <w:color w:val="000000" w:themeColor="text1"/>
          <w:szCs w:val="16"/>
        </w:rPr>
        <w:t>(20 U.S.C. 1416 (a)(3)(A))</w:t>
      </w:r>
    </w:p>
    <w:p w14:paraId="64F847A6" w14:textId="77777777" w:rsidR="008751D3" w:rsidRPr="00781112" w:rsidRDefault="008751D3" w:rsidP="004369B2">
      <w:pPr>
        <w:rPr>
          <w:color w:val="000000" w:themeColor="text1"/>
        </w:rPr>
      </w:pPr>
      <w:r w:rsidRPr="00781112">
        <w:rPr>
          <w:b/>
          <w:color w:val="000000" w:themeColor="text1"/>
        </w:rPr>
        <w:t>Data Source</w:t>
      </w:r>
    </w:p>
    <w:p w14:paraId="23E18A51" w14:textId="0FC94A9E" w:rsidR="008751D3" w:rsidRPr="00781112" w:rsidRDefault="008751D3" w:rsidP="00286BDF">
      <w:pPr>
        <w:rPr>
          <w:rFonts w:cs="Arial"/>
          <w:color w:val="000000" w:themeColor="text1"/>
          <w:szCs w:val="16"/>
        </w:rPr>
      </w:pPr>
      <w:r w:rsidRPr="00781112">
        <w:rPr>
          <w:rFonts w:cs="Arial"/>
          <w:color w:val="000000" w:themeColor="text1"/>
          <w:szCs w:val="16"/>
        </w:rPr>
        <w:t>State selected data source.</w:t>
      </w:r>
    </w:p>
    <w:p w14:paraId="1E840531" w14:textId="77777777" w:rsidR="008751D3" w:rsidRPr="00781112" w:rsidRDefault="008751D3" w:rsidP="004369B2">
      <w:pPr>
        <w:rPr>
          <w:color w:val="000000" w:themeColor="text1"/>
        </w:rPr>
      </w:pPr>
      <w:r w:rsidRPr="00781112">
        <w:rPr>
          <w:b/>
          <w:color w:val="000000" w:themeColor="text1"/>
        </w:rPr>
        <w:t>Measurement</w:t>
      </w:r>
    </w:p>
    <w:p w14:paraId="1FF326CF" w14:textId="77777777" w:rsidR="008751D3" w:rsidRPr="00781112" w:rsidRDefault="008751D3" w:rsidP="0011074D">
      <w:pPr>
        <w:rPr>
          <w:rFonts w:cs="Arial"/>
          <w:color w:val="000000" w:themeColor="text1"/>
          <w:szCs w:val="16"/>
        </w:rPr>
      </w:pPr>
      <w:r w:rsidRPr="00781112">
        <w:rPr>
          <w:rFonts w:cs="Arial"/>
          <w:color w:val="000000" w:themeColor="text1"/>
          <w:szCs w:val="16"/>
        </w:rPr>
        <w:t>Outcomes:</w:t>
      </w:r>
    </w:p>
    <w:p w14:paraId="4E248912" w14:textId="66BBE7EE"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Positive social-emotional skills (including social relationships);</w:t>
      </w:r>
    </w:p>
    <w:p w14:paraId="6AAB6861" w14:textId="71AC3C7A"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Acquisition and use of knowledge and skills (including early language/communication and early literacy); and</w:t>
      </w:r>
    </w:p>
    <w:p w14:paraId="4CD04035" w14:textId="52DADE76" w:rsidR="008751D3" w:rsidRPr="00781112" w:rsidRDefault="00D92169" w:rsidP="006A01BD">
      <w:pPr>
        <w:spacing w:before="0"/>
        <w:ind w:firstLine="720"/>
        <w:rPr>
          <w:rFonts w:eastAsia="Times New Roman" w:cs="Arial"/>
          <w:color w:val="000000" w:themeColor="text1"/>
          <w:szCs w:val="16"/>
        </w:rPr>
      </w:pPr>
      <w:r w:rsidRPr="00781112">
        <w:rPr>
          <w:rFonts w:eastAsia="Times New Roman" w:cs="Arial"/>
          <w:color w:val="000000" w:themeColor="text1"/>
          <w:szCs w:val="16"/>
        </w:rPr>
        <w:t>C. Use of appropriate behaviors to meet their needs.</w:t>
      </w:r>
    </w:p>
    <w:p w14:paraId="6C3C0B77" w14:textId="77777777" w:rsidR="008751D3" w:rsidRPr="00781112" w:rsidRDefault="008751D3" w:rsidP="0011074D">
      <w:pPr>
        <w:rPr>
          <w:rFonts w:cs="Arial"/>
          <w:color w:val="000000" w:themeColor="text1"/>
          <w:szCs w:val="16"/>
        </w:rPr>
      </w:pPr>
      <w:r w:rsidRPr="00781112">
        <w:rPr>
          <w:rFonts w:cs="Arial"/>
          <w:color w:val="000000" w:themeColor="text1"/>
          <w:szCs w:val="16"/>
        </w:rPr>
        <w:t>Progress categories for A, B and C:</w:t>
      </w:r>
    </w:p>
    <w:p w14:paraId="5690C8BE" w14:textId="36B6DF2C" w:rsidR="008751D3" w:rsidRPr="00781112" w:rsidRDefault="00D048BC"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a. Percent of preschool children who did not improve functioning = [(# of preschool children who did not improve functioning) divided by (# of preschool children with IEPs assessed)] times 100.</w:t>
      </w:r>
    </w:p>
    <w:p w14:paraId="0B720C40" w14:textId="2F6D04FB"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b. Percent of preschool children who improved functioning but not sufficient to move nearer to functioning comparable to same-aged peers = [(# of preschool children who improved functioning but not sufficient to move nearer to functioning comparable to same-aged peers) divided by (# of preschool children with IEPs assessed)] times 100.</w:t>
      </w:r>
    </w:p>
    <w:p w14:paraId="314CA3F4" w14:textId="6175AC7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c. Percent of preschool children who improved functioning to a level nearer to same-aged peers but did not reach it = [(# of preschool children who improved functioning to a level nearer to same-aged peers but did not reach it) divided by (# of preschool children with IEPs assessed)] times 100.</w:t>
      </w:r>
    </w:p>
    <w:p w14:paraId="643AA406" w14:textId="25D4946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d. Percent of preschool children who improved functioning to reach a level comparable to same-aged peers = [(# of preschool children who improved functioning to reach a level comparable to same-aged peers) divided by (# of preschool children with IEPs assessed)] times 100.</w:t>
      </w:r>
    </w:p>
    <w:p w14:paraId="38B378F6" w14:textId="1E843815" w:rsidR="008751D3" w:rsidRPr="00781112" w:rsidRDefault="00D92169" w:rsidP="006A01BD">
      <w:pPr>
        <w:spacing w:before="0"/>
        <w:ind w:left="720"/>
        <w:rPr>
          <w:rFonts w:eastAsia="Times New Roman" w:cs="Arial"/>
          <w:color w:val="000000" w:themeColor="text1"/>
          <w:szCs w:val="16"/>
        </w:rPr>
      </w:pPr>
      <w:r w:rsidRPr="00781112">
        <w:rPr>
          <w:rFonts w:eastAsia="Times New Roman" w:cs="Arial"/>
          <w:color w:val="000000" w:themeColor="text1"/>
          <w:szCs w:val="16"/>
        </w:rPr>
        <w:t>e. Percent of preschool children who maintained functioning at a level comparable to same-aged peers = [(# of preschool children who maintained functioning at a level comparable to same-aged peers) divided by (# of preschool children with IEPs assessed)] times 100.</w:t>
      </w:r>
    </w:p>
    <w:p w14:paraId="583435BB" w14:textId="77777777" w:rsidR="008751D3" w:rsidRPr="00781112" w:rsidRDefault="008751D3" w:rsidP="0011074D">
      <w:pPr>
        <w:rPr>
          <w:rFonts w:cs="Arial"/>
          <w:b/>
          <w:color w:val="000000" w:themeColor="text1"/>
          <w:szCs w:val="16"/>
        </w:rPr>
      </w:pPr>
      <w:r w:rsidRPr="00781112">
        <w:rPr>
          <w:rFonts w:cs="Arial"/>
          <w:b/>
          <w:color w:val="000000" w:themeColor="text1"/>
          <w:szCs w:val="16"/>
        </w:rPr>
        <w:t>Summary Statements for Each of the Three Outcomes:</w:t>
      </w:r>
    </w:p>
    <w:p w14:paraId="65FE21E5"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1</w:t>
      </w:r>
      <w:r w:rsidRPr="00781112">
        <w:rPr>
          <w:rFonts w:cs="Arial"/>
          <w:bCs/>
          <w:color w:val="000000" w:themeColor="text1"/>
          <w:szCs w:val="16"/>
        </w:rPr>
        <w:t>:</w:t>
      </w:r>
      <w:r w:rsidRPr="00781112">
        <w:rPr>
          <w:rFonts w:cs="Arial"/>
          <w:color w:val="000000" w:themeColor="text1"/>
          <w:szCs w:val="16"/>
        </w:rPr>
        <w:t> Of those preschool children who entered the preschool program below age expectations in each Outcome, the percent who substantially increased their rate of growth by the time they turned 6 years of age or exited the program.</w:t>
      </w:r>
    </w:p>
    <w:p w14:paraId="5068AAB2" w14:textId="7F652397"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1:</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(c) plus # of preschool children reported in category (d)) divided by (# of preschool children reported in progress category (a) plus # of preschool children reported in progress category (b) plus # of preschool children reported in progress category (c) plus # of preschool children reported in progress category (d</w:t>
      </w:r>
      <w:r w:rsidR="002D30ED" w:rsidRPr="00781112">
        <w:rPr>
          <w:rFonts w:cs="Arial"/>
          <w:color w:val="000000" w:themeColor="text1"/>
          <w:szCs w:val="16"/>
        </w:rPr>
        <w:t xml:space="preserve">))] </w:t>
      </w:r>
      <w:r w:rsidRPr="00781112">
        <w:rPr>
          <w:rFonts w:cs="Arial"/>
          <w:color w:val="000000" w:themeColor="text1"/>
          <w:szCs w:val="16"/>
        </w:rPr>
        <w:t>times 100.</w:t>
      </w:r>
    </w:p>
    <w:p w14:paraId="5A694282"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2:</w:t>
      </w:r>
      <w:r w:rsidRPr="00781112">
        <w:rPr>
          <w:rFonts w:cs="Arial"/>
          <w:color w:val="000000" w:themeColor="text1"/>
          <w:szCs w:val="16"/>
        </w:rPr>
        <w:t> The percent of preschool children who were functioning within age expectations in each Outcome by the time they turned 6 years of age or exited the program.</w:t>
      </w:r>
    </w:p>
    <w:p w14:paraId="34439FE8" w14:textId="2AF97C44"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2</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(d) plus # of preschool children reported in progress category (e)) divided by (the total # of preschool children reported in progress categories (a) + (b) + (c) + (d) + (e</w:t>
      </w:r>
      <w:r w:rsidR="002D30ED" w:rsidRPr="00781112">
        <w:rPr>
          <w:rFonts w:cs="Arial"/>
          <w:color w:val="000000" w:themeColor="text1"/>
          <w:szCs w:val="16"/>
        </w:rPr>
        <w:t xml:space="preserve">))] </w:t>
      </w:r>
      <w:r w:rsidRPr="00781112">
        <w:rPr>
          <w:rFonts w:cs="Arial"/>
          <w:color w:val="000000" w:themeColor="text1"/>
          <w:szCs w:val="16"/>
        </w:rPr>
        <w:t>times 100.</w:t>
      </w:r>
    </w:p>
    <w:p w14:paraId="207DF15E" w14:textId="77777777" w:rsidR="008751D3" w:rsidRPr="00781112" w:rsidRDefault="008751D3" w:rsidP="004369B2">
      <w:pPr>
        <w:rPr>
          <w:color w:val="000000" w:themeColor="text1"/>
        </w:rPr>
      </w:pPr>
      <w:r w:rsidRPr="00781112">
        <w:rPr>
          <w:b/>
          <w:color w:val="000000" w:themeColor="text1"/>
        </w:rPr>
        <w:t>Instructions</w:t>
      </w:r>
    </w:p>
    <w:p w14:paraId="7FEF7064" w14:textId="01C35EFD" w:rsidR="008751D3" w:rsidRPr="00781112" w:rsidRDefault="008751D3" w:rsidP="00286BDF">
      <w:pPr>
        <w:rPr>
          <w:rFonts w:cs="Arial"/>
          <w:color w:val="000000" w:themeColor="text1"/>
          <w:szCs w:val="16"/>
        </w:rPr>
      </w:pPr>
      <w:r w:rsidRPr="00781112">
        <w:rPr>
          <w:rFonts w:cs="Arial"/>
          <w:color w:val="000000" w:themeColor="text1"/>
          <w:szCs w:val="16"/>
        </w:rPr>
        <w:t>Sampling of </w:t>
      </w:r>
      <w:r w:rsidRPr="00781112">
        <w:rPr>
          <w:rFonts w:cs="Arial"/>
          <w:b/>
          <w:bCs/>
          <w:color w:val="000000" w:themeColor="text1"/>
          <w:szCs w:val="16"/>
        </w:rPr>
        <w:t>children for assessment</w:t>
      </w:r>
      <w:r w:rsidRPr="00781112">
        <w:rPr>
          <w:rFonts w:cs="Arial"/>
          <w:color w:val="000000" w:themeColor="text1"/>
          <w:szCs w:val="16"/>
        </w:rPr>
        <w:t> is allowed. When sampling is used, submit a description of the sampling methodology outlining how the design will yield valid and reliable estimates. (See </w:t>
      </w:r>
      <w:r w:rsidRPr="00781112">
        <w:rPr>
          <w:rFonts w:cs="Arial"/>
          <w:color w:val="000000" w:themeColor="text1"/>
          <w:szCs w:val="16"/>
          <w:u w:val="single"/>
        </w:rPr>
        <w:t>General Instructions</w:t>
      </w:r>
      <w:r w:rsidRPr="00781112">
        <w:rPr>
          <w:rFonts w:cs="Arial"/>
          <w:color w:val="000000" w:themeColor="text1"/>
          <w:szCs w:val="16"/>
        </w:rPr>
        <w:t xml:space="preserve"> on page </w:t>
      </w:r>
      <w:r w:rsidR="00DD6816">
        <w:rPr>
          <w:rFonts w:cs="Arial"/>
          <w:color w:val="000000" w:themeColor="text1"/>
          <w:szCs w:val="16"/>
        </w:rPr>
        <w:t>3</w:t>
      </w:r>
      <w:r w:rsidRPr="00781112">
        <w:rPr>
          <w:rFonts w:cs="Arial"/>
          <w:color w:val="000000" w:themeColor="text1"/>
          <w:szCs w:val="16"/>
        </w:rPr>
        <w:t xml:space="preserve"> for additional instructions on sampling.)</w:t>
      </w:r>
    </w:p>
    <w:p w14:paraId="1FB7B1C7" w14:textId="77777777" w:rsidR="008751D3" w:rsidRPr="00781112" w:rsidRDefault="008751D3" w:rsidP="00286BDF">
      <w:pPr>
        <w:rPr>
          <w:rFonts w:cs="Arial"/>
          <w:color w:val="000000" w:themeColor="text1"/>
          <w:szCs w:val="16"/>
        </w:rPr>
      </w:pPr>
      <w:r w:rsidRPr="00781112">
        <w:rPr>
          <w:rFonts w:cs="Arial"/>
          <w:color w:val="000000" w:themeColor="text1"/>
          <w:szCs w:val="16"/>
        </w:rPr>
        <w:t>In the measurement include, in the numerator and denominator, only children who received special education and related services for at least six months during the age span of three through five years.</w:t>
      </w:r>
    </w:p>
    <w:p w14:paraId="652BE619" w14:textId="77777777" w:rsidR="008751D3" w:rsidRPr="00781112" w:rsidRDefault="008751D3" w:rsidP="00286BDF">
      <w:pPr>
        <w:rPr>
          <w:rFonts w:cs="Arial"/>
          <w:color w:val="000000" w:themeColor="text1"/>
          <w:szCs w:val="16"/>
        </w:rPr>
      </w:pPr>
      <w:r w:rsidRPr="00781112">
        <w:rPr>
          <w:rFonts w:cs="Arial"/>
          <w:color w:val="000000" w:themeColor="text1"/>
          <w:szCs w:val="16"/>
        </w:rPr>
        <w:t>Describe the results of the calculations and compare the results to the targets. States will use the progress categories for each of the three Outcomes to calculate and report the two Summary Statements. States have provided targets for the two Summary Statements for the three Outcomes (six numbers for targets for each FFY).</w:t>
      </w:r>
    </w:p>
    <w:p w14:paraId="60273FDF" w14:textId="3F1FD106" w:rsidR="008751D3" w:rsidRPr="00781112" w:rsidRDefault="008751D3" w:rsidP="00286BDF">
      <w:pPr>
        <w:rPr>
          <w:rFonts w:cs="Arial"/>
          <w:color w:val="000000" w:themeColor="text1"/>
          <w:szCs w:val="16"/>
        </w:rPr>
      </w:pPr>
      <w:r w:rsidRPr="00781112">
        <w:rPr>
          <w:rFonts w:cs="Arial"/>
          <w:color w:val="000000" w:themeColor="text1"/>
          <w:szCs w:val="16"/>
        </w:rPr>
        <w:t>Report progress data and calculate Summary Statements to compare against the six targets. Provide the actual numbers and percentages for the five reporting categories for each of the three Outcomes.</w:t>
      </w:r>
    </w:p>
    <w:p w14:paraId="5CCA3257" w14:textId="77777777" w:rsidR="008751D3" w:rsidRPr="00781112" w:rsidRDefault="008751D3" w:rsidP="00286BDF">
      <w:pPr>
        <w:rPr>
          <w:rFonts w:cs="Arial"/>
          <w:color w:val="000000" w:themeColor="text1"/>
          <w:szCs w:val="16"/>
        </w:rPr>
      </w:pPr>
      <w:r w:rsidRPr="00781112">
        <w:rPr>
          <w:rFonts w:cs="Arial"/>
          <w:color w:val="000000" w:themeColor="text1"/>
          <w:szCs w:val="16"/>
        </w:rPr>
        <w:t>In presenting results, provide the criteria for defining “comparable to same-aged peers.” If a State is using the Early Childhood Outcomes Center (ECO) Child Outcomes Summary (COS), then the criteria for defining “comparable to same-aged peers” has been defined as a child who has been assigned a score of 6 or 7 on the COS.</w:t>
      </w:r>
    </w:p>
    <w:p w14:paraId="53FA15C3" w14:textId="77777777" w:rsidR="008751D3" w:rsidRPr="00781112" w:rsidRDefault="008751D3" w:rsidP="00286BDF">
      <w:pPr>
        <w:rPr>
          <w:rFonts w:cs="Arial"/>
          <w:color w:val="000000" w:themeColor="text1"/>
          <w:szCs w:val="16"/>
        </w:rPr>
      </w:pPr>
      <w:r w:rsidRPr="00781112">
        <w:rPr>
          <w:rFonts w:cs="Arial"/>
          <w:color w:val="000000" w:themeColor="text1"/>
          <w:szCs w:val="16"/>
        </w:rPr>
        <w:t>In addition, list the instruments and procedures used to gather data for this indicator, including if the State is using the ECO COS.</w:t>
      </w:r>
    </w:p>
    <w:bookmarkEnd w:id="38"/>
    <w:p w14:paraId="55101798" w14:textId="340B2E8D" w:rsidR="00DF6E30" w:rsidRPr="00781112" w:rsidRDefault="00C96236" w:rsidP="008645AD">
      <w:pPr>
        <w:pStyle w:val="Heading2"/>
      </w:pPr>
      <w:r w:rsidRPr="00781112">
        <w:t>7</w:t>
      </w:r>
      <w:r w:rsidR="00444A9D" w:rsidRPr="00781112">
        <w:t xml:space="preserve"> </w:t>
      </w:r>
      <w:r w:rsidRPr="00781112">
        <w:t xml:space="preserve">- </w:t>
      </w:r>
      <w:r w:rsidR="00DF6E30" w:rsidRPr="00781112">
        <w:t>Indicator Data</w:t>
      </w:r>
    </w:p>
    <w:p w14:paraId="5AA4EA63" w14:textId="77777777" w:rsidR="0091098C" w:rsidRPr="00781112" w:rsidRDefault="0091098C" w:rsidP="004369B2">
      <w:pPr>
        <w:rPr>
          <w:color w:val="000000" w:themeColor="text1"/>
        </w:rPr>
      </w:pPr>
      <w:r w:rsidRPr="00781112">
        <w:rPr>
          <w:b/>
          <w:color w:val="000000" w:themeColor="text1"/>
        </w:rPr>
        <w:t>Not Applicable</w:t>
      </w:r>
    </w:p>
    <w:p w14:paraId="284C9B1A" w14:textId="32C218D6" w:rsidR="002D30ED" w:rsidRPr="00781112" w:rsidRDefault="00E54DDA">
      <w:pPr>
        <w:rPr>
          <w:b/>
          <w:color w:val="000000" w:themeColor="text1"/>
        </w:rPr>
      </w:pPr>
      <w:r w:rsidRPr="00781112">
        <w:rPr>
          <w:b/>
          <w:color w:val="000000" w:themeColor="text1"/>
        </w:rPr>
        <w:t>Select yes if this indicator is not applicable.</w:t>
      </w:r>
    </w:p>
    <w:p w14:paraId="400C4A0C" w14:textId="693F71F3" w:rsidR="00043AC9" w:rsidRPr="00781112" w:rsidRDefault="00043AC9" w:rsidP="004369B2">
      <w:pPr>
        <w:rPr>
          <w:rFonts w:cs="Arial"/>
          <w:color w:val="000000" w:themeColor="text1"/>
          <w:szCs w:val="16"/>
        </w:rPr>
      </w:pPr>
      <w:r w:rsidRPr="00781112">
        <w:rPr>
          <w:rFonts w:cs="Arial"/>
          <w:color w:val="000000" w:themeColor="text1"/>
          <w:szCs w:val="16"/>
        </w:rPr>
        <w:t>NO</w:t>
      </w:r>
    </w:p>
    <w:p w14:paraId="2D4ABD95" w14:textId="015EAF2F" w:rsidR="002D30ED" w:rsidRPr="00781112" w:rsidRDefault="002D30ED">
      <w:pPr>
        <w:rPr>
          <w:color w:val="000000" w:themeColor="text1"/>
        </w:rPr>
      </w:pPr>
    </w:p>
    <w:p w14:paraId="50CA9D39" w14:textId="3128BDB0"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7HISTDATA"/>
      </w:tblPr>
      <w:tblGrid>
        <w:gridCol w:w="536"/>
        <w:gridCol w:w="944"/>
        <w:gridCol w:w="944"/>
        <w:gridCol w:w="1673"/>
        <w:gridCol w:w="1673"/>
        <w:gridCol w:w="1673"/>
        <w:gridCol w:w="1672"/>
        <w:gridCol w:w="1675"/>
      </w:tblGrid>
      <w:tr w:rsidR="005F0D3B" w:rsidRPr="00781112" w14:paraId="67761B76" w14:textId="2BE890F9" w:rsidTr="009023AD">
        <w:trPr>
          <w:trHeight w:val="395"/>
        </w:trPr>
        <w:tc>
          <w:tcPr>
            <w:tcW w:w="248" w:type="pct"/>
            <w:tcBorders>
              <w:top w:val="single" w:sz="4" w:space="0" w:color="auto"/>
              <w:left w:val="single" w:sz="4" w:space="0" w:color="auto"/>
              <w:bottom w:val="single" w:sz="4" w:space="0" w:color="auto"/>
              <w:right w:val="single" w:sz="4" w:space="0" w:color="auto"/>
            </w:tcBorders>
            <w:shd w:val="clear" w:color="auto" w:fill="auto"/>
          </w:tcPr>
          <w:p w14:paraId="07FE7D96" w14:textId="48B4F674" w:rsidR="00FA72A0" w:rsidRPr="00781112" w:rsidRDefault="00E104F3" w:rsidP="00FA72A0">
            <w:pPr>
              <w:spacing w:before="0" w:after="0" w:line="276" w:lineRule="auto"/>
              <w:jc w:val="center"/>
              <w:rPr>
                <w:rFonts w:cs="Arial"/>
                <w:b/>
                <w:color w:val="000000" w:themeColor="text1"/>
                <w:szCs w:val="16"/>
              </w:rPr>
            </w:pPr>
            <w:r w:rsidRPr="00781112">
              <w:rPr>
                <w:rFonts w:cs="Arial"/>
                <w:b/>
                <w:color w:val="000000" w:themeColor="text1"/>
                <w:szCs w:val="16"/>
              </w:rPr>
              <w:t>Part</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492489DB" w14:textId="6B491234"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Baseline</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19C97066" w14:textId="77777777"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FFY</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5FE9CABA" w14:textId="781A1A3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2018</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27131AF6" w14:textId="0E6C2E5A"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2019</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2FE1D98" w14:textId="03E0AC83"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2020</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09C21BFA" w14:textId="46B34AA6"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2021</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14:paraId="76B7EB6E" w14:textId="46F53E4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2022</w:t>
            </w:r>
          </w:p>
        </w:tc>
      </w:tr>
      <w:tr w:rsidR="005F0D3B" w:rsidRPr="00781112" w14:paraId="6B7CE9C8" w14:textId="0609FA3D"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390860C6"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top w:val="single" w:sz="4" w:space="0" w:color="auto"/>
              <w:left w:val="single" w:sz="4" w:space="0" w:color="auto"/>
              <w:right w:val="single" w:sz="4" w:space="0" w:color="auto"/>
            </w:tcBorders>
            <w:shd w:val="clear" w:color="auto" w:fill="auto"/>
            <w:vAlign w:val="center"/>
          </w:tcPr>
          <w:p w14:paraId="11755CC8" w14:textId="0D3DAA4A" w:rsidR="00CF6742"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517C1" w14:textId="06B8B15D"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D1D42AB" w14:textId="2A4E5CB4" w:rsidR="00CF6742" w:rsidRPr="00781112" w:rsidRDefault="002B7490" w:rsidP="00A018D4">
            <w:pPr>
              <w:jc w:val="center"/>
              <w:rPr>
                <w:rFonts w:cs="Arial"/>
                <w:color w:val="000000" w:themeColor="text1"/>
                <w:szCs w:val="16"/>
              </w:rPr>
            </w:pPr>
            <w:r w:rsidRPr="00781112">
              <w:rPr>
                <w:rFonts w:cs="Arial"/>
                <w:color w:val="000000" w:themeColor="text1"/>
                <w:szCs w:val="16"/>
              </w:rPr>
              <w:t>79.00%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93881D" w14:textId="33AA4D0C" w:rsidR="00CF6742" w:rsidRPr="00781112" w:rsidRDefault="002B7490" w:rsidP="00A018D4">
            <w:pPr>
              <w:jc w:val="center"/>
              <w:rPr>
                <w:rFonts w:cs="Arial"/>
                <w:color w:val="000000" w:themeColor="text1"/>
                <w:szCs w:val="16"/>
              </w:rPr>
            </w:pPr>
            <w:r w:rsidRPr="00781112">
              <w:rPr>
                <w:rFonts w:cs="Arial"/>
                <w:color w:val="000000" w:themeColor="text1"/>
                <w:szCs w:val="16"/>
              </w:rPr>
              <w:t>79.50%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4D9B341" w14:textId="54BEF16A" w:rsidR="00CF6742" w:rsidRPr="00781112" w:rsidRDefault="002B7490" w:rsidP="00A018D4">
            <w:pPr>
              <w:jc w:val="center"/>
              <w:rPr>
                <w:rFonts w:cs="Arial"/>
                <w:color w:val="000000" w:themeColor="text1"/>
                <w:szCs w:val="16"/>
              </w:rPr>
            </w:pPr>
            <w:r w:rsidRPr="00781112">
              <w:rPr>
                <w:rFonts w:cs="Arial"/>
                <w:color w:val="000000" w:themeColor="text1"/>
                <w:szCs w:val="16"/>
              </w:rPr>
              <w:t>84.50%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EBE7BAF" w14:textId="70BEE6C5" w:rsidR="00CF6742" w:rsidRPr="00781112" w:rsidRDefault="002B7490" w:rsidP="00A018D4">
            <w:pPr>
              <w:jc w:val="center"/>
              <w:rPr>
                <w:rFonts w:cs="Arial"/>
                <w:color w:val="000000" w:themeColor="text1"/>
                <w:szCs w:val="16"/>
              </w:rPr>
            </w:pPr>
            <w:r w:rsidRPr="00781112">
              <w:rPr>
                <w:rFonts w:cs="Arial"/>
                <w:color w:val="000000" w:themeColor="text1"/>
                <w:szCs w:val="16"/>
              </w:rPr>
              <w:t>85.00%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9BD5D1" w14:textId="20C3AA4E" w:rsidR="00CF6742" w:rsidRPr="00781112" w:rsidRDefault="002B7490" w:rsidP="00A018D4">
            <w:pPr>
              <w:jc w:val="center"/>
              <w:rPr>
                <w:rFonts w:cs="Arial"/>
                <w:color w:val="000000" w:themeColor="text1"/>
                <w:szCs w:val="16"/>
              </w:rPr>
            </w:pPr>
            <w:r w:rsidRPr="00781112">
              <w:rPr>
                <w:rFonts w:cs="Arial"/>
                <w:color w:val="000000" w:themeColor="text1"/>
                <w:szCs w:val="16"/>
              </w:rPr>
              <w:t>85.50%</w:t>
            </w:r>
          </w:p>
        </w:tc>
      </w:tr>
      <w:tr w:rsidR="005F0D3B" w:rsidRPr="00781112" w14:paraId="1273980B" w14:textId="53318F32" w:rsidTr="009023AD">
        <w:trPr>
          <w:trHeight w:val="70"/>
        </w:trPr>
        <w:tc>
          <w:tcPr>
            <w:tcW w:w="248" w:type="pct"/>
            <w:tcBorders>
              <w:left w:val="single" w:sz="4" w:space="0" w:color="auto"/>
              <w:right w:val="single" w:sz="4" w:space="0" w:color="auto"/>
            </w:tcBorders>
            <w:shd w:val="clear" w:color="auto" w:fill="auto"/>
            <w:vAlign w:val="center"/>
          </w:tcPr>
          <w:p w14:paraId="32218C67" w14:textId="38A3EC13"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left w:val="single" w:sz="4" w:space="0" w:color="auto"/>
              <w:right w:val="single" w:sz="4" w:space="0" w:color="auto"/>
            </w:tcBorders>
            <w:shd w:val="clear" w:color="auto" w:fill="auto"/>
            <w:vAlign w:val="center"/>
          </w:tcPr>
          <w:p w14:paraId="4C1410E0" w14:textId="3EB7FCEC" w:rsidR="00CF6742" w:rsidRPr="00781112" w:rsidRDefault="002B7490" w:rsidP="00A018D4">
            <w:pPr>
              <w:jc w:val="center"/>
              <w:rPr>
                <w:rFonts w:cs="Arial"/>
                <w:color w:val="000000" w:themeColor="text1"/>
                <w:szCs w:val="16"/>
              </w:rPr>
            </w:pPr>
            <w:r w:rsidRPr="00781112">
              <w:rPr>
                <w:rFonts w:cs="Arial"/>
                <w:color w:val="000000" w:themeColor="text1"/>
                <w:szCs w:val="16"/>
              </w:rPr>
              <w:t>84.47%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849D3"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95056F" w14:textId="336EBB2F" w:rsidR="00CF6742" w:rsidRPr="00781112" w:rsidRDefault="002B7490" w:rsidP="00A018D4">
            <w:pPr>
              <w:jc w:val="center"/>
              <w:rPr>
                <w:rFonts w:cs="Arial"/>
                <w:color w:val="000000" w:themeColor="text1"/>
                <w:szCs w:val="16"/>
              </w:rPr>
            </w:pPr>
            <w:r w:rsidRPr="00781112">
              <w:rPr>
                <w:rFonts w:cs="Arial"/>
                <w:color w:val="000000" w:themeColor="text1"/>
                <w:szCs w:val="16"/>
              </w:rPr>
              <w:t>82.50%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BFE4EBC" w14:textId="3A0FBE8F" w:rsidR="00CF6742" w:rsidRPr="00781112" w:rsidRDefault="002B7490" w:rsidP="00A018D4">
            <w:pPr>
              <w:jc w:val="center"/>
              <w:rPr>
                <w:rFonts w:cs="Arial"/>
                <w:color w:val="000000" w:themeColor="text1"/>
                <w:szCs w:val="16"/>
              </w:rPr>
            </w:pPr>
            <w:r w:rsidRPr="00781112">
              <w:rPr>
                <w:rFonts w:cs="Arial"/>
                <w:color w:val="000000" w:themeColor="text1"/>
                <w:szCs w:val="16"/>
              </w:rPr>
              <w:t>84.47%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61F7337" w14:textId="090E4E8B" w:rsidR="00CF6742" w:rsidRPr="00781112" w:rsidRDefault="002B7490" w:rsidP="00A018D4">
            <w:pPr>
              <w:jc w:val="center"/>
              <w:rPr>
                <w:rFonts w:cs="Arial"/>
                <w:color w:val="000000" w:themeColor="text1"/>
                <w:szCs w:val="16"/>
              </w:rPr>
            </w:pPr>
            <w:r w:rsidRPr="00781112">
              <w:rPr>
                <w:rFonts w:cs="Arial"/>
                <w:color w:val="000000" w:themeColor="text1"/>
                <w:szCs w:val="16"/>
              </w:rPr>
              <w:t>84.32%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93D48E" w14:textId="04E7CEC4" w:rsidR="00CF6742" w:rsidRPr="00781112" w:rsidRDefault="002B7490" w:rsidP="00A018D4">
            <w:pPr>
              <w:jc w:val="center"/>
              <w:rPr>
                <w:rFonts w:cs="Arial"/>
                <w:color w:val="000000" w:themeColor="text1"/>
                <w:szCs w:val="16"/>
              </w:rPr>
            </w:pPr>
            <w:r w:rsidRPr="00781112">
              <w:rPr>
                <w:rFonts w:cs="Arial"/>
                <w:color w:val="000000" w:themeColor="text1"/>
                <w:szCs w:val="16"/>
              </w:rPr>
              <w:t>83.65%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54E21AE" w14:textId="4BF3E562" w:rsidR="00CF6742" w:rsidRPr="00781112" w:rsidRDefault="002B7490" w:rsidP="00A018D4">
            <w:pPr>
              <w:jc w:val="center"/>
              <w:rPr>
                <w:rFonts w:cs="Arial"/>
                <w:color w:val="000000" w:themeColor="text1"/>
                <w:szCs w:val="16"/>
              </w:rPr>
            </w:pPr>
            <w:r w:rsidRPr="00781112">
              <w:rPr>
                <w:rFonts w:cs="Arial"/>
                <w:color w:val="000000" w:themeColor="text1"/>
                <w:szCs w:val="16"/>
              </w:rPr>
              <w:t>82.22%</w:t>
            </w:r>
          </w:p>
        </w:tc>
      </w:tr>
      <w:tr w:rsidR="005F0D3B" w:rsidRPr="00781112" w14:paraId="0B3AB2AF" w14:textId="0ED8043B"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779C8614"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lastRenderedPageBreak/>
              <w:t>A2</w:t>
            </w:r>
          </w:p>
        </w:tc>
        <w:tc>
          <w:tcPr>
            <w:tcW w:w="437" w:type="pct"/>
            <w:tcBorders>
              <w:top w:val="single" w:sz="4" w:space="0" w:color="auto"/>
              <w:left w:val="single" w:sz="4" w:space="0" w:color="auto"/>
              <w:right w:val="single" w:sz="4" w:space="0" w:color="auto"/>
            </w:tcBorders>
            <w:shd w:val="clear" w:color="auto" w:fill="auto"/>
            <w:vAlign w:val="center"/>
          </w:tcPr>
          <w:p w14:paraId="4AD0B449" w14:textId="16D6804E" w:rsidR="00CF6742"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13AA6" w14:textId="7F510C2D"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B53BBE3" w14:textId="7A5F9A90" w:rsidR="00CF6742" w:rsidRPr="00781112" w:rsidRDefault="002B7490" w:rsidP="00A018D4">
            <w:pPr>
              <w:jc w:val="center"/>
              <w:rPr>
                <w:rFonts w:cs="Arial"/>
                <w:color w:val="000000" w:themeColor="text1"/>
                <w:szCs w:val="16"/>
              </w:rPr>
            </w:pPr>
            <w:r w:rsidRPr="00781112">
              <w:rPr>
                <w:rFonts w:cs="Arial"/>
                <w:color w:val="000000" w:themeColor="text1"/>
                <w:szCs w:val="16"/>
              </w:rPr>
              <w:t>68.00%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5BB52D" w14:textId="145AACFA" w:rsidR="00CF6742" w:rsidRPr="00781112" w:rsidRDefault="002B7490" w:rsidP="00A018D4">
            <w:pPr>
              <w:jc w:val="center"/>
              <w:rPr>
                <w:rFonts w:cs="Arial"/>
                <w:color w:val="000000" w:themeColor="text1"/>
                <w:szCs w:val="16"/>
              </w:rPr>
            </w:pPr>
            <w:r w:rsidRPr="00781112">
              <w:rPr>
                <w:rFonts w:cs="Arial"/>
                <w:color w:val="000000" w:themeColor="text1"/>
                <w:szCs w:val="16"/>
              </w:rPr>
              <w:t>68.00%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74264A7" w14:textId="7EF45616" w:rsidR="00CF6742" w:rsidRPr="00781112" w:rsidRDefault="002B7490" w:rsidP="00A018D4">
            <w:pPr>
              <w:jc w:val="center"/>
              <w:rPr>
                <w:rFonts w:cs="Arial"/>
                <w:color w:val="000000" w:themeColor="text1"/>
                <w:szCs w:val="16"/>
              </w:rPr>
            </w:pPr>
            <w:r w:rsidRPr="00781112">
              <w:rPr>
                <w:rFonts w:cs="Arial"/>
                <w:color w:val="000000" w:themeColor="text1"/>
                <w:szCs w:val="16"/>
              </w:rPr>
              <w:t>64.32%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91C2453" w14:textId="435017A5" w:rsidR="00CF6742" w:rsidRPr="00781112" w:rsidRDefault="002B7490" w:rsidP="00A018D4">
            <w:pPr>
              <w:jc w:val="center"/>
              <w:rPr>
                <w:rFonts w:cs="Arial"/>
                <w:color w:val="000000" w:themeColor="text1"/>
                <w:szCs w:val="16"/>
              </w:rPr>
            </w:pPr>
            <w:r w:rsidRPr="00781112">
              <w:rPr>
                <w:rFonts w:cs="Arial"/>
                <w:color w:val="000000" w:themeColor="text1"/>
                <w:szCs w:val="16"/>
              </w:rPr>
              <w:t>64.40%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7AA4CD6" w14:textId="54A13C0B" w:rsidR="00CF6742" w:rsidRPr="00781112" w:rsidRDefault="002B7490" w:rsidP="00A018D4">
            <w:pPr>
              <w:jc w:val="center"/>
              <w:rPr>
                <w:rFonts w:cs="Arial"/>
                <w:color w:val="000000" w:themeColor="text1"/>
                <w:szCs w:val="16"/>
              </w:rPr>
            </w:pPr>
            <w:r w:rsidRPr="00781112">
              <w:rPr>
                <w:rFonts w:cs="Arial"/>
                <w:color w:val="000000" w:themeColor="text1"/>
                <w:szCs w:val="16"/>
              </w:rPr>
              <w:t>64.50%</w:t>
            </w:r>
          </w:p>
        </w:tc>
      </w:tr>
      <w:tr w:rsidR="005F0D3B" w:rsidRPr="00781112" w14:paraId="1D11B386" w14:textId="42BD85F0" w:rsidTr="009023AD">
        <w:trPr>
          <w:trHeight w:val="85"/>
        </w:trPr>
        <w:tc>
          <w:tcPr>
            <w:tcW w:w="248" w:type="pct"/>
            <w:tcBorders>
              <w:left w:val="single" w:sz="4" w:space="0" w:color="auto"/>
              <w:right w:val="single" w:sz="4" w:space="0" w:color="auto"/>
            </w:tcBorders>
            <w:shd w:val="clear" w:color="auto" w:fill="auto"/>
            <w:vAlign w:val="center"/>
          </w:tcPr>
          <w:p w14:paraId="65E595DA" w14:textId="7544B3DB"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A2</w:t>
            </w:r>
          </w:p>
        </w:tc>
        <w:tc>
          <w:tcPr>
            <w:tcW w:w="437" w:type="pct"/>
            <w:tcBorders>
              <w:left w:val="single" w:sz="4" w:space="0" w:color="auto"/>
              <w:right w:val="single" w:sz="4" w:space="0" w:color="auto"/>
            </w:tcBorders>
            <w:shd w:val="clear" w:color="auto" w:fill="auto"/>
            <w:vAlign w:val="center"/>
          </w:tcPr>
          <w:p w14:paraId="33B2AFD7" w14:textId="45496AC0" w:rsidR="00CF6742" w:rsidRPr="00781112" w:rsidRDefault="002B7490" w:rsidP="00A018D4">
            <w:pPr>
              <w:jc w:val="center"/>
              <w:rPr>
                <w:rFonts w:cs="Arial"/>
                <w:color w:val="000000" w:themeColor="text1"/>
                <w:szCs w:val="16"/>
              </w:rPr>
            </w:pPr>
            <w:r w:rsidRPr="00781112">
              <w:rPr>
                <w:rFonts w:cs="Arial"/>
                <w:color w:val="000000" w:themeColor="text1"/>
                <w:szCs w:val="16"/>
              </w:rPr>
              <w:t>64.31%</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0ABFC"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A2DD6E" w14:textId="36DC7586" w:rsidR="00CF6742" w:rsidRPr="00781112" w:rsidRDefault="002B7490" w:rsidP="00A018D4">
            <w:pPr>
              <w:jc w:val="center"/>
              <w:rPr>
                <w:rFonts w:cs="Arial"/>
                <w:color w:val="000000" w:themeColor="text1"/>
                <w:szCs w:val="16"/>
              </w:rPr>
            </w:pPr>
            <w:r w:rsidRPr="00781112">
              <w:rPr>
                <w:rFonts w:cs="Arial"/>
                <w:color w:val="000000" w:themeColor="text1"/>
                <w:szCs w:val="16"/>
              </w:rPr>
              <w:t>63.32%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6159A9A" w14:textId="560797EF" w:rsidR="00CF6742" w:rsidRPr="00781112" w:rsidRDefault="002B7490" w:rsidP="00A018D4">
            <w:pPr>
              <w:jc w:val="center"/>
              <w:rPr>
                <w:rFonts w:cs="Arial"/>
                <w:color w:val="000000" w:themeColor="text1"/>
                <w:szCs w:val="16"/>
              </w:rPr>
            </w:pPr>
            <w:r w:rsidRPr="00781112">
              <w:rPr>
                <w:rFonts w:cs="Arial"/>
                <w:color w:val="000000" w:themeColor="text1"/>
                <w:szCs w:val="16"/>
              </w:rPr>
              <w:t>64.31%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5D8F762" w14:textId="7C5C8489" w:rsidR="00CF6742" w:rsidRPr="00781112" w:rsidRDefault="002B7490" w:rsidP="00A018D4">
            <w:pPr>
              <w:jc w:val="center"/>
              <w:rPr>
                <w:rFonts w:cs="Arial"/>
                <w:color w:val="000000" w:themeColor="text1"/>
                <w:szCs w:val="16"/>
              </w:rPr>
            </w:pPr>
            <w:r w:rsidRPr="00781112">
              <w:rPr>
                <w:rFonts w:cs="Arial"/>
                <w:color w:val="000000" w:themeColor="text1"/>
                <w:szCs w:val="16"/>
              </w:rPr>
              <w:t>61.52%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F976AF4" w14:textId="04557E60" w:rsidR="00CF6742" w:rsidRPr="00781112" w:rsidRDefault="002B7490" w:rsidP="00A018D4">
            <w:pPr>
              <w:jc w:val="center"/>
              <w:rPr>
                <w:rFonts w:cs="Arial"/>
                <w:color w:val="000000" w:themeColor="text1"/>
                <w:szCs w:val="16"/>
              </w:rPr>
            </w:pPr>
            <w:r w:rsidRPr="00781112">
              <w:rPr>
                <w:rFonts w:cs="Arial"/>
                <w:color w:val="000000" w:themeColor="text1"/>
                <w:szCs w:val="16"/>
              </w:rPr>
              <w:t>62.88%</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EEF23F" w14:textId="5EDDCD10" w:rsidR="00CF6742" w:rsidRPr="00781112" w:rsidRDefault="002B7490" w:rsidP="00A018D4">
            <w:pPr>
              <w:jc w:val="center"/>
              <w:rPr>
                <w:rFonts w:cs="Arial"/>
                <w:color w:val="000000" w:themeColor="text1"/>
                <w:szCs w:val="16"/>
              </w:rPr>
            </w:pPr>
            <w:r w:rsidRPr="00781112">
              <w:rPr>
                <w:rFonts w:cs="Arial"/>
                <w:color w:val="000000" w:themeColor="text1"/>
                <w:szCs w:val="16"/>
              </w:rPr>
              <w:t>61.21%</w:t>
            </w:r>
          </w:p>
        </w:tc>
      </w:tr>
      <w:tr w:rsidR="005F0D3B" w:rsidRPr="00781112" w14:paraId="038BC95B" w14:textId="47C87879" w:rsidTr="009023AD">
        <w:trPr>
          <w:trHeight w:val="85"/>
        </w:trPr>
        <w:tc>
          <w:tcPr>
            <w:tcW w:w="248" w:type="pct"/>
            <w:tcBorders>
              <w:left w:val="single" w:sz="4" w:space="0" w:color="auto"/>
              <w:right w:val="single" w:sz="4" w:space="0" w:color="auto"/>
            </w:tcBorders>
            <w:shd w:val="clear" w:color="auto" w:fill="auto"/>
            <w:vAlign w:val="center"/>
          </w:tcPr>
          <w:p w14:paraId="4B20CE7B"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49E245E" w14:textId="66BE9FD7" w:rsidR="0085328E"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1E60245" w14:textId="7347A69D"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F1B58E" w14:textId="3C66E08F" w:rsidR="0085328E" w:rsidRPr="00781112" w:rsidRDefault="002B7490" w:rsidP="00A018D4">
            <w:pPr>
              <w:jc w:val="center"/>
              <w:rPr>
                <w:rFonts w:cs="Arial"/>
                <w:color w:val="000000" w:themeColor="text1"/>
                <w:szCs w:val="16"/>
              </w:rPr>
            </w:pPr>
            <w:r w:rsidRPr="00781112">
              <w:rPr>
                <w:rFonts w:cs="Arial"/>
                <w:color w:val="000000" w:themeColor="text1"/>
                <w:szCs w:val="16"/>
              </w:rPr>
              <w:t>79.00%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6CEF40A" w14:textId="6AF964A1" w:rsidR="0085328E" w:rsidRPr="00781112" w:rsidRDefault="002B7490" w:rsidP="00A018D4">
            <w:pPr>
              <w:jc w:val="center"/>
              <w:rPr>
                <w:rFonts w:cs="Arial"/>
                <w:color w:val="000000" w:themeColor="text1"/>
                <w:szCs w:val="16"/>
              </w:rPr>
            </w:pPr>
            <w:r w:rsidRPr="00781112">
              <w:rPr>
                <w:rFonts w:cs="Arial"/>
                <w:color w:val="000000" w:themeColor="text1"/>
                <w:szCs w:val="16"/>
              </w:rPr>
              <w:t>79.50%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C74D9F4" w14:textId="774343F5" w:rsidR="0085328E" w:rsidRPr="00781112" w:rsidRDefault="002B7490" w:rsidP="00A018D4">
            <w:pPr>
              <w:jc w:val="center"/>
              <w:rPr>
                <w:rFonts w:cs="Arial"/>
                <w:color w:val="000000" w:themeColor="text1"/>
                <w:szCs w:val="16"/>
              </w:rPr>
            </w:pPr>
            <w:r w:rsidRPr="00781112">
              <w:rPr>
                <w:rFonts w:cs="Arial"/>
                <w:color w:val="000000" w:themeColor="text1"/>
                <w:szCs w:val="16"/>
              </w:rPr>
              <w:t>83.51%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9DA59EE" w14:textId="194552B0" w:rsidR="0085328E" w:rsidRPr="00781112" w:rsidRDefault="002B7490" w:rsidP="00A018D4">
            <w:pPr>
              <w:jc w:val="center"/>
              <w:rPr>
                <w:rFonts w:cs="Arial"/>
                <w:color w:val="000000" w:themeColor="text1"/>
                <w:szCs w:val="16"/>
              </w:rPr>
            </w:pPr>
            <w:r w:rsidRPr="00781112">
              <w:rPr>
                <w:rFonts w:cs="Arial"/>
                <w:color w:val="000000" w:themeColor="text1"/>
                <w:szCs w:val="16"/>
              </w:rPr>
              <w:t>84.00%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B8D5B5" w14:textId="15B9801D" w:rsidR="0085328E" w:rsidRPr="00781112" w:rsidRDefault="002B7490" w:rsidP="00A018D4">
            <w:pPr>
              <w:jc w:val="center"/>
              <w:rPr>
                <w:rFonts w:cs="Arial"/>
                <w:color w:val="000000" w:themeColor="text1"/>
                <w:szCs w:val="16"/>
              </w:rPr>
            </w:pPr>
            <w:r w:rsidRPr="00781112">
              <w:rPr>
                <w:rFonts w:cs="Arial"/>
                <w:color w:val="000000" w:themeColor="text1"/>
                <w:szCs w:val="16"/>
              </w:rPr>
              <w:t>84.50%</w:t>
            </w:r>
          </w:p>
        </w:tc>
      </w:tr>
      <w:tr w:rsidR="005F0D3B" w:rsidRPr="00781112" w14:paraId="66DA0218" w14:textId="74D7BD54" w:rsidTr="009023AD">
        <w:trPr>
          <w:trHeight w:val="85"/>
        </w:trPr>
        <w:tc>
          <w:tcPr>
            <w:tcW w:w="248" w:type="pct"/>
            <w:tcBorders>
              <w:left w:val="single" w:sz="4" w:space="0" w:color="auto"/>
              <w:right w:val="single" w:sz="4" w:space="0" w:color="auto"/>
            </w:tcBorders>
            <w:shd w:val="clear" w:color="auto" w:fill="auto"/>
            <w:vAlign w:val="center"/>
          </w:tcPr>
          <w:p w14:paraId="24B8577D" w14:textId="1B68A320"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F012F6D" w14:textId="4520FF93" w:rsidR="0085328E" w:rsidRPr="00781112" w:rsidRDefault="002B7490" w:rsidP="00A018D4">
            <w:pPr>
              <w:jc w:val="center"/>
              <w:rPr>
                <w:rFonts w:cs="Arial"/>
                <w:color w:val="000000" w:themeColor="text1"/>
                <w:szCs w:val="16"/>
              </w:rPr>
            </w:pPr>
            <w:r w:rsidRPr="00781112">
              <w:rPr>
                <w:rFonts w:cs="Arial"/>
                <w:color w:val="000000" w:themeColor="text1"/>
                <w:szCs w:val="16"/>
              </w:rPr>
              <w:t>83.50%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853A57"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11C2254" w14:textId="1DF979D4" w:rsidR="0085328E" w:rsidRPr="00781112" w:rsidRDefault="002B7490" w:rsidP="00A018D4">
            <w:pPr>
              <w:jc w:val="center"/>
              <w:rPr>
                <w:rFonts w:cs="Arial"/>
                <w:color w:val="000000" w:themeColor="text1"/>
                <w:szCs w:val="16"/>
              </w:rPr>
            </w:pPr>
            <w:r w:rsidRPr="00781112">
              <w:rPr>
                <w:rFonts w:cs="Arial"/>
                <w:color w:val="000000" w:themeColor="text1"/>
                <w:szCs w:val="16"/>
              </w:rPr>
              <w:t>82.98%</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5DBAC4" w14:textId="06C3822D" w:rsidR="0085328E" w:rsidRPr="00781112" w:rsidRDefault="002B7490" w:rsidP="00A018D4">
            <w:pPr>
              <w:jc w:val="center"/>
              <w:rPr>
                <w:rFonts w:cs="Arial"/>
                <w:color w:val="000000" w:themeColor="text1"/>
                <w:szCs w:val="16"/>
              </w:rPr>
            </w:pPr>
            <w:r w:rsidRPr="00781112">
              <w:rPr>
                <w:rFonts w:cs="Arial"/>
                <w:color w:val="000000" w:themeColor="text1"/>
                <w:szCs w:val="16"/>
              </w:rPr>
              <w:t>83.50%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9D2F1A1" w14:textId="1565A8C1" w:rsidR="0085328E" w:rsidRPr="00781112" w:rsidRDefault="002B7490" w:rsidP="00A018D4">
            <w:pPr>
              <w:jc w:val="center"/>
              <w:rPr>
                <w:rFonts w:cs="Arial"/>
                <w:color w:val="000000" w:themeColor="text1"/>
                <w:szCs w:val="16"/>
              </w:rPr>
            </w:pPr>
            <w:r w:rsidRPr="00781112">
              <w:rPr>
                <w:rFonts w:cs="Arial"/>
                <w:color w:val="000000" w:themeColor="text1"/>
                <w:szCs w:val="16"/>
              </w:rPr>
              <w:t>84.01%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C8C9437" w14:textId="7807B4A0" w:rsidR="0085328E" w:rsidRPr="00781112" w:rsidRDefault="002B7490" w:rsidP="00A018D4">
            <w:pPr>
              <w:jc w:val="center"/>
              <w:rPr>
                <w:rFonts w:cs="Arial"/>
                <w:color w:val="000000" w:themeColor="text1"/>
                <w:szCs w:val="16"/>
              </w:rPr>
            </w:pPr>
            <w:r w:rsidRPr="00781112">
              <w:rPr>
                <w:rFonts w:cs="Arial"/>
                <w:color w:val="000000" w:themeColor="text1"/>
                <w:szCs w:val="16"/>
              </w:rPr>
              <w:t>83.37%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1EDD05" w14:textId="5AA94706" w:rsidR="0085328E" w:rsidRPr="00781112" w:rsidRDefault="002B7490" w:rsidP="00A018D4">
            <w:pPr>
              <w:jc w:val="center"/>
              <w:rPr>
                <w:rFonts w:cs="Arial"/>
                <w:color w:val="000000" w:themeColor="text1"/>
                <w:szCs w:val="16"/>
              </w:rPr>
            </w:pPr>
            <w:r w:rsidRPr="00781112">
              <w:rPr>
                <w:rFonts w:cs="Arial"/>
                <w:color w:val="000000" w:themeColor="text1"/>
                <w:szCs w:val="16"/>
              </w:rPr>
              <w:t>82.43%</w:t>
            </w:r>
          </w:p>
        </w:tc>
      </w:tr>
      <w:tr w:rsidR="005F0D3B" w:rsidRPr="00781112" w14:paraId="5D1BF2C9" w14:textId="459BD37D" w:rsidTr="009023AD">
        <w:trPr>
          <w:trHeight w:val="85"/>
        </w:trPr>
        <w:tc>
          <w:tcPr>
            <w:tcW w:w="248" w:type="pct"/>
            <w:tcBorders>
              <w:left w:val="single" w:sz="4" w:space="0" w:color="auto"/>
              <w:right w:val="single" w:sz="4" w:space="0" w:color="auto"/>
            </w:tcBorders>
            <w:shd w:val="clear" w:color="auto" w:fill="auto"/>
            <w:vAlign w:val="center"/>
          </w:tcPr>
          <w:p w14:paraId="548F3C7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160EA035" w14:textId="1C94FCD5" w:rsidR="0085328E"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A24CCF9" w14:textId="2D8E0643"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D83D62" w14:textId="2DE181F8" w:rsidR="0085328E" w:rsidRPr="00781112" w:rsidRDefault="002B7490" w:rsidP="00A018D4">
            <w:pPr>
              <w:jc w:val="center"/>
              <w:rPr>
                <w:rFonts w:cs="Arial"/>
                <w:color w:val="000000" w:themeColor="text1"/>
                <w:szCs w:val="16"/>
              </w:rPr>
            </w:pPr>
            <w:r w:rsidRPr="00781112">
              <w:rPr>
                <w:rFonts w:cs="Arial"/>
                <w:color w:val="000000" w:themeColor="text1"/>
                <w:szCs w:val="16"/>
              </w:rPr>
              <w:t>64.00%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2B792AD" w14:textId="758AC006" w:rsidR="0085328E" w:rsidRPr="00781112" w:rsidRDefault="002B7490" w:rsidP="00A018D4">
            <w:pPr>
              <w:jc w:val="center"/>
              <w:rPr>
                <w:rFonts w:cs="Arial"/>
                <w:color w:val="000000" w:themeColor="text1"/>
                <w:szCs w:val="16"/>
              </w:rPr>
            </w:pPr>
            <w:r w:rsidRPr="00781112">
              <w:rPr>
                <w:rFonts w:cs="Arial"/>
                <w:color w:val="000000" w:themeColor="text1"/>
                <w:szCs w:val="16"/>
              </w:rPr>
              <w:t>64.00%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782A18F" w14:textId="46A86692" w:rsidR="0085328E" w:rsidRPr="00781112" w:rsidRDefault="002B7490" w:rsidP="00A018D4">
            <w:pPr>
              <w:jc w:val="center"/>
              <w:rPr>
                <w:rFonts w:cs="Arial"/>
                <w:color w:val="000000" w:themeColor="text1"/>
                <w:szCs w:val="16"/>
              </w:rPr>
            </w:pPr>
            <w:r w:rsidRPr="00781112">
              <w:rPr>
                <w:rFonts w:cs="Arial"/>
                <w:color w:val="000000" w:themeColor="text1"/>
                <w:szCs w:val="16"/>
              </w:rPr>
              <w:t>62.92%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97CBE74" w14:textId="39C3D76E" w:rsidR="0085328E" w:rsidRPr="00781112" w:rsidRDefault="002B7490" w:rsidP="00A018D4">
            <w:pPr>
              <w:jc w:val="center"/>
              <w:rPr>
                <w:rFonts w:cs="Arial"/>
                <w:color w:val="000000" w:themeColor="text1"/>
                <w:szCs w:val="16"/>
              </w:rPr>
            </w:pPr>
            <w:r w:rsidRPr="00781112">
              <w:rPr>
                <w:rFonts w:cs="Arial"/>
                <w:color w:val="000000" w:themeColor="text1"/>
                <w:szCs w:val="16"/>
              </w:rPr>
              <w:t>63.00%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1A34F04" w14:textId="315015F3" w:rsidR="0085328E" w:rsidRPr="00781112" w:rsidRDefault="002B7490" w:rsidP="00A018D4">
            <w:pPr>
              <w:jc w:val="center"/>
              <w:rPr>
                <w:rFonts w:cs="Arial"/>
                <w:color w:val="000000" w:themeColor="text1"/>
                <w:szCs w:val="16"/>
              </w:rPr>
            </w:pPr>
            <w:r w:rsidRPr="00781112">
              <w:rPr>
                <w:rFonts w:cs="Arial"/>
                <w:color w:val="000000" w:themeColor="text1"/>
                <w:szCs w:val="16"/>
              </w:rPr>
              <w:t>63.10%</w:t>
            </w:r>
          </w:p>
        </w:tc>
      </w:tr>
      <w:tr w:rsidR="005F0D3B" w:rsidRPr="00781112" w14:paraId="1AC0D5CC" w14:textId="451AD16E" w:rsidTr="009023AD">
        <w:trPr>
          <w:trHeight w:val="85"/>
        </w:trPr>
        <w:tc>
          <w:tcPr>
            <w:tcW w:w="248" w:type="pct"/>
            <w:tcBorders>
              <w:left w:val="single" w:sz="4" w:space="0" w:color="auto"/>
              <w:right w:val="single" w:sz="4" w:space="0" w:color="auto"/>
            </w:tcBorders>
            <w:shd w:val="clear" w:color="auto" w:fill="auto"/>
            <w:vAlign w:val="center"/>
          </w:tcPr>
          <w:p w14:paraId="143DE0B0" w14:textId="232D3364"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24E18759" w14:textId="387ECC21" w:rsidR="0085328E" w:rsidRPr="00781112" w:rsidRDefault="002B7490" w:rsidP="00A018D4">
            <w:pPr>
              <w:jc w:val="center"/>
              <w:rPr>
                <w:rFonts w:cs="Arial"/>
                <w:color w:val="000000" w:themeColor="text1"/>
                <w:szCs w:val="16"/>
              </w:rPr>
            </w:pPr>
            <w:r w:rsidRPr="00781112">
              <w:rPr>
                <w:rFonts w:cs="Arial"/>
                <w:color w:val="000000" w:themeColor="text1"/>
                <w:szCs w:val="16"/>
              </w:rPr>
              <w:t>62.91%</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1218C7"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4D7405" w14:textId="7369DBD6" w:rsidR="0085328E" w:rsidRPr="00781112" w:rsidRDefault="002B7490" w:rsidP="00A018D4">
            <w:pPr>
              <w:jc w:val="center"/>
              <w:rPr>
                <w:rFonts w:cs="Arial"/>
                <w:color w:val="000000" w:themeColor="text1"/>
                <w:szCs w:val="16"/>
              </w:rPr>
            </w:pPr>
            <w:r w:rsidRPr="00781112">
              <w:rPr>
                <w:rFonts w:cs="Arial"/>
                <w:color w:val="000000" w:themeColor="text1"/>
                <w:szCs w:val="16"/>
              </w:rPr>
              <w:t>61.51%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668A2AF" w14:textId="3F239661" w:rsidR="0085328E" w:rsidRPr="00781112" w:rsidRDefault="002B7490" w:rsidP="00A018D4">
            <w:pPr>
              <w:jc w:val="center"/>
              <w:rPr>
                <w:rFonts w:cs="Arial"/>
                <w:color w:val="000000" w:themeColor="text1"/>
                <w:szCs w:val="16"/>
              </w:rPr>
            </w:pPr>
            <w:r w:rsidRPr="00781112">
              <w:rPr>
                <w:rFonts w:cs="Arial"/>
                <w:color w:val="000000" w:themeColor="text1"/>
                <w:szCs w:val="16"/>
              </w:rPr>
              <w:t>62.91%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735D643" w14:textId="534CE7F8" w:rsidR="0085328E" w:rsidRPr="00781112" w:rsidRDefault="002B7490" w:rsidP="00A018D4">
            <w:pPr>
              <w:jc w:val="center"/>
              <w:rPr>
                <w:rFonts w:cs="Arial"/>
                <w:color w:val="000000" w:themeColor="text1"/>
                <w:szCs w:val="16"/>
              </w:rPr>
            </w:pPr>
            <w:r w:rsidRPr="00781112">
              <w:rPr>
                <w:rFonts w:cs="Arial"/>
                <w:color w:val="000000" w:themeColor="text1"/>
                <w:szCs w:val="16"/>
              </w:rPr>
              <w:t>59.17%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69A388" w14:textId="486C020A" w:rsidR="0085328E" w:rsidRPr="00781112" w:rsidRDefault="002B7490" w:rsidP="00A018D4">
            <w:pPr>
              <w:jc w:val="center"/>
              <w:rPr>
                <w:rFonts w:cs="Arial"/>
                <w:color w:val="000000" w:themeColor="text1"/>
                <w:szCs w:val="16"/>
              </w:rPr>
            </w:pPr>
            <w:r w:rsidRPr="00781112">
              <w:rPr>
                <w:rFonts w:cs="Arial"/>
                <w:color w:val="000000" w:themeColor="text1"/>
                <w:szCs w:val="16"/>
              </w:rPr>
              <w:t>60.11%</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AB34E0E" w14:textId="72971784" w:rsidR="0085328E" w:rsidRPr="00781112" w:rsidRDefault="002B7490" w:rsidP="00A018D4">
            <w:pPr>
              <w:jc w:val="center"/>
              <w:rPr>
                <w:rFonts w:cs="Arial"/>
                <w:color w:val="000000" w:themeColor="text1"/>
                <w:szCs w:val="16"/>
              </w:rPr>
            </w:pPr>
            <w:r w:rsidRPr="00781112">
              <w:rPr>
                <w:rFonts w:cs="Arial"/>
                <w:color w:val="000000" w:themeColor="text1"/>
                <w:szCs w:val="16"/>
              </w:rPr>
              <w:t>60.24%</w:t>
            </w:r>
          </w:p>
        </w:tc>
      </w:tr>
      <w:tr w:rsidR="005F0D3B" w:rsidRPr="00781112" w14:paraId="3A905290" w14:textId="4D4DDE53" w:rsidTr="009023AD">
        <w:trPr>
          <w:trHeight w:val="85"/>
        </w:trPr>
        <w:tc>
          <w:tcPr>
            <w:tcW w:w="248" w:type="pct"/>
            <w:tcBorders>
              <w:left w:val="single" w:sz="4" w:space="0" w:color="auto"/>
              <w:right w:val="single" w:sz="4" w:space="0" w:color="auto"/>
            </w:tcBorders>
            <w:shd w:val="clear" w:color="auto" w:fill="auto"/>
            <w:vAlign w:val="center"/>
          </w:tcPr>
          <w:p w14:paraId="72D6BBB6"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32EC35B2" w14:textId="7EF481F8" w:rsidR="0085328E"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2AD4BBD1" w14:textId="1AF777EC"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E3605B6" w14:textId="09C06F1D" w:rsidR="0085328E" w:rsidRPr="00781112" w:rsidRDefault="002B7490" w:rsidP="00A018D4">
            <w:pPr>
              <w:jc w:val="center"/>
              <w:rPr>
                <w:rFonts w:cs="Arial"/>
                <w:color w:val="000000" w:themeColor="text1"/>
                <w:szCs w:val="16"/>
              </w:rPr>
            </w:pPr>
            <w:r w:rsidRPr="00781112">
              <w:rPr>
                <w:rFonts w:cs="Arial"/>
                <w:color w:val="000000" w:themeColor="text1"/>
                <w:szCs w:val="16"/>
              </w:rPr>
              <w:t>80.00%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985E737" w14:textId="1A9F0994" w:rsidR="0085328E" w:rsidRPr="00781112" w:rsidRDefault="002B7490" w:rsidP="00A018D4">
            <w:pPr>
              <w:jc w:val="center"/>
              <w:rPr>
                <w:rFonts w:cs="Arial"/>
                <w:color w:val="000000" w:themeColor="text1"/>
                <w:szCs w:val="16"/>
              </w:rPr>
            </w:pPr>
            <w:r w:rsidRPr="00781112">
              <w:rPr>
                <w:rFonts w:cs="Arial"/>
                <w:color w:val="000000" w:themeColor="text1"/>
                <w:szCs w:val="16"/>
              </w:rPr>
              <w:t>80.50%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104097D" w14:textId="3599EA63" w:rsidR="0085328E" w:rsidRPr="00781112" w:rsidRDefault="002B7490" w:rsidP="00A018D4">
            <w:pPr>
              <w:jc w:val="center"/>
              <w:rPr>
                <w:rFonts w:cs="Arial"/>
                <w:color w:val="000000" w:themeColor="text1"/>
                <w:szCs w:val="16"/>
              </w:rPr>
            </w:pPr>
            <w:r w:rsidRPr="00781112">
              <w:rPr>
                <w:rFonts w:cs="Arial"/>
                <w:color w:val="000000" w:themeColor="text1"/>
                <w:szCs w:val="16"/>
              </w:rPr>
              <w:t>86.29%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2ECD873" w14:textId="22C05487" w:rsidR="0085328E" w:rsidRPr="00781112" w:rsidRDefault="002B7490" w:rsidP="00A018D4">
            <w:pPr>
              <w:jc w:val="center"/>
              <w:rPr>
                <w:rFonts w:cs="Arial"/>
                <w:color w:val="000000" w:themeColor="text1"/>
                <w:szCs w:val="16"/>
              </w:rPr>
            </w:pPr>
            <w:r w:rsidRPr="00781112">
              <w:rPr>
                <w:rFonts w:cs="Arial"/>
                <w:color w:val="000000" w:themeColor="text1"/>
                <w:szCs w:val="16"/>
              </w:rPr>
              <w:t>86.80%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3389E08" w14:textId="39125BE4" w:rsidR="0085328E" w:rsidRPr="00781112" w:rsidRDefault="002B7490" w:rsidP="00A018D4">
            <w:pPr>
              <w:jc w:val="center"/>
              <w:rPr>
                <w:rFonts w:cs="Arial"/>
                <w:color w:val="000000" w:themeColor="text1"/>
                <w:szCs w:val="16"/>
              </w:rPr>
            </w:pPr>
            <w:r w:rsidRPr="00781112">
              <w:rPr>
                <w:rFonts w:cs="Arial"/>
                <w:color w:val="000000" w:themeColor="text1"/>
                <w:szCs w:val="16"/>
              </w:rPr>
              <w:t>87.30%</w:t>
            </w:r>
          </w:p>
        </w:tc>
      </w:tr>
      <w:tr w:rsidR="005F0D3B" w:rsidRPr="00781112" w14:paraId="542EE9A0" w14:textId="0624CABB" w:rsidTr="009023AD">
        <w:trPr>
          <w:trHeight w:val="85"/>
        </w:trPr>
        <w:tc>
          <w:tcPr>
            <w:tcW w:w="248" w:type="pct"/>
            <w:tcBorders>
              <w:left w:val="single" w:sz="4" w:space="0" w:color="auto"/>
              <w:right w:val="single" w:sz="4" w:space="0" w:color="auto"/>
            </w:tcBorders>
            <w:shd w:val="clear" w:color="auto" w:fill="auto"/>
            <w:vAlign w:val="center"/>
          </w:tcPr>
          <w:p w14:paraId="4DBC4231" w14:textId="38EC78AF"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4A443083" w14:textId="588F563E" w:rsidR="0085328E" w:rsidRPr="00781112" w:rsidRDefault="002B7490" w:rsidP="00A018D4">
            <w:pPr>
              <w:jc w:val="center"/>
              <w:rPr>
                <w:rFonts w:cs="Arial"/>
                <w:color w:val="000000" w:themeColor="text1"/>
                <w:szCs w:val="16"/>
              </w:rPr>
            </w:pPr>
            <w:r w:rsidRPr="00781112">
              <w:rPr>
                <w:rFonts w:cs="Arial"/>
                <w:color w:val="000000" w:themeColor="text1"/>
                <w:szCs w:val="16"/>
              </w:rPr>
              <w:t>86.28%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3505DBD8"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CCFC788" w14:textId="0DEC691C" w:rsidR="0085328E" w:rsidRPr="00781112" w:rsidRDefault="002B7490" w:rsidP="00A018D4">
            <w:pPr>
              <w:jc w:val="center"/>
              <w:rPr>
                <w:rFonts w:cs="Arial"/>
                <w:color w:val="000000" w:themeColor="text1"/>
                <w:szCs w:val="16"/>
              </w:rPr>
            </w:pPr>
            <w:r w:rsidRPr="00781112">
              <w:rPr>
                <w:rFonts w:cs="Arial"/>
                <w:color w:val="000000" w:themeColor="text1"/>
                <w:szCs w:val="16"/>
              </w:rPr>
              <w:t>85.57%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A2692FD" w14:textId="41890FD1" w:rsidR="0085328E" w:rsidRPr="00781112" w:rsidRDefault="002B7490" w:rsidP="00A018D4">
            <w:pPr>
              <w:jc w:val="center"/>
              <w:rPr>
                <w:rFonts w:cs="Arial"/>
                <w:color w:val="000000" w:themeColor="text1"/>
                <w:szCs w:val="16"/>
              </w:rPr>
            </w:pPr>
            <w:r w:rsidRPr="00781112">
              <w:rPr>
                <w:rFonts w:cs="Arial"/>
                <w:color w:val="000000" w:themeColor="text1"/>
                <w:szCs w:val="16"/>
              </w:rPr>
              <w:t>86.28%</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E19A94" w14:textId="4230AB0E" w:rsidR="0085328E" w:rsidRPr="00781112" w:rsidRDefault="002B7490" w:rsidP="00A018D4">
            <w:pPr>
              <w:jc w:val="center"/>
              <w:rPr>
                <w:rFonts w:cs="Arial"/>
                <w:color w:val="000000" w:themeColor="text1"/>
                <w:szCs w:val="16"/>
              </w:rPr>
            </w:pPr>
            <w:r w:rsidRPr="00781112">
              <w:rPr>
                <w:rFonts w:cs="Arial"/>
                <w:color w:val="000000" w:themeColor="text1"/>
                <w:szCs w:val="16"/>
              </w:rPr>
              <w:t>84.31%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F3C8C0" w14:textId="601F01AA" w:rsidR="0085328E" w:rsidRPr="00781112" w:rsidRDefault="002B7490" w:rsidP="00A018D4">
            <w:pPr>
              <w:jc w:val="center"/>
              <w:rPr>
                <w:rFonts w:cs="Arial"/>
                <w:color w:val="000000" w:themeColor="text1"/>
                <w:szCs w:val="16"/>
              </w:rPr>
            </w:pPr>
            <w:r w:rsidRPr="00781112">
              <w:rPr>
                <w:rFonts w:cs="Arial"/>
                <w:color w:val="000000" w:themeColor="text1"/>
                <w:szCs w:val="16"/>
              </w:rPr>
              <w:t>85.53%</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69554C" w14:textId="208FBED6" w:rsidR="0085328E" w:rsidRPr="00781112" w:rsidRDefault="002B7490" w:rsidP="00A018D4">
            <w:pPr>
              <w:jc w:val="center"/>
              <w:rPr>
                <w:rFonts w:cs="Arial"/>
                <w:color w:val="000000" w:themeColor="text1"/>
                <w:szCs w:val="16"/>
              </w:rPr>
            </w:pPr>
            <w:r w:rsidRPr="00781112">
              <w:rPr>
                <w:rFonts w:cs="Arial"/>
                <w:color w:val="000000" w:themeColor="text1"/>
                <w:szCs w:val="16"/>
              </w:rPr>
              <w:t>83.48%</w:t>
            </w:r>
          </w:p>
        </w:tc>
      </w:tr>
      <w:tr w:rsidR="005F0D3B" w:rsidRPr="00781112" w14:paraId="1C3A879D" w14:textId="39451B95" w:rsidTr="009023AD">
        <w:trPr>
          <w:trHeight w:val="85"/>
        </w:trPr>
        <w:tc>
          <w:tcPr>
            <w:tcW w:w="248" w:type="pct"/>
            <w:tcBorders>
              <w:left w:val="single" w:sz="4" w:space="0" w:color="auto"/>
              <w:right w:val="single" w:sz="4" w:space="0" w:color="auto"/>
            </w:tcBorders>
            <w:shd w:val="clear" w:color="auto" w:fill="auto"/>
            <w:vAlign w:val="center"/>
          </w:tcPr>
          <w:p w14:paraId="26C585A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02A4378D" w14:textId="1370C13B" w:rsidR="0085328E"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0F3C954" w14:textId="5809F22B"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37F82B2" w14:textId="3FDA4D76" w:rsidR="0085328E" w:rsidRPr="00781112" w:rsidRDefault="002B7490" w:rsidP="00A018D4">
            <w:pPr>
              <w:jc w:val="center"/>
              <w:rPr>
                <w:rFonts w:cs="Arial"/>
                <w:color w:val="000000" w:themeColor="text1"/>
                <w:szCs w:val="16"/>
              </w:rPr>
            </w:pPr>
            <w:r w:rsidRPr="00781112">
              <w:rPr>
                <w:rFonts w:cs="Arial"/>
                <w:color w:val="000000" w:themeColor="text1"/>
                <w:szCs w:val="16"/>
              </w:rPr>
              <w:t>79.00%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C5B5B6" w14:textId="467D9866" w:rsidR="0085328E" w:rsidRPr="00781112" w:rsidRDefault="002B7490" w:rsidP="00A018D4">
            <w:pPr>
              <w:jc w:val="center"/>
              <w:rPr>
                <w:rFonts w:cs="Arial"/>
                <w:color w:val="000000" w:themeColor="text1"/>
                <w:szCs w:val="16"/>
              </w:rPr>
            </w:pPr>
            <w:r w:rsidRPr="00781112">
              <w:rPr>
                <w:rFonts w:cs="Arial"/>
                <w:color w:val="000000" w:themeColor="text1"/>
                <w:szCs w:val="16"/>
              </w:rPr>
              <w:t>80.00%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D8F929" w14:textId="659E25C7" w:rsidR="0085328E" w:rsidRPr="00781112" w:rsidRDefault="002B7490" w:rsidP="00A018D4">
            <w:pPr>
              <w:jc w:val="center"/>
              <w:rPr>
                <w:rFonts w:cs="Arial"/>
                <w:color w:val="000000" w:themeColor="text1"/>
                <w:szCs w:val="16"/>
              </w:rPr>
            </w:pPr>
            <w:r w:rsidRPr="00781112">
              <w:rPr>
                <w:rFonts w:cs="Arial"/>
                <w:color w:val="000000" w:themeColor="text1"/>
                <w:szCs w:val="16"/>
              </w:rPr>
              <w:t>74.91%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2DB5EE8" w14:textId="25FD6BE6" w:rsidR="0085328E"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4D4A8ED" w14:textId="7FD39DDF" w:rsidR="0085328E" w:rsidRPr="00781112" w:rsidRDefault="002B7490" w:rsidP="00A018D4">
            <w:pPr>
              <w:jc w:val="center"/>
              <w:rPr>
                <w:rFonts w:cs="Arial"/>
                <w:color w:val="000000" w:themeColor="text1"/>
                <w:szCs w:val="16"/>
              </w:rPr>
            </w:pPr>
            <w:r w:rsidRPr="00781112">
              <w:rPr>
                <w:rFonts w:cs="Arial"/>
                <w:color w:val="000000" w:themeColor="text1"/>
                <w:szCs w:val="16"/>
              </w:rPr>
              <w:t>75.10%</w:t>
            </w:r>
          </w:p>
        </w:tc>
      </w:tr>
      <w:tr w:rsidR="005F0D3B" w:rsidRPr="00781112" w14:paraId="2ED2CF15" w14:textId="4D4950C3" w:rsidTr="009023AD">
        <w:trPr>
          <w:trHeight w:val="85"/>
        </w:trPr>
        <w:tc>
          <w:tcPr>
            <w:tcW w:w="248" w:type="pct"/>
            <w:tcBorders>
              <w:left w:val="single" w:sz="4" w:space="0" w:color="auto"/>
              <w:right w:val="single" w:sz="4" w:space="0" w:color="auto"/>
            </w:tcBorders>
            <w:shd w:val="clear" w:color="auto" w:fill="auto"/>
            <w:vAlign w:val="center"/>
          </w:tcPr>
          <w:p w14:paraId="0C71509B" w14:textId="5F7D99B1"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722DF11E" w14:textId="268D7A3C" w:rsidR="0085328E" w:rsidRPr="00781112" w:rsidRDefault="002B7490" w:rsidP="00A018D4">
            <w:pPr>
              <w:jc w:val="center"/>
              <w:rPr>
                <w:rFonts w:cs="Arial"/>
                <w:color w:val="000000" w:themeColor="text1"/>
                <w:szCs w:val="16"/>
              </w:rPr>
            </w:pPr>
            <w:r w:rsidRPr="00781112">
              <w:rPr>
                <w:rFonts w:cs="Arial"/>
                <w:color w:val="000000" w:themeColor="text1"/>
                <w:szCs w:val="16"/>
              </w:rPr>
              <w:t>74.90%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7880F8C"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9C94D3E" w14:textId="1C9729B7" w:rsidR="0085328E" w:rsidRPr="00781112" w:rsidRDefault="002B7490" w:rsidP="00A018D4">
            <w:pPr>
              <w:jc w:val="center"/>
              <w:rPr>
                <w:rFonts w:cs="Arial"/>
                <w:color w:val="000000" w:themeColor="text1"/>
                <w:szCs w:val="16"/>
              </w:rPr>
            </w:pPr>
            <w:r w:rsidRPr="00781112">
              <w:rPr>
                <w:rFonts w:cs="Arial"/>
                <w:color w:val="000000" w:themeColor="text1"/>
                <w:szCs w:val="16"/>
              </w:rPr>
              <w:t>73.72%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AA52620" w14:textId="6E2803C1" w:rsidR="0085328E" w:rsidRPr="00781112" w:rsidRDefault="002B7490" w:rsidP="00A018D4">
            <w:pPr>
              <w:jc w:val="center"/>
              <w:rPr>
                <w:rFonts w:cs="Arial"/>
                <w:color w:val="000000" w:themeColor="text1"/>
                <w:szCs w:val="16"/>
              </w:rPr>
            </w:pPr>
            <w:r w:rsidRPr="00781112">
              <w:rPr>
                <w:rFonts w:cs="Arial"/>
                <w:color w:val="000000" w:themeColor="text1"/>
                <w:szCs w:val="16"/>
              </w:rPr>
              <w:t>74.90%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B49B53" w14:textId="1024FEC0" w:rsidR="0085328E" w:rsidRPr="00781112" w:rsidRDefault="002B7490" w:rsidP="00A018D4">
            <w:pPr>
              <w:jc w:val="center"/>
              <w:rPr>
                <w:rFonts w:cs="Arial"/>
                <w:color w:val="000000" w:themeColor="text1"/>
                <w:szCs w:val="16"/>
              </w:rPr>
            </w:pPr>
            <w:r w:rsidRPr="00781112">
              <w:rPr>
                <w:rFonts w:cs="Arial"/>
                <w:color w:val="000000" w:themeColor="text1"/>
                <w:szCs w:val="16"/>
              </w:rPr>
              <w:t>69.57%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B7A91B" w14:textId="764DB422" w:rsidR="0085328E" w:rsidRPr="00781112" w:rsidRDefault="002B7490" w:rsidP="00A018D4">
            <w:pPr>
              <w:jc w:val="center"/>
              <w:rPr>
                <w:rFonts w:cs="Arial"/>
                <w:color w:val="000000" w:themeColor="text1"/>
                <w:szCs w:val="16"/>
              </w:rPr>
            </w:pPr>
            <w:r w:rsidRPr="00781112">
              <w:rPr>
                <w:rFonts w:cs="Arial"/>
                <w:color w:val="000000" w:themeColor="text1"/>
                <w:szCs w:val="16"/>
              </w:rPr>
              <w:t>70.95%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BDF1E23" w14:textId="1E0478E3" w:rsidR="0085328E" w:rsidRPr="00781112" w:rsidRDefault="002B7490" w:rsidP="00A018D4">
            <w:pPr>
              <w:jc w:val="center"/>
              <w:rPr>
                <w:rFonts w:cs="Arial"/>
                <w:color w:val="000000" w:themeColor="text1"/>
                <w:szCs w:val="16"/>
              </w:rPr>
            </w:pPr>
            <w:r w:rsidRPr="00781112">
              <w:rPr>
                <w:rFonts w:cs="Arial"/>
                <w:color w:val="000000" w:themeColor="text1"/>
                <w:szCs w:val="16"/>
              </w:rPr>
              <w:t>69.48%</w:t>
            </w:r>
          </w:p>
        </w:tc>
      </w:tr>
    </w:tbl>
    <w:p w14:paraId="53B4B4AE" w14:textId="77777777" w:rsidR="007870F8" w:rsidRPr="00781112" w:rsidRDefault="007870F8" w:rsidP="004369B2">
      <w:pPr>
        <w:rPr>
          <w:color w:val="000000" w:themeColor="text1"/>
        </w:rPr>
      </w:pPr>
    </w:p>
    <w:p w14:paraId="0DB74FA5" w14:textId="79B945B9" w:rsidR="00F4192A" w:rsidRPr="00781112" w:rsidRDefault="00F4192A" w:rsidP="004369B2">
      <w:pPr>
        <w:rPr>
          <w:color w:val="000000" w:themeColor="text1"/>
        </w:rPr>
      </w:pPr>
      <w:r w:rsidRPr="00781112">
        <w:rPr>
          <w:b/>
          <w:color w:val="000000" w:themeColor="text1"/>
        </w:rPr>
        <w:t>Targets</w:t>
      </w:r>
    </w:p>
    <w:tbl>
      <w:tblPr>
        <w:tblW w:w="3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TARGETS"/>
      </w:tblPr>
      <w:tblGrid>
        <w:gridCol w:w="679"/>
        <w:gridCol w:w="2402"/>
        <w:gridCol w:w="2564"/>
        <w:gridCol w:w="2564"/>
      </w:tblGrid>
      <w:tr w:rsidR="00AC3EF2" w:rsidRPr="00781112" w14:paraId="7154778B" w14:textId="326343BD" w:rsidTr="00FE4611">
        <w:trPr>
          <w:trHeight w:val="333"/>
        </w:trPr>
        <w:tc>
          <w:tcPr>
            <w:tcW w:w="384" w:type="pct"/>
            <w:tcBorders>
              <w:bottom w:val="single" w:sz="4" w:space="0" w:color="auto"/>
            </w:tcBorders>
            <w:shd w:val="clear" w:color="auto" w:fill="auto"/>
            <w:vAlign w:val="center"/>
          </w:tcPr>
          <w:p w14:paraId="4C772A88" w14:textId="77777777" w:rsidR="00AC3EF2" w:rsidRPr="00781112" w:rsidRDefault="00AC3EF2" w:rsidP="00D62058">
            <w:pPr>
              <w:jc w:val="center"/>
              <w:rPr>
                <w:b/>
                <w:color w:val="000000" w:themeColor="text1"/>
              </w:rPr>
            </w:pPr>
            <w:r w:rsidRPr="00781112">
              <w:rPr>
                <w:b/>
                <w:color w:val="000000" w:themeColor="text1"/>
              </w:rPr>
              <w:t>FFY</w:t>
            </w:r>
          </w:p>
        </w:tc>
        <w:tc>
          <w:tcPr>
            <w:tcW w:w="1473" w:type="pct"/>
            <w:shd w:val="clear" w:color="auto" w:fill="auto"/>
            <w:vAlign w:val="center"/>
          </w:tcPr>
          <w:p w14:paraId="12A78916" w14:textId="4FE79E21" w:rsidR="00AC3EF2" w:rsidRPr="00781112" w:rsidRDefault="00AC3EF2" w:rsidP="00D62058">
            <w:pPr>
              <w:jc w:val="center"/>
              <w:rPr>
                <w:b/>
                <w:color w:val="000000" w:themeColor="text1"/>
              </w:rPr>
            </w:pPr>
            <w:r w:rsidRPr="00781112">
              <w:rPr>
                <w:b/>
                <w:color w:val="000000" w:themeColor="text1"/>
              </w:rPr>
              <w:t>2023</w:t>
            </w:r>
          </w:p>
        </w:tc>
        <w:tc>
          <w:tcPr>
            <w:tcW w:w="1571" w:type="pct"/>
            <w:vAlign w:val="center"/>
          </w:tcPr>
          <w:p w14:paraId="252A750A" w14:textId="25138A81" w:rsidR="00AC3EF2" w:rsidRPr="00781112" w:rsidRDefault="00AC3EF2" w:rsidP="00D62058">
            <w:pPr>
              <w:jc w:val="center"/>
              <w:rPr>
                <w:b/>
                <w:color w:val="000000" w:themeColor="text1"/>
              </w:rPr>
            </w:pPr>
            <w:r w:rsidRPr="00781112">
              <w:rPr>
                <w:rFonts w:cs="Arial"/>
                <w:b/>
                <w:color w:val="000000" w:themeColor="text1"/>
                <w:szCs w:val="16"/>
              </w:rPr>
              <w:t>2024</w:t>
            </w:r>
          </w:p>
        </w:tc>
        <w:tc>
          <w:tcPr>
            <w:tcW w:w="1571" w:type="pct"/>
            <w:vAlign w:val="center"/>
          </w:tcPr>
          <w:p w14:paraId="68D8D021" w14:textId="79B543D0" w:rsidR="00AC3EF2" w:rsidRPr="00781112" w:rsidRDefault="00AC3EF2" w:rsidP="00D62058">
            <w:pPr>
              <w:jc w:val="center"/>
              <w:rPr>
                <w:b/>
                <w:color w:val="000000" w:themeColor="text1"/>
              </w:rPr>
            </w:pPr>
            <w:r w:rsidRPr="00781112">
              <w:rPr>
                <w:rFonts w:cs="Arial"/>
                <w:b/>
                <w:color w:val="000000" w:themeColor="text1"/>
                <w:szCs w:val="16"/>
              </w:rPr>
              <w:t>2025</w:t>
            </w:r>
          </w:p>
        </w:tc>
      </w:tr>
      <w:tr w:rsidR="00AC3EF2" w:rsidRPr="00781112" w14:paraId="18C73B9A" w14:textId="4A314190" w:rsidTr="00FE4611">
        <w:trPr>
          <w:trHeight w:val="340"/>
        </w:trPr>
        <w:tc>
          <w:tcPr>
            <w:tcW w:w="384" w:type="pct"/>
            <w:shd w:val="clear" w:color="auto" w:fill="auto"/>
            <w:vAlign w:val="center"/>
          </w:tcPr>
          <w:p w14:paraId="507B0BCD" w14:textId="415A5723" w:rsidR="00AC3EF2" w:rsidRPr="00781112" w:rsidRDefault="00AC3EF2" w:rsidP="00BA3DBE">
            <w:pPr>
              <w:jc w:val="center"/>
              <w:rPr>
                <w:rFonts w:cs="Arial"/>
                <w:color w:val="000000" w:themeColor="text1"/>
                <w:szCs w:val="16"/>
              </w:rPr>
            </w:pPr>
            <w:r w:rsidRPr="00781112">
              <w:rPr>
                <w:rFonts w:cs="Arial"/>
                <w:color w:val="000000" w:themeColor="text1"/>
                <w:szCs w:val="16"/>
              </w:rPr>
              <w:t>Target A1 &gt;=</w:t>
            </w:r>
          </w:p>
        </w:tc>
        <w:tc>
          <w:tcPr>
            <w:tcW w:w="1473" w:type="pct"/>
            <w:shd w:val="clear" w:color="auto" w:fill="auto"/>
            <w:vAlign w:val="center"/>
          </w:tcPr>
          <w:p w14:paraId="1B809E80" w14:textId="23651174" w:rsidR="00AC3EF2" w:rsidRPr="00781112" w:rsidRDefault="00AC3EF2" w:rsidP="00D62058">
            <w:pPr>
              <w:jc w:val="center"/>
              <w:rPr>
                <w:color w:val="000000" w:themeColor="text1"/>
              </w:rPr>
            </w:pPr>
            <w:r w:rsidRPr="00781112">
              <w:rPr>
                <w:color w:val="000000" w:themeColor="text1"/>
              </w:rPr>
              <w:t>86.00%</w:t>
            </w:r>
          </w:p>
        </w:tc>
        <w:tc>
          <w:tcPr>
            <w:tcW w:w="1571" w:type="pct"/>
            <w:vAlign w:val="center"/>
          </w:tcPr>
          <w:p w14:paraId="5EAD01EF" w14:textId="12066A13" w:rsidR="00AC3EF2" w:rsidRPr="00781112" w:rsidRDefault="00AC3EF2" w:rsidP="00D62058">
            <w:pPr>
              <w:jc w:val="center"/>
              <w:rPr>
                <w:color w:val="000000" w:themeColor="text1"/>
              </w:rPr>
            </w:pPr>
            <w:r w:rsidRPr="00781112">
              <w:rPr>
                <w:color w:val="000000" w:themeColor="text1"/>
                <w:szCs w:val="16"/>
              </w:rPr>
              <w:t>86.50%</w:t>
            </w:r>
          </w:p>
        </w:tc>
        <w:tc>
          <w:tcPr>
            <w:tcW w:w="1571" w:type="pct"/>
            <w:vAlign w:val="center"/>
          </w:tcPr>
          <w:p w14:paraId="2E3018C0" w14:textId="3758E6A1" w:rsidR="00AC3EF2" w:rsidRPr="00781112" w:rsidRDefault="00AC3EF2" w:rsidP="00D62058">
            <w:pPr>
              <w:jc w:val="center"/>
              <w:rPr>
                <w:color w:val="000000" w:themeColor="text1"/>
              </w:rPr>
            </w:pPr>
            <w:r w:rsidRPr="00781112">
              <w:rPr>
                <w:color w:val="000000" w:themeColor="text1"/>
                <w:szCs w:val="16"/>
              </w:rPr>
              <w:t>87.00%</w:t>
            </w:r>
          </w:p>
        </w:tc>
      </w:tr>
      <w:tr w:rsidR="00AC3EF2" w:rsidRPr="00781112" w14:paraId="7C704220" w14:textId="4A1FC69E" w:rsidTr="00FE4611">
        <w:trPr>
          <w:trHeight w:val="340"/>
        </w:trPr>
        <w:tc>
          <w:tcPr>
            <w:tcW w:w="384" w:type="pct"/>
            <w:shd w:val="clear" w:color="auto" w:fill="auto"/>
            <w:vAlign w:val="center"/>
          </w:tcPr>
          <w:p w14:paraId="253AADF0" w14:textId="721E9C65" w:rsidR="00AC3EF2" w:rsidRPr="00781112" w:rsidRDefault="00AC3EF2" w:rsidP="00BA3DBE">
            <w:pPr>
              <w:jc w:val="center"/>
              <w:rPr>
                <w:rFonts w:cs="Arial"/>
                <w:color w:val="000000" w:themeColor="text1"/>
                <w:szCs w:val="16"/>
              </w:rPr>
            </w:pPr>
            <w:r w:rsidRPr="00781112">
              <w:rPr>
                <w:rFonts w:cs="Arial"/>
                <w:color w:val="000000" w:themeColor="text1"/>
                <w:szCs w:val="16"/>
              </w:rPr>
              <w:t>Target A2 &gt;=</w:t>
            </w:r>
          </w:p>
        </w:tc>
        <w:tc>
          <w:tcPr>
            <w:tcW w:w="1473" w:type="pct"/>
            <w:shd w:val="clear" w:color="auto" w:fill="auto"/>
            <w:vAlign w:val="center"/>
          </w:tcPr>
          <w:p w14:paraId="572F97E5" w14:textId="71E20118" w:rsidR="00AC3EF2" w:rsidRPr="00781112" w:rsidRDefault="00AC3EF2" w:rsidP="00D62058">
            <w:pPr>
              <w:jc w:val="center"/>
              <w:rPr>
                <w:rFonts w:cs="Arial"/>
                <w:color w:val="000000" w:themeColor="text1"/>
                <w:szCs w:val="16"/>
              </w:rPr>
            </w:pPr>
            <w:r w:rsidRPr="00781112">
              <w:rPr>
                <w:rFonts w:cs="Arial"/>
                <w:color w:val="000000" w:themeColor="text1"/>
                <w:szCs w:val="16"/>
              </w:rPr>
              <w:t>64.60%</w:t>
            </w:r>
          </w:p>
        </w:tc>
        <w:tc>
          <w:tcPr>
            <w:tcW w:w="1571" w:type="pct"/>
            <w:vAlign w:val="center"/>
          </w:tcPr>
          <w:p w14:paraId="40137C22" w14:textId="775C9D4C" w:rsidR="00AC3EF2" w:rsidRPr="00781112" w:rsidRDefault="00AC3EF2" w:rsidP="00D62058">
            <w:pPr>
              <w:jc w:val="center"/>
              <w:rPr>
                <w:rFonts w:cs="Arial"/>
                <w:color w:val="000000" w:themeColor="text1"/>
                <w:szCs w:val="16"/>
              </w:rPr>
            </w:pPr>
            <w:r w:rsidRPr="00781112">
              <w:rPr>
                <w:color w:val="000000" w:themeColor="text1"/>
                <w:szCs w:val="16"/>
              </w:rPr>
              <w:t>64.70%</w:t>
            </w:r>
          </w:p>
        </w:tc>
        <w:tc>
          <w:tcPr>
            <w:tcW w:w="1571" w:type="pct"/>
            <w:vAlign w:val="center"/>
          </w:tcPr>
          <w:p w14:paraId="468DEAEF" w14:textId="0B21BE62" w:rsidR="00AC3EF2" w:rsidRPr="00781112" w:rsidRDefault="00AC3EF2" w:rsidP="00D62058">
            <w:pPr>
              <w:jc w:val="center"/>
              <w:rPr>
                <w:rFonts w:cs="Arial"/>
                <w:color w:val="000000" w:themeColor="text1"/>
                <w:szCs w:val="16"/>
              </w:rPr>
            </w:pPr>
            <w:r w:rsidRPr="00781112">
              <w:rPr>
                <w:color w:val="000000" w:themeColor="text1"/>
                <w:szCs w:val="16"/>
              </w:rPr>
              <w:t>64.80%</w:t>
            </w:r>
          </w:p>
        </w:tc>
      </w:tr>
      <w:tr w:rsidR="00AC3EF2" w:rsidRPr="00781112" w14:paraId="6D44D644" w14:textId="2AAE55F2" w:rsidTr="00FE4611">
        <w:trPr>
          <w:trHeight w:val="340"/>
        </w:trPr>
        <w:tc>
          <w:tcPr>
            <w:tcW w:w="384" w:type="pct"/>
            <w:shd w:val="clear" w:color="auto" w:fill="auto"/>
            <w:vAlign w:val="center"/>
          </w:tcPr>
          <w:p w14:paraId="2E46543E" w14:textId="484E799D" w:rsidR="00AC3EF2" w:rsidRPr="00781112" w:rsidRDefault="00AC3EF2" w:rsidP="00BA3DBE">
            <w:pPr>
              <w:jc w:val="center"/>
              <w:rPr>
                <w:rFonts w:cs="Arial"/>
                <w:color w:val="000000" w:themeColor="text1"/>
                <w:szCs w:val="16"/>
              </w:rPr>
            </w:pPr>
            <w:r w:rsidRPr="00781112">
              <w:rPr>
                <w:rFonts w:cs="Arial"/>
                <w:color w:val="000000" w:themeColor="text1"/>
                <w:szCs w:val="16"/>
              </w:rPr>
              <w:t>Target B1 &gt;=</w:t>
            </w:r>
          </w:p>
        </w:tc>
        <w:tc>
          <w:tcPr>
            <w:tcW w:w="1473" w:type="pct"/>
            <w:shd w:val="clear" w:color="auto" w:fill="auto"/>
            <w:vAlign w:val="center"/>
          </w:tcPr>
          <w:p w14:paraId="5B1AAB6F" w14:textId="09987858" w:rsidR="00AC3EF2" w:rsidRPr="00781112" w:rsidRDefault="00AC3EF2" w:rsidP="00D62058">
            <w:pPr>
              <w:jc w:val="center"/>
              <w:rPr>
                <w:rFonts w:cs="Arial"/>
                <w:color w:val="000000" w:themeColor="text1"/>
                <w:szCs w:val="16"/>
              </w:rPr>
            </w:pPr>
            <w:r w:rsidRPr="00781112">
              <w:rPr>
                <w:rFonts w:cs="Arial"/>
                <w:color w:val="000000" w:themeColor="text1"/>
                <w:szCs w:val="16"/>
              </w:rPr>
              <w:t>85.00%</w:t>
            </w:r>
          </w:p>
        </w:tc>
        <w:tc>
          <w:tcPr>
            <w:tcW w:w="1571" w:type="pct"/>
            <w:vAlign w:val="center"/>
          </w:tcPr>
          <w:p w14:paraId="7D23F948" w14:textId="1533C8CE" w:rsidR="00AC3EF2" w:rsidRPr="00781112" w:rsidRDefault="00AC3EF2" w:rsidP="00D62058">
            <w:pPr>
              <w:jc w:val="center"/>
              <w:rPr>
                <w:rFonts w:cs="Arial"/>
                <w:color w:val="000000" w:themeColor="text1"/>
                <w:szCs w:val="16"/>
              </w:rPr>
            </w:pPr>
            <w:r w:rsidRPr="00781112">
              <w:rPr>
                <w:color w:val="000000" w:themeColor="text1"/>
                <w:szCs w:val="16"/>
              </w:rPr>
              <w:t>85.50%</w:t>
            </w:r>
          </w:p>
        </w:tc>
        <w:tc>
          <w:tcPr>
            <w:tcW w:w="1571" w:type="pct"/>
            <w:vAlign w:val="center"/>
          </w:tcPr>
          <w:p w14:paraId="681F2D39" w14:textId="3BA1761B" w:rsidR="00AC3EF2" w:rsidRPr="00781112" w:rsidRDefault="00AC3EF2" w:rsidP="00D62058">
            <w:pPr>
              <w:jc w:val="center"/>
              <w:rPr>
                <w:rFonts w:cs="Arial"/>
                <w:color w:val="000000" w:themeColor="text1"/>
                <w:szCs w:val="16"/>
              </w:rPr>
            </w:pPr>
            <w:r w:rsidRPr="00781112">
              <w:rPr>
                <w:color w:val="000000" w:themeColor="text1"/>
                <w:szCs w:val="16"/>
              </w:rPr>
              <w:t>86.00%</w:t>
            </w:r>
          </w:p>
        </w:tc>
      </w:tr>
      <w:tr w:rsidR="00AC3EF2" w:rsidRPr="00781112" w14:paraId="23425CD0" w14:textId="2D15C5CA" w:rsidTr="00FE4611">
        <w:trPr>
          <w:trHeight w:val="340"/>
        </w:trPr>
        <w:tc>
          <w:tcPr>
            <w:tcW w:w="384" w:type="pct"/>
            <w:shd w:val="clear" w:color="auto" w:fill="auto"/>
            <w:vAlign w:val="center"/>
          </w:tcPr>
          <w:p w14:paraId="7DAA620C" w14:textId="6D6F79FD" w:rsidR="00AC3EF2" w:rsidRPr="00781112" w:rsidRDefault="00AC3EF2" w:rsidP="00BA3DBE">
            <w:pPr>
              <w:jc w:val="center"/>
              <w:rPr>
                <w:rFonts w:cs="Arial"/>
                <w:color w:val="000000" w:themeColor="text1"/>
                <w:szCs w:val="16"/>
              </w:rPr>
            </w:pPr>
            <w:r w:rsidRPr="00781112">
              <w:rPr>
                <w:rFonts w:cs="Arial"/>
                <w:color w:val="000000" w:themeColor="text1"/>
                <w:szCs w:val="16"/>
              </w:rPr>
              <w:t>Target B2 &gt;=</w:t>
            </w:r>
          </w:p>
        </w:tc>
        <w:tc>
          <w:tcPr>
            <w:tcW w:w="1473" w:type="pct"/>
            <w:shd w:val="clear" w:color="auto" w:fill="auto"/>
            <w:vAlign w:val="center"/>
          </w:tcPr>
          <w:p w14:paraId="0C8065AA" w14:textId="2AC4B20C" w:rsidR="00AC3EF2" w:rsidRPr="00781112" w:rsidRDefault="00AC3EF2" w:rsidP="00D62058">
            <w:pPr>
              <w:jc w:val="center"/>
              <w:rPr>
                <w:rFonts w:cs="Arial"/>
                <w:color w:val="000000" w:themeColor="text1"/>
                <w:szCs w:val="16"/>
              </w:rPr>
            </w:pPr>
            <w:r w:rsidRPr="00781112">
              <w:rPr>
                <w:rFonts w:cs="Arial"/>
                <w:color w:val="000000" w:themeColor="text1"/>
                <w:szCs w:val="16"/>
              </w:rPr>
              <w:t>63.20%</w:t>
            </w:r>
          </w:p>
        </w:tc>
        <w:tc>
          <w:tcPr>
            <w:tcW w:w="1571" w:type="pct"/>
            <w:vAlign w:val="center"/>
          </w:tcPr>
          <w:p w14:paraId="3751A50F" w14:textId="3383D4A8" w:rsidR="00AC3EF2" w:rsidRPr="00781112" w:rsidRDefault="00AC3EF2" w:rsidP="00D62058">
            <w:pPr>
              <w:jc w:val="center"/>
              <w:rPr>
                <w:rFonts w:cs="Arial"/>
                <w:color w:val="000000" w:themeColor="text1"/>
                <w:szCs w:val="16"/>
              </w:rPr>
            </w:pPr>
            <w:r w:rsidRPr="00781112">
              <w:rPr>
                <w:color w:val="000000" w:themeColor="text1"/>
                <w:szCs w:val="16"/>
              </w:rPr>
              <w:t>63.30%</w:t>
            </w:r>
          </w:p>
        </w:tc>
        <w:tc>
          <w:tcPr>
            <w:tcW w:w="1571" w:type="pct"/>
            <w:vAlign w:val="center"/>
          </w:tcPr>
          <w:p w14:paraId="5235FFA6" w14:textId="4138DEB0" w:rsidR="00AC3EF2" w:rsidRPr="00781112" w:rsidRDefault="00AC3EF2" w:rsidP="00D62058">
            <w:pPr>
              <w:jc w:val="center"/>
              <w:rPr>
                <w:rFonts w:cs="Arial"/>
                <w:color w:val="000000" w:themeColor="text1"/>
                <w:szCs w:val="16"/>
              </w:rPr>
            </w:pPr>
            <w:r w:rsidRPr="00781112">
              <w:rPr>
                <w:color w:val="000000" w:themeColor="text1"/>
                <w:szCs w:val="16"/>
              </w:rPr>
              <w:t>63.40%</w:t>
            </w:r>
          </w:p>
        </w:tc>
      </w:tr>
      <w:tr w:rsidR="00AC3EF2" w:rsidRPr="00781112" w14:paraId="3A0A624F" w14:textId="2DA1E496" w:rsidTr="00FE4611">
        <w:trPr>
          <w:trHeight w:val="340"/>
        </w:trPr>
        <w:tc>
          <w:tcPr>
            <w:tcW w:w="384" w:type="pct"/>
            <w:shd w:val="clear" w:color="auto" w:fill="auto"/>
            <w:vAlign w:val="center"/>
          </w:tcPr>
          <w:p w14:paraId="04DCCFAA" w14:textId="5591B965" w:rsidR="00AC3EF2" w:rsidRPr="00781112" w:rsidRDefault="00AC3EF2" w:rsidP="00BA3DBE">
            <w:pPr>
              <w:jc w:val="center"/>
              <w:rPr>
                <w:rFonts w:cs="Arial"/>
                <w:color w:val="000000" w:themeColor="text1"/>
                <w:szCs w:val="16"/>
              </w:rPr>
            </w:pPr>
            <w:r w:rsidRPr="00781112">
              <w:rPr>
                <w:rFonts w:cs="Arial"/>
                <w:color w:val="000000" w:themeColor="text1"/>
                <w:szCs w:val="16"/>
              </w:rPr>
              <w:t>Target C1 &gt;=</w:t>
            </w:r>
          </w:p>
        </w:tc>
        <w:tc>
          <w:tcPr>
            <w:tcW w:w="1473" w:type="pct"/>
            <w:shd w:val="clear" w:color="auto" w:fill="auto"/>
            <w:vAlign w:val="center"/>
          </w:tcPr>
          <w:p w14:paraId="26176209" w14:textId="03FEA13C" w:rsidR="00AC3EF2" w:rsidRPr="00781112" w:rsidRDefault="00AC3EF2" w:rsidP="00D62058">
            <w:pPr>
              <w:jc w:val="center"/>
              <w:rPr>
                <w:rFonts w:cs="Arial"/>
                <w:color w:val="000000" w:themeColor="text1"/>
                <w:szCs w:val="16"/>
              </w:rPr>
            </w:pPr>
            <w:r w:rsidRPr="00781112">
              <w:rPr>
                <w:rFonts w:cs="Arial"/>
                <w:color w:val="000000" w:themeColor="text1"/>
                <w:szCs w:val="16"/>
              </w:rPr>
              <w:t>87.80%</w:t>
            </w:r>
          </w:p>
        </w:tc>
        <w:tc>
          <w:tcPr>
            <w:tcW w:w="1571" w:type="pct"/>
            <w:vAlign w:val="center"/>
          </w:tcPr>
          <w:p w14:paraId="36CB20B0" w14:textId="212CC3E5" w:rsidR="00AC3EF2" w:rsidRPr="00781112" w:rsidRDefault="00AC3EF2" w:rsidP="00D62058">
            <w:pPr>
              <w:jc w:val="center"/>
              <w:rPr>
                <w:rFonts w:cs="Arial"/>
                <w:color w:val="000000" w:themeColor="text1"/>
                <w:szCs w:val="16"/>
              </w:rPr>
            </w:pPr>
            <w:r w:rsidRPr="00781112">
              <w:rPr>
                <w:color w:val="000000" w:themeColor="text1"/>
                <w:szCs w:val="16"/>
              </w:rPr>
              <w:t>88.30%</w:t>
            </w:r>
          </w:p>
        </w:tc>
        <w:tc>
          <w:tcPr>
            <w:tcW w:w="1571" w:type="pct"/>
            <w:vAlign w:val="center"/>
          </w:tcPr>
          <w:p w14:paraId="29B1E3BE" w14:textId="0FFFD561" w:rsidR="00AC3EF2" w:rsidRPr="00781112" w:rsidRDefault="00AC3EF2" w:rsidP="00D62058">
            <w:pPr>
              <w:jc w:val="center"/>
              <w:rPr>
                <w:rFonts w:cs="Arial"/>
                <w:color w:val="000000" w:themeColor="text1"/>
                <w:szCs w:val="16"/>
              </w:rPr>
            </w:pPr>
            <w:r w:rsidRPr="00781112">
              <w:rPr>
                <w:color w:val="000000" w:themeColor="text1"/>
                <w:szCs w:val="16"/>
              </w:rPr>
              <w:t>88.80%</w:t>
            </w:r>
          </w:p>
        </w:tc>
      </w:tr>
      <w:tr w:rsidR="00AC3EF2" w:rsidRPr="00781112" w14:paraId="7FD0F8D0" w14:textId="6F160F3D" w:rsidTr="00FE4611">
        <w:trPr>
          <w:trHeight w:val="340"/>
        </w:trPr>
        <w:tc>
          <w:tcPr>
            <w:tcW w:w="384" w:type="pct"/>
            <w:shd w:val="clear" w:color="auto" w:fill="auto"/>
            <w:vAlign w:val="center"/>
          </w:tcPr>
          <w:p w14:paraId="16DEC104" w14:textId="6A28B34F" w:rsidR="00AC3EF2" w:rsidRPr="00781112" w:rsidRDefault="00AC3EF2" w:rsidP="00BA3DBE">
            <w:pPr>
              <w:jc w:val="center"/>
              <w:rPr>
                <w:rFonts w:cs="Arial"/>
                <w:color w:val="000000" w:themeColor="text1"/>
                <w:szCs w:val="16"/>
              </w:rPr>
            </w:pPr>
            <w:r w:rsidRPr="00781112">
              <w:rPr>
                <w:rFonts w:cs="Arial"/>
                <w:color w:val="000000" w:themeColor="text1"/>
                <w:szCs w:val="16"/>
              </w:rPr>
              <w:t>Target C2 &gt;=</w:t>
            </w:r>
          </w:p>
        </w:tc>
        <w:tc>
          <w:tcPr>
            <w:tcW w:w="1473" w:type="pct"/>
            <w:shd w:val="clear" w:color="auto" w:fill="auto"/>
            <w:vAlign w:val="center"/>
          </w:tcPr>
          <w:p w14:paraId="7A9F674E" w14:textId="54CCEACA" w:rsidR="00AC3EF2" w:rsidRPr="00781112" w:rsidRDefault="00AC3EF2" w:rsidP="00AD5583">
            <w:pPr>
              <w:jc w:val="center"/>
              <w:rPr>
                <w:rFonts w:cs="Arial"/>
                <w:color w:val="000000" w:themeColor="text1"/>
                <w:szCs w:val="16"/>
              </w:rPr>
            </w:pPr>
            <w:r w:rsidRPr="00781112">
              <w:rPr>
                <w:rFonts w:cs="Arial"/>
                <w:color w:val="000000" w:themeColor="text1"/>
                <w:szCs w:val="16"/>
              </w:rPr>
              <w:t>75.20%</w:t>
            </w:r>
          </w:p>
        </w:tc>
        <w:tc>
          <w:tcPr>
            <w:tcW w:w="1571" w:type="pct"/>
            <w:vAlign w:val="center"/>
          </w:tcPr>
          <w:p w14:paraId="1A528F77" w14:textId="13F14B9B" w:rsidR="00AC3EF2" w:rsidRPr="00781112" w:rsidRDefault="00AC3EF2" w:rsidP="00AD5583">
            <w:pPr>
              <w:jc w:val="center"/>
              <w:rPr>
                <w:rFonts w:cs="Arial"/>
                <w:color w:val="000000" w:themeColor="text1"/>
                <w:szCs w:val="16"/>
              </w:rPr>
            </w:pPr>
            <w:r w:rsidRPr="00781112">
              <w:rPr>
                <w:color w:val="000000" w:themeColor="text1"/>
                <w:szCs w:val="16"/>
              </w:rPr>
              <w:t>75.30%</w:t>
            </w:r>
          </w:p>
          <w:p w14:paraId="3C5378CB" w14:textId="5A59E833" w:rsidR="00AC3EF2" w:rsidRPr="00781112" w:rsidRDefault="00AC3EF2" w:rsidP="00AD5583">
            <w:pPr>
              <w:jc w:val="center"/>
              <w:rPr>
                <w:rFonts w:cs="Arial"/>
                <w:color w:val="000000" w:themeColor="text1"/>
                <w:szCs w:val="16"/>
              </w:rPr>
            </w:pPr>
          </w:p>
        </w:tc>
        <w:tc>
          <w:tcPr>
            <w:tcW w:w="1571" w:type="pct"/>
            <w:vAlign w:val="center"/>
          </w:tcPr>
          <w:p w14:paraId="694DD14B" w14:textId="0FC2BAFA" w:rsidR="00AC3EF2" w:rsidRPr="00781112" w:rsidRDefault="00AC3EF2" w:rsidP="00AD5583">
            <w:pPr>
              <w:jc w:val="center"/>
              <w:rPr>
                <w:rFonts w:cs="Arial"/>
                <w:color w:val="000000" w:themeColor="text1"/>
                <w:szCs w:val="16"/>
              </w:rPr>
            </w:pPr>
            <w:r w:rsidRPr="00781112">
              <w:rPr>
                <w:color w:val="000000" w:themeColor="text1"/>
                <w:szCs w:val="16"/>
              </w:rPr>
              <w:t>75.40%</w:t>
            </w:r>
          </w:p>
        </w:tc>
      </w:tr>
    </w:tbl>
    <w:p w14:paraId="49CD323A" w14:textId="0F9742B3" w:rsidR="002D145D" w:rsidRPr="00781112" w:rsidRDefault="002D145D" w:rsidP="004369B2">
      <w:pPr>
        <w:rPr>
          <w:b/>
          <w:color w:val="000000" w:themeColor="text1"/>
        </w:rPr>
      </w:pPr>
      <w:r w:rsidRPr="00781112">
        <w:rPr>
          <w:b/>
          <w:color w:val="000000" w:themeColor="text1"/>
        </w:rPr>
        <w:t xml:space="preserve">Targets: Description of Stakeholder Input </w:t>
      </w:r>
    </w:p>
    <w:p w14:paraId="6276C0F6" w14:textId="56252E01" w:rsidR="002D145D" w:rsidRPr="00781112" w:rsidRDefault="002B7490" w:rsidP="002D145D">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The baseline for this indicator was presented to stakeholders and updated based on the most current year of data that was not impacted by COVID-19 (FFY 2019) in order to get the most accurate picture of the current performance level of children with disabilities in early childhood environments. The targets were set to show a slight improvement each year from FFY 2020 through 2025. The stakeholders indicated acceptance of these baselines and targets.</w:t>
      </w:r>
      <w:r w:rsidRPr="00781112">
        <w:rPr>
          <w:rFonts w:cs="Arial"/>
          <w:color w:val="000000" w:themeColor="text1"/>
          <w:szCs w:val="16"/>
        </w:rPr>
        <w:br/>
      </w:r>
      <w:r w:rsidRPr="00781112">
        <w:rPr>
          <w:rFonts w:cs="Arial"/>
          <w:color w:val="000000" w:themeColor="text1"/>
          <w:szCs w:val="16"/>
        </w:rPr>
        <w:br/>
        <w:t>FFY 2023</w:t>
      </w:r>
      <w:r w:rsidRPr="00781112">
        <w:rPr>
          <w:rFonts w:cs="Arial"/>
          <w:color w:val="000000" w:themeColor="text1"/>
          <w:szCs w:val="16"/>
        </w:rPr>
        <w:br/>
        <w:t>Stakeholders did not express interest revising the Preschool Outcomes targets during any meetings throughout the reporting period; however, WVDE/OSE is receptive to any potential concerns or recommendations that stakeholders may have regarding these targets.</w:t>
      </w:r>
    </w:p>
    <w:p w14:paraId="1512BEE4" w14:textId="77777777" w:rsidR="007870F8" w:rsidRPr="00781112" w:rsidRDefault="007870F8" w:rsidP="004369B2">
      <w:pPr>
        <w:rPr>
          <w:color w:val="000000" w:themeColor="text1"/>
        </w:rPr>
      </w:pPr>
    </w:p>
    <w:p w14:paraId="4D0201C3" w14:textId="538BBEB4" w:rsidR="008751D3" w:rsidRPr="00781112" w:rsidRDefault="0047313F">
      <w:pPr>
        <w:rPr>
          <w:b/>
          <w:color w:val="000000" w:themeColor="text1"/>
        </w:rPr>
      </w:pPr>
      <w:r>
        <w:rPr>
          <w:b/>
          <w:color w:val="000000" w:themeColor="text1"/>
        </w:rPr>
        <w:t>FFY 2023 SPP/APR Data</w:t>
      </w:r>
    </w:p>
    <w:p w14:paraId="75F01957" w14:textId="463160A4" w:rsidR="004B2C2D" w:rsidRPr="00781112" w:rsidRDefault="004B2C2D">
      <w:pPr>
        <w:rPr>
          <w:rFonts w:cs="Arial"/>
          <w:b/>
          <w:color w:val="000000" w:themeColor="text1"/>
          <w:szCs w:val="16"/>
        </w:rPr>
      </w:pPr>
      <w:r w:rsidRPr="00781112">
        <w:rPr>
          <w:rFonts w:cs="Arial"/>
          <w:b/>
          <w:color w:val="000000" w:themeColor="text1"/>
          <w:szCs w:val="16"/>
        </w:rPr>
        <w:t>Number of preschool children aged 3 through 5 with IEPs assessed</w:t>
      </w:r>
    </w:p>
    <w:p w14:paraId="6F555236" w14:textId="5F84A3B7" w:rsidR="004B2C2D" w:rsidRPr="00781112" w:rsidRDefault="004B2C2D" w:rsidP="004369B2">
      <w:pPr>
        <w:rPr>
          <w:color w:val="000000" w:themeColor="text1"/>
        </w:rPr>
      </w:pPr>
      <w:r w:rsidRPr="00781112">
        <w:rPr>
          <w:rFonts w:cs="Arial"/>
          <w:color w:val="000000" w:themeColor="text1"/>
          <w:szCs w:val="16"/>
        </w:rPr>
        <w:t>2,745</w:t>
      </w:r>
    </w:p>
    <w:p w14:paraId="6AF5CF56" w14:textId="77777777" w:rsidR="00A80FEB" w:rsidRPr="00781112" w:rsidRDefault="00A80FEB" w:rsidP="004369B2">
      <w:pPr>
        <w:rPr>
          <w:color w:val="000000" w:themeColor="text1"/>
        </w:rPr>
      </w:pPr>
      <w:r w:rsidRPr="00781112">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A"/>
      </w:tblPr>
      <w:tblGrid>
        <w:gridCol w:w="7350"/>
        <w:gridCol w:w="1720"/>
        <w:gridCol w:w="1720"/>
      </w:tblGrid>
      <w:tr w:rsidR="005C29F8" w:rsidRPr="00781112" w14:paraId="7F9D0F86" w14:textId="5773C98B" w:rsidTr="0033429D">
        <w:trPr>
          <w:trHeight w:val="287"/>
          <w:tblHeader/>
        </w:trPr>
        <w:tc>
          <w:tcPr>
            <w:tcW w:w="3406" w:type="pct"/>
            <w:shd w:val="clear" w:color="auto" w:fill="auto"/>
            <w:vAlign w:val="bottom"/>
          </w:tcPr>
          <w:p w14:paraId="732006A2" w14:textId="4E4F994E" w:rsidR="008751D3" w:rsidRPr="00781112" w:rsidRDefault="00043AAB" w:rsidP="0024351A">
            <w:pPr>
              <w:rPr>
                <w:rFonts w:cs="Arial"/>
                <w:b/>
                <w:color w:val="000000" w:themeColor="text1"/>
                <w:szCs w:val="16"/>
              </w:rPr>
            </w:pPr>
            <w:r w:rsidRPr="00781112">
              <w:rPr>
                <w:rFonts w:cs="Arial"/>
                <w:b/>
                <w:color w:val="000000" w:themeColor="text1"/>
                <w:szCs w:val="16"/>
              </w:rPr>
              <w:t xml:space="preserve">Outcome A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797" w:type="pct"/>
            <w:shd w:val="clear" w:color="auto" w:fill="auto"/>
            <w:vAlign w:val="bottom"/>
          </w:tcPr>
          <w:p w14:paraId="2EAB6060" w14:textId="77777777" w:rsidR="008751D3" w:rsidRPr="00781112" w:rsidRDefault="008751D3" w:rsidP="004369B2">
            <w:pPr>
              <w:jc w:val="center"/>
              <w:rPr>
                <w:rFonts w:cs="Arial"/>
                <w:b/>
                <w:color w:val="000000" w:themeColor="text1"/>
                <w:szCs w:val="16"/>
              </w:rPr>
            </w:pPr>
            <w:r w:rsidRPr="00781112">
              <w:rPr>
                <w:rFonts w:cs="Arial"/>
                <w:b/>
                <w:color w:val="000000" w:themeColor="text1"/>
                <w:szCs w:val="16"/>
              </w:rPr>
              <w:t>Number of children</w:t>
            </w:r>
          </w:p>
        </w:tc>
        <w:tc>
          <w:tcPr>
            <w:tcW w:w="797" w:type="pct"/>
            <w:shd w:val="clear" w:color="auto" w:fill="auto"/>
            <w:vAlign w:val="bottom"/>
          </w:tcPr>
          <w:p w14:paraId="1007C28C" w14:textId="52952731" w:rsidR="008751D3" w:rsidRPr="00781112" w:rsidRDefault="008751D3" w:rsidP="004369B2">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D115F3B" w14:textId="14BF41AA" w:rsidTr="00AB0D6A">
        <w:trPr>
          <w:trHeight w:val="361"/>
        </w:trPr>
        <w:tc>
          <w:tcPr>
            <w:tcW w:w="3406" w:type="pct"/>
            <w:shd w:val="clear" w:color="auto" w:fill="auto"/>
            <w:vAlign w:val="center"/>
          </w:tcPr>
          <w:p w14:paraId="476980EA" w14:textId="77777777" w:rsidR="00A86385" w:rsidRPr="00781112" w:rsidRDefault="00A86385" w:rsidP="00A86385">
            <w:pPr>
              <w:rPr>
                <w:rFonts w:cs="Arial"/>
                <w:szCs w:val="16"/>
              </w:rPr>
            </w:pPr>
            <w:r w:rsidRPr="00781112">
              <w:rPr>
                <w:rFonts w:cs="Arial"/>
                <w:szCs w:val="16"/>
              </w:rPr>
              <w:t>a. Preschool children who did not improve functioning</w:t>
            </w:r>
          </w:p>
        </w:tc>
        <w:tc>
          <w:tcPr>
            <w:tcW w:w="797" w:type="pct"/>
            <w:shd w:val="clear" w:color="auto" w:fill="auto"/>
            <w:vAlign w:val="center"/>
          </w:tcPr>
          <w:p w14:paraId="358366F4" w14:textId="107FC5B1" w:rsidR="00A86385" w:rsidRPr="00781112" w:rsidRDefault="002B7490" w:rsidP="00A018D4">
            <w:pPr>
              <w:jc w:val="center"/>
              <w:rPr>
                <w:rFonts w:cs="Arial"/>
                <w:szCs w:val="16"/>
              </w:rPr>
            </w:pPr>
            <w:r w:rsidRPr="00781112">
              <w:rPr>
                <w:rFonts w:cs="Arial"/>
                <w:szCs w:val="16"/>
              </w:rPr>
              <w:t>64</w:t>
            </w:r>
          </w:p>
        </w:tc>
        <w:tc>
          <w:tcPr>
            <w:tcW w:w="797" w:type="pct"/>
            <w:shd w:val="clear" w:color="auto" w:fill="auto"/>
            <w:vAlign w:val="center"/>
          </w:tcPr>
          <w:p w14:paraId="0846D135" w14:textId="1043D337" w:rsidR="00A86385" w:rsidRPr="00781112" w:rsidRDefault="002B7490" w:rsidP="00A018D4">
            <w:pPr>
              <w:jc w:val="center"/>
              <w:rPr>
                <w:rFonts w:cs="Arial"/>
                <w:szCs w:val="16"/>
              </w:rPr>
            </w:pPr>
            <w:r w:rsidRPr="00781112">
              <w:rPr>
                <w:rFonts w:cs="Arial"/>
                <w:szCs w:val="16"/>
              </w:rPr>
              <w:t>2.33%</w:t>
            </w:r>
          </w:p>
        </w:tc>
      </w:tr>
      <w:tr w:rsidR="005C29F8" w:rsidRPr="00781112" w14:paraId="779019AB" w14:textId="1FD48572" w:rsidTr="00AB0D6A">
        <w:trPr>
          <w:trHeight w:val="361"/>
        </w:trPr>
        <w:tc>
          <w:tcPr>
            <w:tcW w:w="3406" w:type="pct"/>
            <w:shd w:val="clear" w:color="auto" w:fill="auto"/>
            <w:vAlign w:val="center"/>
          </w:tcPr>
          <w:p w14:paraId="6E7F23F0" w14:textId="77777777" w:rsidR="00A86385" w:rsidRPr="00781112" w:rsidRDefault="00A86385" w:rsidP="00A86385">
            <w:pPr>
              <w:rPr>
                <w:rFonts w:cs="Arial"/>
                <w:szCs w:val="16"/>
              </w:rPr>
            </w:pPr>
            <w:r w:rsidRPr="00781112">
              <w:rPr>
                <w:rFonts w:cs="Arial"/>
                <w:szCs w:val="16"/>
              </w:rPr>
              <w:t>b. Preschool children who improved functioning but not sufficient to move nearer to functioning comparable to same-aged peers</w:t>
            </w:r>
          </w:p>
        </w:tc>
        <w:tc>
          <w:tcPr>
            <w:tcW w:w="797" w:type="pct"/>
            <w:shd w:val="clear" w:color="auto" w:fill="auto"/>
            <w:vAlign w:val="center"/>
          </w:tcPr>
          <w:p w14:paraId="1E928F4C" w14:textId="54E616E3" w:rsidR="00A86385" w:rsidRPr="00781112" w:rsidRDefault="002B7490" w:rsidP="00A018D4">
            <w:pPr>
              <w:jc w:val="center"/>
              <w:rPr>
                <w:rFonts w:cs="Arial"/>
                <w:szCs w:val="16"/>
              </w:rPr>
            </w:pPr>
            <w:r w:rsidRPr="00781112">
              <w:rPr>
                <w:rFonts w:cs="Arial"/>
                <w:szCs w:val="16"/>
              </w:rPr>
              <w:t>344</w:t>
            </w:r>
          </w:p>
        </w:tc>
        <w:tc>
          <w:tcPr>
            <w:tcW w:w="797" w:type="pct"/>
            <w:shd w:val="clear" w:color="auto" w:fill="auto"/>
            <w:vAlign w:val="center"/>
          </w:tcPr>
          <w:p w14:paraId="371019D1" w14:textId="49035C13" w:rsidR="00A86385" w:rsidRPr="00781112" w:rsidRDefault="002B7490" w:rsidP="00A018D4">
            <w:pPr>
              <w:jc w:val="center"/>
              <w:rPr>
                <w:rFonts w:cs="Arial"/>
                <w:szCs w:val="16"/>
              </w:rPr>
            </w:pPr>
            <w:r w:rsidRPr="00781112">
              <w:rPr>
                <w:rFonts w:cs="Arial"/>
                <w:szCs w:val="16"/>
              </w:rPr>
              <w:t>12.53%</w:t>
            </w:r>
          </w:p>
        </w:tc>
      </w:tr>
      <w:tr w:rsidR="005C29F8" w:rsidRPr="00781112" w14:paraId="3A078806" w14:textId="7FBB31A0" w:rsidTr="00AB0D6A">
        <w:trPr>
          <w:trHeight w:val="361"/>
        </w:trPr>
        <w:tc>
          <w:tcPr>
            <w:tcW w:w="3406" w:type="pct"/>
            <w:shd w:val="clear" w:color="auto" w:fill="auto"/>
            <w:vAlign w:val="center"/>
          </w:tcPr>
          <w:p w14:paraId="6E35A4C3" w14:textId="77777777" w:rsidR="00A86385" w:rsidRPr="00781112" w:rsidRDefault="00A86385" w:rsidP="00A86385">
            <w:pPr>
              <w:rPr>
                <w:rFonts w:cs="Arial"/>
                <w:szCs w:val="16"/>
              </w:rPr>
            </w:pPr>
            <w:r w:rsidRPr="00781112">
              <w:rPr>
                <w:rFonts w:cs="Arial"/>
                <w:szCs w:val="16"/>
              </w:rPr>
              <w:lastRenderedPageBreak/>
              <w:t>c. Preschool children who improved functioning to a level nearer to same-aged peers but did not reach it</w:t>
            </w:r>
          </w:p>
        </w:tc>
        <w:tc>
          <w:tcPr>
            <w:tcW w:w="797" w:type="pct"/>
            <w:shd w:val="clear" w:color="auto" w:fill="auto"/>
            <w:vAlign w:val="center"/>
          </w:tcPr>
          <w:p w14:paraId="1AFEBF8F" w14:textId="2E4650C8" w:rsidR="00A86385" w:rsidRPr="00781112" w:rsidRDefault="002B7490" w:rsidP="00A018D4">
            <w:pPr>
              <w:jc w:val="center"/>
              <w:rPr>
                <w:rFonts w:cs="Arial"/>
                <w:szCs w:val="16"/>
              </w:rPr>
            </w:pPr>
            <w:r w:rsidRPr="00781112">
              <w:rPr>
                <w:rFonts w:cs="Arial"/>
                <w:szCs w:val="16"/>
              </w:rPr>
              <w:t>710</w:t>
            </w:r>
          </w:p>
        </w:tc>
        <w:tc>
          <w:tcPr>
            <w:tcW w:w="797" w:type="pct"/>
            <w:shd w:val="clear" w:color="auto" w:fill="auto"/>
            <w:vAlign w:val="center"/>
          </w:tcPr>
          <w:p w14:paraId="4B6BCB00" w14:textId="047D3E20" w:rsidR="00A86385" w:rsidRPr="00781112" w:rsidRDefault="002B7490" w:rsidP="00A018D4">
            <w:pPr>
              <w:jc w:val="center"/>
              <w:rPr>
                <w:rFonts w:cs="Arial"/>
                <w:szCs w:val="16"/>
              </w:rPr>
            </w:pPr>
            <w:r w:rsidRPr="00781112">
              <w:rPr>
                <w:rFonts w:cs="Arial"/>
                <w:szCs w:val="16"/>
              </w:rPr>
              <w:t>25.87%</w:t>
            </w:r>
          </w:p>
        </w:tc>
      </w:tr>
      <w:tr w:rsidR="005C29F8" w:rsidRPr="00781112" w14:paraId="37EE0376" w14:textId="01578CDB" w:rsidTr="00AB0D6A">
        <w:trPr>
          <w:trHeight w:val="361"/>
        </w:trPr>
        <w:tc>
          <w:tcPr>
            <w:tcW w:w="3406" w:type="pct"/>
            <w:shd w:val="clear" w:color="auto" w:fill="auto"/>
            <w:vAlign w:val="center"/>
          </w:tcPr>
          <w:p w14:paraId="4DFA1510" w14:textId="77777777" w:rsidR="00A86385" w:rsidRPr="00781112" w:rsidRDefault="00A86385" w:rsidP="00A86385">
            <w:pPr>
              <w:rPr>
                <w:rFonts w:cs="Arial"/>
                <w:szCs w:val="16"/>
              </w:rPr>
            </w:pPr>
            <w:r w:rsidRPr="00781112">
              <w:rPr>
                <w:rFonts w:cs="Arial"/>
                <w:szCs w:val="16"/>
              </w:rPr>
              <w:t>d. Preschool children who improved functioning to reach a level comparable to same-aged peers</w:t>
            </w:r>
          </w:p>
        </w:tc>
        <w:tc>
          <w:tcPr>
            <w:tcW w:w="797" w:type="pct"/>
            <w:shd w:val="clear" w:color="auto" w:fill="auto"/>
            <w:vAlign w:val="center"/>
          </w:tcPr>
          <w:p w14:paraId="0E06DA36" w14:textId="47CC0ED8" w:rsidR="00A86385" w:rsidRPr="00781112" w:rsidRDefault="002B7490" w:rsidP="00A018D4">
            <w:pPr>
              <w:jc w:val="center"/>
              <w:rPr>
                <w:rFonts w:cs="Arial"/>
                <w:szCs w:val="16"/>
              </w:rPr>
            </w:pPr>
            <w:r w:rsidRPr="00781112">
              <w:rPr>
                <w:rFonts w:cs="Arial"/>
                <w:szCs w:val="16"/>
              </w:rPr>
              <w:t>1,259</w:t>
            </w:r>
          </w:p>
        </w:tc>
        <w:tc>
          <w:tcPr>
            <w:tcW w:w="797" w:type="pct"/>
            <w:shd w:val="clear" w:color="auto" w:fill="auto"/>
            <w:vAlign w:val="center"/>
          </w:tcPr>
          <w:p w14:paraId="16C35679" w14:textId="25F05A91" w:rsidR="00A86385" w:rsidRPr="00781112" w:rsidRDefault="002B7490" w:rsidP="00A018D4">
            <w:pPr>
              <w:jc w:val="center"/>
              <w:rPr>
                <w:rFonts w:cs="Arial"/>
                <w:szCs w:val="16"/>
              </w:rPr>
            </w:pPr>
            <w:r w:rsidRPr="00781112">
              <w:rPr>
                <w:rFonts w:cs="Arial"/>
                <w:szCs w:val="16"/>
              </w:rPr>
              <w:t>45.87%</w:t>
            </w:r>
          </w:p>
        </w:tc>
      </w:tr>
      <w:tr w:rsidR="005C29F8" w:rsidRPr="00781112" w14:paraId="2EAC8E4E" w14:textId="5ED91A2D" w:rsidTr="00AB0D6A">
        <w:trPr>
          <w:trHeight w:val="361"/>
        </w:trPr>
        <w:tc>
          <w:tcPr>
            <w:tcW w:w="3406" w:type="pct"/>
            <w:shd w:val="clear" w:color="auto" w:fill="auto"/>
            <w:vAlign w:val="center"/>
          </w:tcPr>
          <w:p w14:paraId="4107A866" w14:textId="77777777" w:rsidR="00A86385" w:rsidRPr="00781112" w:rsidRDefault="00A86385" w:rsidP="00A86385">
            <w:pPr>
              <w:rPr>
                <w:rFonts w:cs="Arial"/>
                <w:szCs w:val="16"/>
              </w:rPr>
            </w:pPr>
            <w:r w:rsidRPr="00781112">
              <w:rPr>
                <w:rFonts w:cs="Arial"/>
                <w:szCs w:val="16"/>
              </w:rPr>
              <w:t>e. Preschool children who maintained functioning at a level comparable to same-aged peers</w:t>
            </w:r>
          </w:p>
        </w:tc>
        <w:tc>
          <w:tcPr>
            <w:tcW w:w="797" w:type="pct"/>
            <w:shd w:val="clear" w:color="auto" w:fill="auto"/>
            <w:vAlign w:val="center"/>
          </w:tcPr>
          <w:p w14:paraId="5DD4256C" w14:textId="3B268EB2" w:rsidR="00A86385" w:rsidRPr="00781112" w:rsidRDefault="002B7490" w:rsidP="00A018D4">
            <w:pPr>
              <w:jc w:val="center"/>
              <w:rPr>
                <w:rFonts w:cs="Arial"/>
                <w:szCs w:val="16"/>
              </w:rPr>
            </w:pPr>
            <w:r w:rsidRPr="00781112">
              <w:rPr>
                <w:rFonts w:cs="Arial"/>
                <w:szCs w:val="16"/>
              </w:rPr>
              <w:t>368</w:t>
            </w:r>
          </w:p>
        </w:tc>
        <w:tc>
          <w:tcPr>
            <w:tcW w:w="797" w:type="pct"/>
            <w:shd w:val="clear" w:color="auto" w:fill="auto"/>
            <w:vAlign w:val="center"/>
          </w:tcPr>
          <w:p w14:paraId="49CE1ADC" w14:textId="7D7D7E9C" w:rsidR="00A86385" w:rsidRPr="00781112" w:rsidRDefault="002B7490" w:rsidP="00A018D4">
            <w:pPr>
              <w:jc w:val="center"/>
              <w:rPr>
                <w:rFonts w:cs="Arial"/>
                <w:szCs w:val="16"/>
              </w:rPr>
            </w:pPr>
            <w:r w:rsidRPr="00781112">
              <w:rPr>
                <w:rFonts w:cs="Arial"/>
                <w:szCs w:val="16"/>
              </w:rPr>
              <w:t>13.41%</w:t>
            </w:r>
          </w:p>
        </w:tc>
      </w:tr>
    </w:tbl>
    <w:p w14:paraId="2CDC19A8"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ADATA"/>
      </w:tblPr>
      <w:tblGrid>
        <w:gridCol w:w="2245"/>
        <w:gridCol w:w="1149"/>
        <w:gridCol w:w="1234"/>
        <w:gridCol w:w="1232"/>
        <w:gridCol w:w="1234"/>
        <w:gridCol w:w="1232"/>
        <w:gridCol w:w="1234"/>
        <w:gridCol w:w="1230"/>
      </w:tblGrid>
      <w:tr w:rsidR="00AA4F85" w:rsidRPr="00781112" w14:paraId="3D9EEDAD" w14:textId="30B2445F" w:rsidTr="00AA4F85">
        <w:trPr>
          <w:trHeight w:val="354"/>
          <w:tblHeader/>
        </w:trPr>
        <w:tc>
          <w:tcPr>
            <w:tcW w:w="1040" w:type="pct"/>
            <w:shd w:val="clear" w:color="auto" w:fill="auto"/>
            <w:vAlign w:val="bottom"/>
          </w:tcPr>
          <w:p w14:paraId="12D11B46" w14:textId="1FAAAC6F" w:rsidR="00AA4F85" w:rsidRPr="00781112" w:rsidRDefault="00AA4F85" w:rsidP="00AA4F85">
            <w:pPr>
              <w:rPr>
                <w:rFonts w:cs="Arial"/>
                <w:color w:val="000000" w:themeColor="text1"/>
                <w:szCs w:val="16"/>
              </w:rPr>
            </w:pPr>
            <w:r w:rsidRPr="00781112">
              <w:rPr>
                <w:rFonts w:cs="Arial"/>
                <w:b/>
                <w:color w:val="000000" w:themeColor="text1"/>
                <w:szCs w:val="16"/>
              </w:rPr>
              <w:t>Outcome A</w:t>
            </w:r>
          </w:p>
        </w:tc>
        <w:tc>
          <w:tcPr>
            <w:tcW w:w="532" w:type="pct"/>
            <w:shd w:val="clear" w:color="auto" w:fill="auto"/>
            <w:vAlign w:val="bottom"/>
          </w:tcPr>
          <w:p w14:paraId="7B100CB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72" w:type="pct"/>
            <w:shd w:val="clear" w:color="auto" w:fill="auto"/>
            <w:vAlign w:val="bottom"/>
          </w:tcPr>
          <w:p w14:paraId="31C4C2D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71" w:type="pct"/>
            <w:shd w:val="clear" w:color="auto" w:fill="auto"/>
            <w:vAlign w:val="bottom"/>
          </w:tcPr>
          <w:p w14:paraId="1634F3BC" w14:textId="331FE5AB" w:rsidR="00AA4F85" w:rsidRPr="00CC1061" w:rsidRDefault="00AA4F85" w:rsidP="00AA4F85">
            <w:pPr>
              <w:jc w:val="center"/>
              <w:rPr>
                <w:rFonts w:cs="Arial"/>
                <w:b/>
                <w:bCs/>
                <w:color w:val="000000" w:themeColor="text1"/>
                <w:szCs w:val="16"/>
              </w:rPr>
            </w:pPr>
            <w:r w:rsidRPr="00CC1061">
              <w:rPr>
                <w:b/>
                <w:bCs/>
              </w:rPr>
              <w:t>FFY 2022 Data</w:t>
            </w:r>
          </w:p>
        </w:tc>
        <w:tc>
          <w:tcPr>
            <w:tcW w:w="572" w:type="pct"/>
            <w:shd w:val="clear" w:color="auto" w:fill="auto"/>
            <w:vAlign w:val="bottom"/>
          </w:tcPr>
          <w:p w14:paraId="41DCEE89" w14:textId="69BAA8A3" w:rsidR="00AA4F85" w:rsidRPr="00CC1061" w:rsidRDefault="00AA4F85" w:rsidP="00AA4F85">
            <w:pPr>
              <w:jc w:val="center"/>
              <w:rPr>
                <w:rFonts w:cs="Arial"/>
                <w:b/>
                <w:bCs/>
                <w:color w:val="000000" w:themeColor="text1"/>
                <w:szCs w:val="16"/>
              </w:rPr>
            </w:pPr>
            <w:r w:rsidRPr="00CC1061">
              <w:rPr>
                <w:b/>
                <w:bCs/>
              </w:rPr>
              <w:t>FFY 2023 Target</w:t>
            </w:r>
          </w:p>
        </w:tc>
        <w:tc>
          <w:tcPr>
            <w:tcW w:w="571" w:type="pct"/>
            <w:shd w:val="clear" w:color="auto" w:fill="auto"/>
            <w:vAlign w:val="bottom"/>
          </w:tcPr>
          <w:p w14:paraId="64737D68" w14:textId="38E4550D" w:rsidR="00AA4F85" w:rsidRPr="00CC1061" w:rsidRDefault="00AA4F85" w:rsidP="00AA4F85">
            <w:pPr>
              <w:jc w:val="center"/>
              <w:rPr>
                <w:rFonts w:cs="Arial"/>
                <w:b/>
                <w:bCs/>
                <w:color w:val="000000" w:themeColor="text1"/>
                <w:szCs w:val="16"/>
              </w:rPr>
            </w:pPr>
            <w:r w:rsidRPr="00CC1061">
              <w:rPr>
                <w:b/>
                <w:bCs/>
              </w:rPr>
              <w:t>FFY 2023 Data</w:t>
            </w:r>
          </w:p>
        </w:tc>
        <w:tc>
          <w:tcPr>
            <w:tcW w:w="572" w:type="pct"/>
            <w:shd w:val="clear" w:color="auto" w:fill="auto"/>
            <w:vAlign w:val="bottom"/>
          </w:tcPr>
          <w:p w14:paraId="4592E227" w14:textId="424684DB"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571" w:type="pct"/>
            <w:shd w:val="clear" w:color="auto" w:fill="auto"/>
            <w:vAlign w:val="bottom"/>
          </w:tcPr>
          <w:p w14:paraId="41F5B2E6" w14:textId="7085A5D7"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18B94B2E" w14:textId="09DCF8DA" w:rsidTr="00AA4F85">
        <w:trPr>
          <w:trHeight w:val="361"/>
        </w:trPr>
        <w:tc>
          <w:tcPr>
            <w:tcW w:w="1040" w:type="pct"/>
            <w:shd w:val="clear" w:color="auto" w:fill="auto"/>
          </w:tcPr>
          <w:p w14:paraId="423BC0C1"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A1. Of those children who entered or exited the program below age expectations in Outcome A, the percent who substantially increased their rate of growth by the time they turned 6 years of age or exited the program. </w:t>
            </w:r>
            <w:r w:rsidRPr="00266107">
              <w:rPr>
                <w:rFonts w:cs="Arial"/>
                <w:i/>
                <w:iCs/>
                <w:color w:val="000000" w:themeColor="text1"/>
                <w:szCs w:val="16"/>
              </w:rPr>
              <w:t>Calculation:(c+d)/(a+b+c+d)</w:t>
            </w:r>
          </w:p>
        </w:tc>
        <w:tc>
          <w:tcPr>
            <w:tcW w:w="532" w:type="pct"/>
            <w:shd w:val="clear" w:color="auto" w:fill="auto"/>
            <w:vAlign w:val="center"/>
          </w:tcPr>
          <w:p w14:paraId="4154B7AF" w14:textId="22483590" w:rsidR="00A86385" w:rsidRPr="00781112" w:rsidRDefault="002B7490" w:rsidP="00A86385">
            <w:pPr>
              <w:jc w:val="center"/>
              <w:rPr>
                <w:rFonts w:cs="Arial"/>
                <w:color w:val="000000" w:themeColor="text1"/>
                <w:szCs w:val="16"/>
              </w:rPr>
            </w:pPr>
            <w:r w:rsidRPr="00781112">
              <w:rPr>
                <w:rFonts w:cs="Arial"/>
                <w:color w:val="000000" w:themeColor="text1"/>
                <w:szCs w:val="16"/>
              </w:rPr>
              <w:t>1,969</w:t>
            </w:r>
          </w:p>
        </w:tc>
        <w:tc>
          <w:tcPr>
            <w:tcW w:w="572" w:type="pct"/>
            <w:shd w:val="clear" w:color="auto" w:fill="auto"/>
            <w:vAlign w:val="center"/>
          </w:tcPr>
          <w:p w14:paraId="6A178831" w14:textId="564F7234" w:rsidR="00A86385" w:rsidRPr="00781112" w:rsidRDefault="002B7490" w:rsidP="00A86385">
            <w:pPr>
              <w:jc w:val="center"/>
              <w:rPr>
                <w:rFonts w:cs="Arial"/>
                <w:color w:val="000000" w:themeColor="text1"/>
                <w:szCs w:val="16"/>
              </w:rPr>
            </w:pPr>
            <w:r w:rsidRPr="00781112">
              <w:rPr>
                <w:rFonts w:cs="Arial"/>
                <w:color w:val="000000" w:themeColor="text1"/>
                <w:szCs w:val="16"/>
              </w:rPr>
              <w:t>2,377</w:t>
            </w:r>
          </w:p>
        </w:tc>
        <w:tc>
          <w:tcPr>
            <w:tcW w:w="571" w:type="pct"/>
            <w:shd w:val="clear" w:color="auto" w:fill="auto"/>
            <w:vAlign w:val="center"/>
          </w:tcPr>
          <w:p w14:paraId="5EEC0208" w14:textId="526E193A" w:rsidR="00A86385" w:rsidRPr="00781112" w:rsidRDefault="002B7490" w:rsidP="00A86385">
            <w:pPr>
              <w:jc w:val="center"/>
              <w:rPr>
                <w:rFonts w:cs="Arial"/>
                <w:color w:val="000000" w:themeColor="text1"/>
                <w:szCs w:val="16"/>
              </w:rPr>
            </w:pPr>
            <w:r w:rsidRPr="00781112">
              <w:rPr>
                <w:rFonts w:cs="Arial"/>
                <w:color w:val="000000" w:themeColor="text1"/>
                <w:szCs w:val="16"/>
              </w:rPr>
              <w:t>82.22%</w:t>
            </w:r>
          </w:p>
        </w:tc>
        <w:tc>
          <w:tcPr>
            <w:tcW w:w="572" w:type="pct"/>
            <w:shd w:val="clear" w:color="auto" w:fill="auto"/>
            <w:vAlign w:val="center"/>
          </w:tcPr>
          <w:p w14:paraId="4FDFC172" w14:textId="02E04CF5" w:rsidR="00A86385" w:rsidRPr="00781112" w:rsidRDefault="003D7F56">
            <w:pPr>
              <w:jc w:val="center"/>
              <w:rPr>
                <w:color w:val="000000" w:themeColor="text1"/>
              </w:rPr>
            </w:pPr>
            <w:r w:rsidRPr="00781112">
              <w:rPr>
                <w:color w:val="000000" w:themeColor="text1"/>
              </w:rPr>
              <w:t>86.00%</w:t>
            </w:r>
          </w:p>
        </w:tc>
        <w:tc>
          <w:tcPr>
            <w:tcW w:w="571" w:type="pct"/>
            <w:shd w:val="clear" w:color="auto" w:fill="auto"/>
            <w:vAlign w:val="center"/>
          </w:tcPr>
          <w:p w14:paraId="23D0B4EA" w14:textId="4DE98DDB" w:rsidR="00A86385" w:rsidRPr="00781112" w:rsidRDefault="002B7490" w:rsidP="00A86385">
            <w:pPr>
              <w:jc w:val="center"/>
              <w:rPr>
                <w:rFonts w:cs="Arial"/>
                <w:color w:val="000000" w:themeColor="text1"/>
                <w:szCs w:val="16"/>
              </w:rPr>
            </w:pPr>
            <w:r w:rsidRPr="00781112">
              <w:rPr>
                <w:rFonts w:cs="Arial"/>
                <w:color w:val="000000" w:themeColor="text1"/>
                <w:szCs w:val="16"/>
              </w:rPr>
              <w:t>82.84%</w:t>
            </w:r>
          </w:p>
        </w:tc>
        <w:tc>
          <w:tcPr>
            <w:tcW w:w="572" w:type="pct"/>
            <w:shd w:val="clear" w:color="auto" w:fill="auto"/>
            <w:vAlign w:val="center"/>
          </w:tcPr>
          <w:p w14:paraId="64F5CB78" w14:textId="13F3F70F" w:rsidR="00A86385" w:rsidRPr="00781112" w:rsidRDefault="002B7490" w:rsidP="00A86385">
            <w:pPr>
              <w:jc w:val="center"/>
              <w:rPr>
                <w:rFonts w:cs="Arial"/>
                <w:color w:val="000000" w:themeColor="text1"/>
                <w:szCs w:val="16"/>
              </w:rPr>
            </w:pPr>
            <w:r w:rsidRPr="00781112">
              <w:rPr>
                <w:rFonts w:cs="Arial"/>
                <w:color w:val="000000" w:themeColor="text1"/>
                <w:szCs w:val="16"/>
              </w:rPr>
              <w:t>Did not meet target</w:t>
            </w:r>
          </w:p>
        </w:tc>
        <w:tc>
          <w:tcPr>
            <w:tcW w:w="571" w:type="pct"/>
            <w:shd w:val="clear" w:color="auto" w:fill="auto"/>
            <w:vAlign w:val="center"/>
          </w:tcPr>
          <w:p w14:paraId="7D4367C2" w14:textId="1159AE87"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r w:rsidR="005C29F8" w:rsidRPr="00781112" w14:paraId="79C043DE" w14:textId="1DF06FE5" w:rsidTr="00AA4F85">
        <w:trPr>
          <w:trHeight w:val="361"/>
        </w:trPr>
        <w:tc>
          <w:tcPr>
            <w:tcW w:w="1040" w:type="pct"/>
            <w:shd w:val="clear" w:color="auto" w:fill="auto"/>
          </w:tcPr>
          <w:p w14:paraId="319F62FD"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A2. The percent of preschool children who were functioning within age expectations in Outcome A by the time they turned 6 years of age or exited the program. </w:t>
            </w:r>
            <w:r w:rsidRPr="00266107">
              <w:rPr>
                <w:rFonts w:cs="Arial"/>
                <w:i/>
                <w:iCs/>
                <w:color w:val="000000" w:themeColor="text1"/>
                <w:szCs w:val="16"/>
              </w:rPr>
              <w:t>Calculation: (d+e)/(a+b+c+d+e)</w:t>
            </w:r>
          </w:p>
        </w:tc>
        <w:tc>
          <w:tcPr>
            <w:tcW w:w="532" w:type="pct"/>
            <w:shd w:val="clear" w:color="auto" w:fill="auto"/>
            <w:vAlign w:val="center"/>
          </w:tcPr>
          <w:p w14:paraId="1EA4F3E8" w14:textId="01AC6416" w:rsidR="00A86385" w:rsidRPr="00781112" w:rsidRDefault="002B7490" w:rsidP="00A86385">
            <w:pPr>
              <w:jc w:val="center"/>
              <w:rPr>
                <w:rFonts w:cs="Arial"/>
                <w:color w:val="000000" w:themeColor="text1"/>
                <w:szCs w:val="16"/>
              </w:rPr>
            </w:pPr>
            <w:r w:rsidRPr="00781112">
              <w:rPr>
                <w:rFonts w:cs="Arial"/>
                <w:color w:val="000000" w:themeColor="text1"/>
                <w:szCs w:val="16"/>
              </w:rPr>
              <w:t>1,627</w:t>
            </w:r>
          </w:p>
        </w:tc>
        <w:tc>
          <w:tcPr>
            <w:tcW w:w="572" w:type="pct"/>
            <w:shd w:val="clear" w:color="auto" w:fill="auto"/>
            <w:vAlign w:val="center"/>
          </w:tcPr>
          <w:p w14:paraId="392DC3C7" w14:textId="706433AB" w:rsidR="00A86385" w:rsidRPr="00781112" w:rsidRDefault="002B7490" w:rsidP="00A86385">
            <w:pPr>
              <w:jc w:val="center"/>
              <w:rPr>
                <w:rFonts w:cs="Arial"/>
                <w:color w:val="000000" w:themeColor="text1"/>
                <w:szCs w:val="16"/>
              </w:rPr>
            </w:pPr>
            <w:r w:rsidRPr="00781112">
              <w:rPr>
                <w:rFonts w:cs="Arial"/>
                <w:color w:val="000000" w:themeColor="text1"/>
                <w:szCs w:val="16"/>
              </w:rPr>
              <w:t>2,745</w:t>
            </w:r>
          </w:p>
        </w:tc>
        <w:tc>
          <w:tcPr>
            <w:tcW w:w="571" w:type="pct"/>
            <w:shd w:val="clear" w:color="auto" w:fill="auto"/>
            <w:vAlign w:val="center"/>
          </w:tcPr>
          <w:p w14:paraId="480CDC79" w14:textId="4F1F0DEC" w:rsidR="00A86385" w:rsidRPr="00781112" w:rsidRDefault="002B7490" w:rsidP="00A86385">
            <w:pPr>
              <w:jc w:val="center"/>
              <w:rPr>
                <w:rFonts w:cs="Arial"/>
                <w:color w:val="000000" w:themeColor="text1"/>
                <w:szCs w:val="16"/>
              </w:rPr>
            </w:pPr>
            <w:r w:rsidRPr="00781112">
              <w:rPr>
                <w:rFonts w:cs="Arial"/>
                <w:color w:val="000000" w:themeColor="text1"/>
                <w:szCs w:val="16"/>
              </w:rPr>
              <w:t>61.21%</w:t>
            </w:r>
          </w:p>
        </w:tc>
        <w:tc>
          <w:tcPr>
            <w:tcW w:w="572" w:type="pct"/>
            <w:shd w:val="clear" w:color="auto" w:fill="auto"/>
            <w:vAlign w:val="center"/>
          </w:tcPr>
          <w:p w14:paraId="4E37244D" w14:textId="286AF534" w:rsidR="00A86385" w:rsidRPr="00781112" w:rsidRDefault="003D7F56">
            <w:pPr>
              <w:jc w:val="center"/>
              <w:rPr>
                <w:color w:val="000000" w:themeColor="text1"/>
              </w:rPr>
            </w:pPr>
            <w:r w:rsidRPr="00781112">
              <w:rPr>
                <w:color w:val="000000" w:themeColor="text1"/>
              </w:rPr>
              <w:t>64.60%</w:t>
            </w:r>
          </w:p>
        </w:tc>
        <w:tc>
          <w:tcPr>
            <w:tcW w:w="571" w:type="pct"/>
            <w:shd w:val="clear" w:color="auto" w:fill="auto"/>
            <w:vAlign w:val="center"/>
          </w:tcPr>
          <w:p w14:paraId="2BBC817C" w14:textId="65BC2730" w:rsidR="00A86385" w:rsidRPr="00781112" w:rsidRDefault="002B7490" w:rsidP="00A86385">
            <w:pPr>
              <w:jc w:val="center"/>
              <w:rPr>
                <w:rFonts w:cs="Arial"/>
                <w:color w:val="000000" w:themeColor="text1"/>
                <w:szCs w:val="16"/>
              </w:rPr>
            </w:pPr>
            <w:r w:rsidRPr="00781112">
              <w:rPr>
                <w:rFonts w:cs="Arial"/>
                <w:color w:val="000000" w:themeColor="text1"/>
                <w:szCs w:val="16"/>
              </w:rPr>
              <w:t>59.27%</w:t>
            </w:r>
          </w:p>
        </w:tc>
        <w:tc>
          <w:tcPr>
            <w:tcW w:w="572" w:type="pct"/>
            <w:shd w:val="clear" w:color="auto" w:fill="auto"/>
            <w:vAlign w:val="center"/>
          </w:tcPr>
          <w:p w14:paraId="3AC16CE0" w14:textId="7E3856A4" w:rsidR="00A86385" w:rsidRPr="00781112" w:rsidRDefault="002B7490" w:rsidP="00A86385">
            <w:pPr>
              <w:jc w:val="center"/>
              <w:rPr>
                <w:rFonts w:cs="Arial"/>
                <w:color w:val="000000" w:themeColor="text1"/>
                <w:szCs w:val="16"/>
              </w:rPr>
            </w:pPr>
            <w:r w:rsidRPr="00781112">
              <w:rPr>
                <w:rFonts w:cs="Arial"/>
                <w:color w:val="000000" w:themeColor="text1"/>
                <w:szCs w:val="16"/>
              </w:rPr>
              <w:t>Did not meet target</w:t>
            </w:r>
          </w:p>
        </w:tc>
        <w:tc>
          <w:tcPr>
            <w:tcW w:w="571" w:type="pct"/>
            <w:shd w:val="clear" w:color="auto" w:fill="auto"/>
            <w:vAlign w:val="center"/>
          </w:tcPr>
          <w:p w14:paraId="2C0165C1" w14:textId="5260DB98" w:rsidR="00A86385" w:rsidRPr="00781112" w:rsidRDefault="002B7490" w:rsidP="00A86385">
            <w:pPr>
              <w:jc w:val="center"/>
              <w:rPr>
                <w:rFonts w:cs="Arial"/>
                <w:color w:val="000000" w:themeColor="text1"/>
                <w:szCs w:val="16"/>
              </w:rPr>
            </w:pPr>
            <w:r w:rsidRPr="00781112">
              <w:rPr>
                <w:rFonts w:cs="Arial"/>
                <w:color w:val="000000" w:themeColor="text1"/>
                <w:szCs w:val="16"/>
              </w:rPr>
              <w:t>Slippage</w:t>
            </w:r>
          </w:p>
        </w:tc>
      </w:tr>
    </w:tbl>
    <w:p w14:paraId="43C6FD6E" w14:textId="77777777" w:rsidR="00A80FEB" w:rsidRPr="00781112" w:rsidRDefault="00A80FEB" w:rsidP="004369B2">
      <w:pPr>
        <w:rPr>
          <w:color w:val="000000" w:themeColor="text1"/>
        </w:rPr>
      </w:pPr>
      <w:r w:rsidRPr="00781112">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B"/>
      </w:tblPr>
      <w:tblGrid>
        <w:gridCol w:w="7227"/>
        <w:gridCol w:w="1783"/>
        <w:gridCol w:w="1780"/>
      </w:tblGrid>
      <w:tr w:rsidR="005C29F8" w:rsidRPr="00781112" w14:paraId="637A7029" w14:textId="2CDA80A7" w:rsidTr="0033429D">
        <w:trPr>
          <w:trHeight w:val="361"/>
          <w:tblHeader/>
        </w:trPr>
        <w:tc>
          <w:tcPr>
            <w:tcW w:w="3349" w:type="pct"/>
            <w:shd w:val="clear" w:color="auto" w:fill="auto"/>
            <w:vAlign w:val="bottom"/>
          </w:tcPr>
          <w:p w14:paraId="43F5435F" w14:textId="01DC1145" w:rsidR="00E13B95" w:rsidRPr="00781112" w:rsidRDefault="003E11AE" w:rsidP="0024351A">
            <w:pPr>
              <w:rPr>
                <w:rFonts w:cs="Arial"/>
                <w:color w:val="000000" w:themeColor="text1"/>
                <w:szCs w:val="16"/>
              </w:rPr>
            </w:pPr>
            <w:r w:rsidRPr="00781112">
              <w:rPr>
                <w:rFonts w:cs="Arial"/>
                <w:b/>
                <w:color w:val="000000" w:themeColor="text1"/>
                <w:szCs w:val="16"/>
              </w:rPr>
              <w:t xml:space="preserve">Outcome B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826" w:type="pct"/>
            <w:shd w:val="clear" w:color="auto" w:fill="auto"/>
            <w:vAlign w:val="bottom"/>
          </w:tcPr>
          <w:p w14:paraId="33266842" w14:textId="77777777" w:rsidR="00E13B95" w:rsidRPr="00781112" w:rsidRDefault="00E13B95"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5864E39" w14:textId="3FAA808D" w:rsidR="00E13B95" w:rsidRPr="00781112" w:rsidRDefault="00E13B95"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5E399615" w14:textId="1C73CC75" w:rsidTr="00AB0D6A">
        <w:trPr>
          <w:trHeight w:val="361"/>
        </w:trPr>
        <w:tc>
          <w:tcPr>
            <w:tcW w:w="3349" w:type="pct"/>
            <w:shd w:val="clear" w:color="auto" w:fill="auto"/>
          </w:tcPr>
          <w:p w14:paraId="6B2DB9F8"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54446092" w14:textId="4023E756" w:rsidR="00A86385" w:rsidRPr="00781112" w:rsidRDefault="002B7490" w:rsidP="00A018D4">
            <w:pPr>
              <w:jc w:val="center"/>
              <w:rPr>
                <w:rFonts w:cs="Arial"/>
                <w:color w:val="000000" w:themeColor="text1"/>
                <w:szCs w:val="16"/>
              </w:rPr>
            </w:pPr>
            <w:r w:rsidRPr="00781112">
              <w:rPr>
                <w:rFonts w:cs="Arial"/>
                <w:color w:val="000000" w:themeColor="text1"/>
                <w:szCs w:val="16"/>
              </w:rPr>
              <w:t>55</w:t>
            </w:r>
          </w:p>
        </w:tc>
        <w:tc>
          <w:tcPr>
            <w:tcW w:w="825" w:type="pct"/>
            <w:shd w:val="clear" w:color="auto" w:fill="auto"/>
            <w:vAlign w:val="center"/>
          </w:tcPr>
          <w:p w14:paraId="21775FA0" w14:textId="7E6665F3" w:rsidR="00A86385" w:rsidRPr="00781112" w:rsidRDefault="002B7490" w:rsidP="00A018D4">
            <w:pPr>
              <w:jc w:val="center"/>
              <w:rPr>
                <w:rFonts w:cs="Arial"/>
                <w:color w:val="000000" w:themeColor="text1"/>
                <w:szCs w:val="16"/>
              </w:rPr>
            </w:pPr>
            <w:r w:rsidRPr="00781112">
              <w:rPr>
                <w:rFonts w:cs="Arial"/>
                <w:color w:val="000000" w:themeColor="text1"/>
                <w:szCs w:val="16"/>
              </w:rPr>
              <w:t>2.00%</w:t>
            </w:r>
          </w:p>
        </w:tc>
      </w:tr>
      <w:tr w:rsidR="005C29F8" w:rsidRPr="00781112" w14:paraId="0EABFD05" w14:textId="7B9C3CA9" w:rsidTr="00AB0D6A">
        <w:trPr>
          <w:trHeight w:val="361"/>
        </w:trPr>
        <w:tc>
          <w:tcPr>
            <w:tcW w:w="3349" w:type="pct"/>
            <w:shd w:val="clear" w:color="auto" w:fill="auto"/>
          </w:tcPr>
          <w:p w14:paraId="623F83AF"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39ABCB88" w14:textId="036353D5" w:rsidR="00A86385" w:rsidRPr="00781112" w:rsidRDefault="002B7490" w:rsidP="00A018D4">
            <w:pPr>
              <w:jc w:val="center"/>
              <w:rPr>
                <w:rFonts w:cs="Arial"/>
                <w:color w:val="000000" w:themeColor="text1"/>
                <w:szCs w:val="16"/>
              </w:rPr>
            </w:pPr>
            <w:r w:rsidRPr="00781112">
              <w:rPr>
                <w:rFonts w:cs="Arial"/>
                <w:color w:val="000000" w:themeColor="text1"/>
                <w:szCs w:val="16"/>
              </w:rPr>
              <w:t>374</w:t>
            </w:r>
          </w:p>
        </w:tc>
        <w:tc>
          <w:tcPr>
            <w:tcW w:w="825" w:type="pct"/>
            <w:shd w:val="clear" w:color="auto" w:fill="auto"/>
            <w:vAlign w:val="center"/>
          </w:tcPr>
          <w:p w14:paraId="33D020CC" w14:textId="0314A001" w:rsidR="00A86385" w:rsidRPr="00781112" w:rsidRDefault="002B7490" w:rsidP="00A018D4">
            <w:pPr>
              <w:jc w:val="center"/>
              <w:rPr>
                <w:rFonts w:cs="Arial"/>
                <w:color w:val="000000" w:themeColor="text1"/>
                <w:szCs w:val="16"/>
              </w:rPr>
            </w:pPr>
            <w:r w:rsidRPr="00781112">
              <w:rPr>
                <w:rFonts w:cs="Arial"/>
                <w:color w:val="000000" w:themeColor="text1"/>
                <w:szCs w:val="16"/>
              </w:rPr>
              <w:t>13.62%</w:t>
            </w:r>
          </w:p>
        </w:tc>
      </w:tr>
      <w:tr w:rsidR="005C29F8" w:rsidRPr="00781112" w14:paraId="2AFEEE7C" w14:textId="52870042" w:rsidTr="00AB0D6A">
        <w:trPr>
          <w:trHeight w:val="361"/>
        </w:trPr>
        <w:tc>
          <w:tcPr>
            <w:tcW w:w="3349" w:type="pct"/>
            <w:shd w:val="clear" w:color="auto" w:fill="auto"/>
          </w:tcPr>
          <w:p w14:paraId="77166FC5"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32CAD94B" w14:textId="37477BEB" w:rsidR="00A86385" w:rsidRPr="00781112" w:rsidRDefault="002B7490" w:rsidP="00A018D4">
            <w:pPr>
              <w:jc w:val="center"/>
              <w:rPr>
                <w:rFonts w:cs="Arial"/>
                <w:color w:val="000000" w:themeColor="text1"/>
                <w:szCs w:val="16"/>
              </w:rPr>
            </w:pPr>
            <w:r w:rsidRPr="00781112">
              <w:rPr>
                <w:rFonts w:cs="Arial"/>
                <w:color w:val="000000" w:themeColor="text1"/>
                <w:szCs w:val="16"/>
              </w:rPr>
              <w:t>715</w:t>
            </w:r>
          </w:p>
        </w:tc>
        <w:tc>
          <w:tcPr>
            <w:tcW w:w="825" w:type="pct"/>
            <w:shd w:val="clear" w:color="auto" w:fill="auto"/>
            <w:vAlign w:val="center"/>
          </w:tcPr>
          <w:p w14:paraId="2021CF20" w14:textId="181B68B8" w:rsidR="00A86385" w:rsidRPr="00781112" w:rsidRDefault="002B7490" w:rsidP="00A018D4">
            <w:pPr>
              <w:jc w:val="center"/>
              <w:rPr>
                <w:rFonts w:cs="Arial"/>
                <w:color w:val="000000" w:themeColor="text1"/>
                <w:szCs w:val="16"/>
              </w:rPr>
            </w:pPr>
            <w:r w:rsidRPr="00781112">
              <w:rPr>
                <w:rFonts w:cs="Arial"/>
                <w:color w:val="000000" w:themeColor="text1"/>
                <w:szCs w:val="16"/>
              </w:rPr>
              <w:t>26.05%</w:t>
            </w:r>
          </w:p>
        </w:tc>
      </w:tr>
      <w:tr w:rsidR="005C29F8" w:rsidRPr="00781112" w14:paraId="5D450E84" w14:textId="4C13CEB9" w:rsidTr="00AB0D6A">
        <w:trPr>
          <w:trHeight w:val="361"/>
        </w:trPr>
        <w:tc>
          <w:tcPr>
            <w:tcW w:w="3349" w:type="pct"/>
            <w:shd w:val="clear" w:color="auto" w:fill="auto"/>
          </w:tcPr>
          <w:p w14:paraId="110FD587"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277F64A6" w14:textId="32E985A0" w:rsidR="00A86385" w:rsidRPr="00781112" w:rsidRDefault="002B7490" w:rsidP="00A018D4">
            <w:pPr>
              <w:jc w:val="center"/>
              <w:rPr>
                <w:rFonts w:cs="Arial"/>
                <w:color w:val="000000" w:themeColor="text1"/>
                <w:szCs w:val="16"/>
              </w:rPr>
            </w:pPr>
            <w:r w:rsidRPr="00781112">
              <w:rPr>
                <w:rFonts w:cs="Arial"/>
                <w:color w:val="000000" w:themeColor="text1"/>
                <w:szCs w:val="16"/>
              </w:rPr>
              <w:t>1,317</w:t>
            </w:r>
          </w:p>
        </w:tc>
        <w:tc>
          <w:tcPr>
            <w:tcW w:w="825" w:type="pct"/>
            <w:shd w:val="clear" w:color="auto" w:fill="auto"/>
            <w:vAlign w:val="center"/>
          </w:tcPr>
          <w:p w14:paraId="2EEE6FB7" w14:textId="6E8D11C4" w:rsidR="00A86385" w:rsidRPr="00781112" w:rsidRDefault="002B7490" w:rsidP="00A018D4">
            <w:pPr>
              <w:jc w:val="center"/>
              <w:rPr>
                <w:rFonts w:cs="Arial"/>
                <w:color w:val="000000" w:themeColor="text1"/>
                <w:szCs w:val="16"/>
              </w:rPr>
            </w:pPr>
            <w:r w:rsidRPr="00781112">
              <w:rPr>
                <w:rFonts w:cs="Arial"/>
                <w:color w:val="000000" w:themeColor="text1"/>
                <w:szCs w:val="16"/>
              </w:rPr>
              <w:t>47.98%</w:t>
            </w:r>
          </w:p>
        </w:tc>
      </w:tr>
      <w:tr w:rsidR="005C29F8" w:rsidRPr="00781112" w14:paraId="108FFB57" w14:textId="0C409786" w:rsidTr="00AB0D6A">
        <w:trPr>
          <w:trHeight w:val="361"/>
        </w:trPr>
        <w:tc>
          <w:tcPr>
            <w:tcW w:w="3349" w:type="pct"/>
            <w:shd w:val="clear" w:color="auto" w:fill="auto"/>
          </w:tcPr>
          <w:p w14:paraId="3D4AD278"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A790A60" w14:textId="08E1839F" w:rsidR="00A86385" w:rsidRPr="00781112" w:rsidRDefault="002B7490" w:rsidP="00A018D4">
            <w:pPr>
              <w:jc w:val="center"/>
              <w:rPr>
                <w:rFonts w:cs="Arial"/>
                <w:color w:val="000000" w:themeColor="text1"/>
                <w:szCs w:val="16"/>
              </w:rPr>
            </w:pPr>
            <w:r w:rsidRPr="00781112">
              <w:rPr>
                <w:rFonts w:cs="Arial"/>
                <w:color w:val="000000" w:themeColor="text1"/>
                <w:szCs w:val="16"/>
              </w:rPr>
              <w:t>284</w:t>
            </w:r>
          </w:p>
        </w:tc>
        <w:tc>
          <w:tcPr>
            <w:tcW w:w="825" w:type="pct"/>
            <w:shd w:val="clear" w:color="auto" w:fill="auto"/>
            <w:vAlign w:val="center"/>
          </w:tcPr>
          <w:p w14:paraId="2501B391" w14:textId="1634A6F5" w:rsidR="00A86385" w:rsidRPr="00781112" w:rsidRDefault="002B7490" w:rsidP="00A018D4">
            <w:pPr>
              <w:jc w:val="center"/>
              <w:rPr>
                <w:rFonts w:cs="Arial"/>
                <w:color w:val="000000" w:themeColor="text1"/>
                <w:szCs w:val="16"/>
              </w:rPr>
            </w:pPr>
            <w:r w:rsidRPr="00781112">
              <w:rPr>
                <w:rFonts w:cs="Arial"/>
                <w:color w:val="000000" w:themeColor="text1"/>
                <w:szCs w:val="16"/>
              </w:rPr>
              <w:t>10.35%</w:t>
            </w:r>
          </w:p>
        </w:tc>
      </w:tr>
    </w:tbl>
    <w:p w14:paraId="7EA9F2D2"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BDATA"/>
      </w:tblPr>
      <w:tblGrid>
        <w:gridCol w:w="2159"/>
        <w:gridCol w:w="1262"/>
        <w:gridCol w:w="1262"/>
        <w:gridCol w:w="1172"/>
        <w:gridCol w:w="1260"/>
        <w:gridCol w:w="1260"/>
        <w:gridCol w:w="1049"/>
        <w:gridCol w:w="1366"/>
      </w:tblGrid>
      <w:tr w:rsidR="00AA4F85" w:rsidRPr="00781112" w14:paraId="29447607" w14:textId="4B3B706C" w:rsidTr="00AA4F85">
        <w:trPr>
          <w:tblHeader/>
        </w:trPr>
        <w:tc>
          <w:tcPr>
            <w:tcW w:w="1000" w:type="pct"/>
            <w:shd w:val="clear" w:color="auto" w:fill="auto"/>
            <w:vAlign w:val="bottom"/>
          </w:tcPr>
          <w:p w14:paraId="58D567A9" w14:textId="7BD30860" w:rsidR="00AA4F85" w:rsidRPr="00781112" w:rsidRDefault="00AA4F85" w:rsidP="00AA4F85">
            <w:pPr>
              <w:rPr>
                <w:b/>
                <w:color w:val="000000" w:themeColor="text1"/>
              </w:rPr>
            </w:pPr>
            <w:r w:rsidRPr="00781112">
              <w:rPr>
                <w:b/>
                <w:color w:val="000000" w:themeColor="text1"/>
              </w:rPr>
              <w:t>Outcome B</w:t>
            </w:r>
          </w:p>
        </w:tc>
        <w:tc>
          <w:tcPr>
            <w:tcW w:w="585" w:type="pct"/>
            <w:shd w:val="clear" w:color="auto" w:fill="auto"/>
            <w:vAlign w:val="bottom"/>
          </w:tcPr>
          <w:p w14:paraId="0DF6A486" w14:textId="77777777" w:rsidR="00AA4F85" w:rsidRPr="00781112" w:rsidRDefault="00AA4F85" w:rsidP="00AA4F85">
            <w:pPr>
              <w:rPr>
                <w:b/>
                <w:color w:val="000000" w:themeColor="text1"/>
              </w:rPr>
            </w:pPr>
            <w:r w:rsidRPr="00781112">
              <w:rPr>
                <w:b/>
                <w:color w:val="000000" w:themeColor="text1"/>
              </w:rPr>
              <w:t>Numerator</w:t>
            </w:r>
          </w:p>
        </w:tc>
        <w:tc>
          <w:tcPr>
            <w:tcW w:w="585" w:type="pct"/>
            <w:shd w:val="clear" w:color="auto" w:fill="auto"/>
            <w:vAlign w:val="bottom"/>
          </w:tcPr>
          <w:p w14:paraId="4A127242" w14:textId="77777777" w:rsidR="00AA4F85" w:rsidRPr="00781112" w:rsidRDefault="00AA4F85" w:rsidP="00AA4F85">
            <w:pPr>
              <w:rPr>
                <w:b/>
                <w:color w:val="000000" w:themeColor="text1"/>
              </w:rPr>
            </w:pPr>
            <w:r w:rsidRPr="00781112">
              <w:rPr>
                <w:b/>
                <w:color w:val="000000" w:themeColor="text1"/>
              </w:rPr>
              <w:t>Denominator</w:t>
            </w:r>
          </w:p>
        </w:tc>
        <w:tc>
          <w:tcPr>
            <w:tcW w:w="543" w:type="pct"/>
            <w:shd w:val="clear" w:color="auto" w:fill="auto"/>
            <w:vAlign w:val="bottom"/>
          </w:tcPr>
          <w:p w14:paraId="03649132" w14:textId="2A9F936A" w:rsidR="00AA4F85" w:rsidRPr="00CC1061" w:rsidRDefault="00AA4F85" w:rsidP="00CC1061">
            <w:pPr>
              <w:jc w:val="center"/>
              <w:rPr>
                <w:b/>
                <w:bCs/>
                <w:color w:val="000000" w:themeColor="text1"/>
              </w:rPr>
            </w:pPr>
            <w:r w:rsidRPr="00CC1061">
              <w:rPr>
                <w:b/>
                <w:bCs/>
              </w:rPr>
              <w:t>FFY 2022 Data</w:t>
            </w:r>
          </w:p>
        </w:tc>
        <w:tc>
          <w:tcPr>
            <w:tcW w:w="584" w:type="pct"/>
            <w:shd w:val="clear" w:color="auto" w:fill="auto"/>
            <w:vAlign w:val="bottom"/>
          </w:tcPr>
          <w:p w14:paraId="3AFAEBC5" w14:textId="46E70C1E" w:rsidR="00AA4F85" w:rsidRPr="00CC1061" w:rsidRDefault="00AA4F85" w:rsidP="00CC1061">
            <w:pPr>
              <w:jc w:val="center"/>
              <w:rPr>
                <w:b/>
                <w:bCs/>
                <w:color w:val="000000" w:themeColor="text1"/>
              </w:rPr>
            </w:pPr>
            <w:r w:rsidRPr="00CC1061">
              <w:rPr>
                <w:b/>
                <w:bCs/>
              </w:rPr>
              <w:t>FFY 2023 Target</w:t>
            </w:r>
          </w:p>
        </w:tc>
        <w:tc>
          <w:tcPr>
            <w:tcW w:w="584" w:type="pct"/>
            <w:shd w:val="clear" w:color="auto" w:fill="auto"/>
            <w:vAlign w:val="bottom"/>
          </w:tcPr>
          <w:p w14:paraId="40B6360D" w14:textId="28C8C719" w:rsidR="00AA4F85" w:rsidRPr="00CC1061" w:rsidRDefault="00AA4F85" w:rsidP="00CC1061">
            <w:pPr>
              <w:jc w:val="center"/>
              <w:rPr>
                <w:b/>
                <w:bCs/>
                <w:color w:val="000000" w:themeColor="text1"/>
              </w:rPr>
            </w:pPr>
            <w:r w:rsidRPr="00CC1061">
              <w:rPr>
                <w:b/>
                <w:bCs/>
              </w:rPr>
              <w:t>FFY 2023 Data</w:t>
            </w:r>
          </w:p>
        </w:tc>
        <w:tc>
          <w:tcPr>
            <w:tcW w:w="486" w:type="pct"/>
            <w:shd w:val="clear" w:color="auto" w:fill="auto"/>
            <w:vAlign w:val="bottom"/>
          </w:tcPr>
          <w:p w14:paraId="17C85F8A" w14:textId="625B06E9" w:rsidR="00AA4F85" w:rsidRPr="00781112" w:rsidRDefault="00AA4F85" w:rsidP="00AA4F85">
            <w:pPr>
              <w:rPr>
                <w:b/>
                <w:color w:val="000000" w:themeColor="text1"/>
              </w:rPr>
            </w:pPr>
            <w:r w:rsidRPr="00781112">
              <w:rPr>
                <w:b/>
                <w:color w:val="000000" w:themeColor="text1"/>
              </w:rPr>
              <w:t>Status</w:t>
            </w:r>
          </w:p>
        </w:tc>
        <w:tc>
          <w:tcPr>
            <w:tcW w:w="633" w:type="pct"/>
            <w:shd w:val="clear" w:color="auto" w:fill="auto"/>
            <w:vAlign w:val="bottom"/>
          </w:tcPr>
          <w:p w14:paraId="4254BB19" w14:textId="15C403FF" w:rsidR="00AA4F85" w:rsidRPr="00781112" w:rsidRDefault="00AA4F85" w:rsidP="00AA4F85">
            <w:pPr>
              <w:rPr>
                <w:b/>
                <w:color w:val="000000" w:themeColor="text1"/>
              </w:rPr>
            </w:pPr>
            <w:r w:rsidRPr="00781112">
              <w:rPr>
                <w:b/>
                <w:color w:val="000000" w:themeColor="text1"/>
              </w:rPr>
              <w:t>Slippage</w:t>
            </w:r>
          </w:p>
        </w:tc>
      </w:tr>
      <w:tr w:rsidR="005C29F8" w:rsidRPr="00781112" w14:paraId="6493B1D4" w14:textId="479A7C15" w:rsidTr="00AA4F85">
        <w:tc>
          <w:tcPr>
            <w:tcW w:w="1000" w:type="pct"/>
            <w:shd w:val="clear" w:color="auto" w:fill="auto"/>
          </w:tcPr>
          <w:p w14:paraId="095FBDAA"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B1. Of those children who entered or exited the program below age expectations in Outcome B, the percent who substantially increased their rate of growth by the time they turned 6 years of age or exited the program. </w:t>
            </w:r>
            <w:r w:rsidRPr="00266107">
              <w:rPr>
                <w:rFonts w:cs="Arial"/>
                <w:i/>
                <w:iCs/>
                <w:color w:val="000000" w:themeColor="text1"/>
                <w:szCs w:val="16"/>
              </w:rPr>
              <w:t>Calculation: (c+d)/(a+b+c+d)</w:t>
            </w:r>
          </w:p>
        </w:tc>
        <w:tc>
          <w:tcPr>
            <w:tcW w:w="585" w:type="pct"/>
            <w:shd w:val="clear" w:color="auto" w:fill="auto"/>
            <w:vAlign w:val="center"/>
          </w:tcPr>
          <w:p w14:paraId="250FBF70" w14:textId="269E9F95" w:rsidR="00A86385" w:rsidRPr="00781112" w:rsidRDefault="002B7490" w:rsidP="00A018D4">
            <w:pPr>
              <w:jc w:val="center"/>
              <w:rPr>
                <w:rFonts w:cs="Arial"/>
                <w:color w:val="000000" w:themeColor="text1"/>
                <w:szCs w:val="16"/>
              </w:rPr>
            </w:pPr>
            <w:r w:rsidRPr="00781112">
              <w:rPr>
                <w:rFonts w:cs="Arial"/>
                <w:color w:val="000000" w:themeColor="text1"/>
                <w:szCs w:val="16"/>
              </w:rPr>
              <w:t>2,032</w:t>
            </w:r>
          </w:p>
        </w:tc>
        <w:tc>
          <w:tcPr>
            <w:tcW w:w="585" w:type="pct"/>
            <w:shd w:val="clear" w:color="auto" w:fill="auto"/>
            <w:vAlign w:val="center"/>
          </w:tcPr>
          <w:p w14:paraId="682FF5CA" w14:textId="4D1E8D34" w:rsidR="00A86385" w:rsidRPr="00781112" w:rsidRDefault="002B7490" w:rsidP="00A018D4">
            <w:pPr>
              <w:jc w:val="center"/>
              <w:rPr>
                <w:rFonts w:cs="Arial"/>
                <w:color w:val="000000" w:themeColor="text1"/>
                <w:szCs w:val="16"/>
              </w:rPr>
            </w:pPr>
            <w:r w:rsidRPr="00781112">
              <w:rPr>
                <w:rFonts w:cs="Arial"/>
                <w:color w:val="000000" w:themeColor="text1"/>
                <w:szCs w:val="16"/>
              </w:rPr>
              <w:t>2,461</w:t>
            </w:r>
          </w:p>
        </w:tc>
        <w:tc>
          <w:tcPr>
            <w:tcW w:w="543" w:type="pct"/>
            <w:shd w:val="clear" w:color="auto" w:fill="auto"/>
            <w:vAlign w:val="center"/>
          </w:tcPr>
          <w:p w14:paraId="07D855DC" w14:textId="52076A3B" w:rsidR="00A86385" w:rsidRPr="00781112" w:rsidRDefault="002B7490" w:rsidP="00A018D4">
            <w:pPr>
              <w:jc w:val="center"/>
              <w:rPr>
                <w:rFonts w:cs="Arial"/>
                <w:color w:val="000000" w:themeColor="text1"/>
                <w:szCs w:val="16"/>
              </w:rPr>
            </w:pPr>
            <w:r w:rsidRPr="00781112">
              <w:rPr>
                <w:rFonts w:cs="Arial"/>
                <w:color w:val="000000" w:themeColor="text1"/>
                <w:szCs w:val="16"/>
              </w:rPr>
              <w:t>82.43%</w:t>
            </w:r>
          </w:p>
        </w:tc>
        <w:tc>
          <w:tcPr>
            <w:tcW w:w="584" w:type="pct"/>
            <w:shd w:val="clear" w:color="auto" w:fill="auto"/>
            <w:vAlign w:val="center"/>
          </w:tcPr>
          <w:p w14:paraId="2830610A" w14:textId="6D7B3DE8" w:rsidR="00A86385" w:rsidRPr="00781112" w:rsidRDefault="002B7490" w:rsidP="00A018D4">
            <w:pPr>
              <w:jc w:val="center"/>
              <w:rPr>
                <w:rFonts w:cs="Arial"/>
                <w:color w:val="000000" w:themeColor="text1"/>
                <w:szCs w:val="16"/>
              </w:rPr>
            </w:pPr>
            <w:r w:rsidRPr="00781112">
              <w:rPr>
                <w:rFonts w:cs="Arial"/>
                <w:color w:val="000000" w:themeColor="text1"/>
                <w:szCs w:val="16"/>
              </w:rPr>
              <w:t>85.00%</w:t>
            </w:r>
          </w:p>
        </w:tc>
        <w:tc>
          <w:tcPr>
            <w:tcW w:w="584" w:type="pct"/>
            <w:shd w:val="clear" w:color="auto" w:fill="auto"/>
            <w:vAlign w:val="center"/>
          </w:tcPr>
          <w:p w14:paraId="12F538E0" w14:textId="1332D172" w:rsidR="00A86385" w:rsidRPr="00781112" w:rsidRDefault="002B7490" w:rsidP="00A018D4">
            <w:pPr>
              <w:jc w:val="center"/>
              <w:rPr>
                <w:rFonts w:cs="Arial"/>
                <w:color w:val="000000" w:themeColor="text1"/>
                <w:szCs w:val="16"/>
              </w:rPr>
            </w:pPr>
            <w:r w:rsidRPr="00781112">
              <w:rPr>
                <w:rFonts w:cs="Arial"/>
                <w:color w:val="000000" w:themeColor="text1"/>
                <w:szCs w:val="16"/>
              </w:rPr>
              <w:t>82.57%</w:t>
            </w:r>
          </w:p>
        </w:tc>
        <w:tc>
          <w:tcPr>
            <w:tcW w:w="486" w:type="pct"/>
            <w:shd w:val="clear" w:color="auto" w:fill="auto"/>
            <w:vAlign w:val="center"/>
          </w:tcPr>
          <w:p w14:paraId="68592CBC" w14:textId="66F66CA8"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shd w:val="clear" w:color="auto" w:fill="auto"/>
            <w:vAlign w:val="center"/>
          </w:tcPr>
          <w:p w14:paraId="0C970ED8" w14:textId="7AA3F255"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1A2A4C8" w14:textId="1A212673" w:rsidTr="00AA4F85">
        <w:tc>
          <w:tcPr>
            <w:tcW w:w="1000" w:type="pct"/>
            <w:shd w:val="clear" w:color="auto" w:fill="auto"/>
          </w:tcPr>
          <w:p w14:paraId="2DEF6925"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B2. The percent of preschool children who were functioning within age expectations in Outcome B by the time they turned 6 years of age or exited the program. </w:t>
            </w:r>
            <w:r w:rsidRPr="00266107">
              <w:rPr>
                <w:rFonts w:cs="Arial"/>
                <w:i/>
                <w:iCs/>
                <w:color w:val="000000" w:themeColor="text1"/>
                <w:szCs w:val="16"/>
              </w:rPr>
              <w:t>Calculation: (d+e)/(a+b+c+d+e)</w:t>
            </w:r>
          </w:p>
        </w:tc>
        <w:tc>
          <w:tcPr>
            <w:tcW w:w="585" w:type="pct"/>
            <w:shd w:val="clear" w:color="auto" w:fill="auto"/>
            <w:vAlign w:val="center"/>
          </w:tcPr>
          <w:p w14:paraId="3ABF54A2" w14:textId="3376A45C" w:rsidR="00A86385" w:rsidRPr="00781112" w:rsidRDefault="002B7490" w:rsidP="00A018D4">
            <w:pPr>
              <w:jc w:val="center"/>
              <w:rPr>
                <w:rFonts w:cs="Arial"/>
                <w:color w:val="000000" w:themeColor="text1"/>
                <w:szCs w:val="16"/>
              </w:rPr>
            </w:pPr>
            <w:r w:rsidRPr="00781112">
              <w:rPr>
                <w:rFonts w:cs="Arial"/>
                <w:color w:val="000000" w:themeColor="text1"/>
                <w:szCs w:val="16"/>
              </w:rPr>
              <w:t>1,601</w:t>
            </w:r>
          </w:p>
        </w:tc>
        <w:tc>
          <w:tcPr>
            <w:tcW w:w="585" w:type="pct"/>
            <w:shd w:val="clear" w:color="auto" w:fill="auto"/>
            <w:vAlign w:val="center"/>
          </w:tcPr>
          <w:p w14:paraId="591EA1FE" w14:textId="556EFD96" w:rsidR="00A86385" w:rsidRPr="00781112" w:rsidRDefault="002B7490" w:rsidP="00A018D4">
            <w:pPr>
              <w:jc w:val="center"/>
              <w:rPr>
                <w:rFonts w:cs="Arial"/>
                <w:color w:val="000000" w:themeColor="text1"/>
                <w:szCs w:val="16"/>
              </w:rPr>
            </w:pPr>
            <w:r w:rsidRPr="00781112">
              <w:rPr>
                <w:rFonts w:cs="Arial"/>
                <w:color w:val="000000" w:themeColor="text1"/>
                <w:szCs w:val="16"/>
              </w:rPr>
              <w:t>2,745</w:t>
            </w:r>
          </w:p>
        </w:tc>
        <w:tc>
          <w:tcPr>
            <w:tcW w:w="543" w:type="pct"/>
            <w:shd w:val="clear" w:color="auto" w:fill="auto"/>
            <w:vAlign w:val="center"/>
          </w:tcPr>
          <w:p w14:paraId="0B86042E" w14:textId="01488A08" w:rsidR="00A86385" w:rsidRPr="00781112" w:rsidRDefault="002B7490" w:rsidP="00A018D4">
            <w:pPr>
              <w:jc w:val="center"/>
              <w:rPr>
                <w:rFonts w:cs="Arial"/>
                <w:color w:val="000000" w:themeColor="text1"/>
                <w:szCs w:val="16"/>
              </w:rPr>
            </w:pPr>
            <w:r w:rsidRPr="00781112">
              <w:rPr>
                <w:rFonts w:cs="Arial"/>
                <w:color w:val="000000" w:themeColor="text1"/>
                <w:szCs w:val="16"/>
              </w:rPr>
              <w:t>60.24%</w:t>
            </w:r>
          </w:p>
        </w:tc>
        <w:tc>
          <w:tcPr>
            <w:tcW w:w="584" w:type="pct"/>
            <w:shd w:val="clear" w:color="auto" w:fill="auto"/>
            <w:vAlign w:val="center"/>
          </w:tcPr>
          <w:p w14:paraId="33474719" w14:textId="0E1ED729" w:rsidR="00A86385" w:rsidRPr="00781112" w:rsidRDefault="002B7490" w:rsidP="00A018D4">
            <w:pPr>
              <w:jc w:val="center"/>
              <w:rPr>
                <w:rFonts w:cs="Arial"/>
                <w:color w:val="000000" w:themeColor="text1"/>
                <w:szCs w:val="16"/>
              </w:rPr>
            </w:pPr>
            <w:r w:rsidRPr="00781112">
              <w:rPr>
                <w:rFonts w:cs="Arial"/>
                <w:color w:val="000000" w:themeColor="text1"/>
                <w:szCs w:val="16"/>
              </w:rPr>
              <w:t>63.20%</w:t>
            </w:r>
          </w:p>
        </w:tc>
        <w:tc>
          <w:tcPr>
            <w:tcW w:w="584" w:type="pct"/>
            <w:shd w:val="clear" w:color="auto" w:fill="auto"/>
            <w:vAlign w:val="center"/>
          </w:tcPr>
          <w:p w14:paraId="073970A2" w14:textId="5A7FF3FA" w:rsidR="00A86385" w:rsidRPr="00781112" w:rsidRDefault="002B7490" w:rsidP="00A018D4">
            <w:pPr>
              <w:jc w:val="center"/>
              <w:rPr>
                <w:rFonts w:cs="Arial"/>
                <w:color w:val="000000" w:themeColor="text1"/>
                <w:szCs w:val="16"/>
              </w:rPr>
            </w:pPr>
            <w:r w:rsidRPr="00781112">
              <w:rPr>
                <w:rFonts w:cs="Arial"/>
                <w:color w:val="000000" w:themeColor="text1"/>
                <w:szCs w:val="16"/>
              </w:rPr>
              <w:t>58.32%</w:t>
            </w:r>
          </w:p>
        </w:tc>
        <w:tc>
          <w:tcPr>
            <w:tcW w:w="486" w:type="pct"/>
            <w:shd w:val="clear" w:color="auto" w:fill="auto"/>
            <w:vAlign w:val="center"/>
          </w:tcPr>
          <w:p w14:paraId="2B7E9ACC" w14:textId="45CB2456"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shd w:val="clear" w:color="auto" w:fill="auto"/>
            <w:vAlign w:val="center"/>
          </w:tcPr>
          <w:p w14:paraId="04CCC32D" w14:textId="64DEC314" w:rsidR="00A86385"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12AAE7F9" w14:textId="77777777" w:rsidR="00A80FEB" w:rsidRPr="00781112" w:rsidRDefault="00A80FEB" w:rsidP="004369B2">
      <w:pPr>
        <w:rPr>
          <w:color w:val="000000" w:themeColor="text1"/>
        </w:rPr>
      </w:pPr>
      <w:r w:rsidRPr="00781112">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C"/>
      </w:tblPr>
      <w:tblGrid>
        <w:gridCol w:w="7227"/>
        <w:gridCol w:w="1783"/>
        <w:gridCol w:w="1780"/>
      </w:tblGrid>
      <w:tr w:rsidR="005C29F8" w:rsidRPr="00781112" w14:paraId="5A5015FC" w14:textId="4FA08BD6" w:rsidTr="0033429D">
        <w:trPr>
          <w:trHeight w:val="361"/>
          <w:tblHeader/>
        </w:trPr>
        <w:tc>
          <w:tcPr>
            <w:tcW w:w="3349" w:type="pct"/>
            <w:shd w:val="clear" w:color="auto" w:fill="auto"/>
            <w:vAlign w:val="bottom"/>
          </w:tcPr>
          <w:p w14:paraId="4191FDB2" w14:textId="72ED8C9D" w:rsidR="002F2379" w:rsidRPr="00781112" w:rsidRDefault="009028CA" w:rsidP="0024351A">
            <w:pPr>
              <w:rPr>
                <w:rFonts w:cs="Arial"/>
                <w:color w:val="000000" w:themeColor="text1"/>
                <w:szCs w:val="16"/>
              </w:rPr>
            </w:pPr>
            <w:r w:rsidRPr="00781112">
              <w:rPr>
                <w:rFonts w:cs="Arial"/>
                <w:b/>
                <w:color w:val="000000" w:themeColor="text1"/>
                <w:szCs w:val="16"/>
              </w:rPr>
              <w:lastRenderedPageBreak/>
              <w:t xml:space="preserve">Outcome C </w:t>
            </w:r>
            <w:r w:rsidRPr="00781112">
              <w:rPr>
                <w:rFonts w:cs="Arial"/>
                <w:b/>
                <w:bCs/>
                <w:color w:val="000000" w:themeColor="text1"/>
                <w:szCs w:val="16"/>
              </w:rPr>
              <w:t>Progress Categor</w:t>
            </w:r>
            <w:r w:rsidR="00E91363" w:rsidRPr="00781112">
              <w:rPr>
                <w:rFonts w:cs="Arial"/>
                <w:b/>
                <w:bCs/>
                <w:color w:val="000000" w:themeColor="text1"/>
                <w:szCs w:val="16"/>
              </w:rPr>
              <w:t>y</w:t>
            </w:r>
          </w:p>
        </w:tc>
        <w:tc>
          <w:tcPr>
            <w:tcW w:w="826" w:type="pct"/>
            <w:shd w:val="clear" w:color="auto" w:fill="auto"/>
            <w:vAlign w:val="bottom"/>
          </w:tcPr>
          <w:p w14:paraId="18BE5F06" w14:textId="77777777" w:rsidR="002F2379" w:rsidRPr="00781112" w:rsidRDefault="002F2379"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D2176F1" w14:textId="0AB04833" w:rsidR="002F2379" w:rsidRPr="00781112" w:rsidRDefault="002F2379"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91128D7" w14:textId="67DCF276" w:rsidTr="00AB0D6A">
        <w:trPr>
          <w:trHeight w:val="361"/>
        </w:trPr>
        <w:tc>
          <w:tcPr>
            <w:tcW w:w="3349" w:type="pct"/>
            <w:shd w:val="clear" w:color="auto" w:fill="auto"/>
          </w:tcPr>
          <w:p w14:paraId="4D685636"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36C04483" w14:textId="33014E3B" w:rsidR="00A86385" w:rsidRPr="00781112" w:rsidRDefault="002B7490" w:rsidP="00A018D4">
            <w:pPr>
              <w:jc w:val="center"/>
              <w:rPr>
                <w:rFonts w:cs="Arial"/>
                <w:color w:val="000000" w:themeColor="text1"/>
                <w:szCs w:val="16"/>
              </w:rPr>
            </w:pPr>
            <w:r w:rsidRPr="00781112">
              <w:rPr>
                <w:rFonts w:cs="Arial"/>
                <w:color w:val="000000" w:themeColor="text1"/>
                <w:szCs w:val="16"/>
              </w:rPr>
              <w:t>56</w:t>
            </w:r>
          </w:p>
        </w:tc>
        <w:tc>
          <w:tcPr>
            <w:tcW w:w="825" w:type="pct"/>
            <w:shd w:val="clear" w:color="auto" w:fill="auto"/>
            <w:vAlign w:val="center"/>
          </w:tcPr>
          <w:p w14:paraId="224E7CD3" w14:textId="5C0B6B10" w:rsidR="00A86385" w:rsidRPr="00781112" w:rsidRDefault="002B7490" w:rsidP="00A018D4">
            <w:pPr>
              <w:jc w:val="center"/>
              <w:rPr>
                <w:rFonts w:cs="Arial"/>
                <w:color w:val="000000" w:themeColor="text1"/>
                <w:szCs w:val="16"/>
              </w:rPr>
            </w:pPr>
            <w:r w:rsidRPr="00781112">
              <w:rPr>
                <w:rFonts w:cs="Arial"/>
                <w:color w:val="000000" w:themeColor="text1"/>
                <w:szCs w:val="16"/>
              </w:rPr>
              <w:t>2.04%</w:t>
            </w:r>
          </w:p>
        </w:tc>
      </w:tr>
      <w:tr w:rsidR="005C29F8" w:rsidRPr="00781112" w14:paraId="0DFF86FC" w14:textId="381769F8" w:rsidTr="00AB0D6A">
        <w:trPr>
          <w:trHeight w:val="361"/>
        </w:trPr>
        <w:tc>
          <w:tcPr>
            <w:tcW w:w="3349" w:type="pct"/>
            <w:shd w:val="clear" w:color="auto" w:fill="auto"/>
          </w:tcPr>
          <w:p w14:paraId="72586C03"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453499DD" w14:textId="60CEBF1E" w:rsidR="00A86385" w:rsidRPr="00781112" w:rsidRDefault="002B7490" w:rsidP="00A018D4">
            <w:pPr>
              <w:jc w:val="center"/>
              <w:rPr>
                <w:rFonts w:cs="Arial"/>
                <w:color w:val="000000" w:themeColor="text1"/>
                <w:szCs w:val="16"/>
              </w:rPr>
            </w:pPr>
            <w:r w:rsidRPr="00781112">
              <w:rPr>
                <w:rFonts w:cs="Arial"/>
                <w:color w:val="000000" w:themeColor="text1"/>
                <w:szCs w:val="16"/>
              </w:rPr>
              <w:t>282</w:t>
            </w:r>
          </w:p>
        </w:tc>
        <w:tc>
          <w:tcPr>
            <w:tcW w:w="825" w:type="pct"/>
            <w:shd w:val="clear" w:color="auto" w:fill="auto"/>
            <w:vAlign w:val="center"/>
          </w:tcPr>
          <w:p w14:paraId="75491539" w14:textId="4C6956ED" w:rsidR="00A86385" w:rsidRPr="00781112" w:rsidRDefault="002B7490" w:rsidP="00A018D4">
            <w:pPr>
              <w:jc w:val="center"/>
              <w:rPr>
                <w:rFonts w:cs="Arial"/>
                <w:color w:val="000000" w:themeColor="text1"/>
                <w:szCs w:val="16"/>
              </w:rPr>
            </w:pPr>
            <w:r w:rsidRPr="00781112">
              <w:rPr>
                <w:rFonts w:cs="Arial"/>
                <w:color w:val="000000" w:themeColor="text1"/>
                <w:szCs w:val="16"/>
              </w:rPr>
              <w:t>10.27%</w:t>
            </w:r>
          </w:p>
        </w:tc>
      </w:tr>
      <w:tr w:rsidR="005C29F8" w:rsidRPr="00781112" w14:paraId="055A4C9A" w14:textId="0FC02C83" w:rsidTr="00AB0D6A">
        <w:trPr>
          <w:trHeight w:val="395"/>
        </w:trPr>
        <w:tc>
          <w:tcPr>
            <w:tcW w:w="3349" w:type="pct"/>
            <w:shd w:val="clear" w:color="auto" w:fill="auto"/>
          </w:tcPr>
          <w:p w14:paraId="1EEA20E7"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16FD0FF8" w14:textId="15197C29" w:rsidR="00A86385" w:rsidRPr="00781112" w:rsidRDefault="002B7490" w:rsidP="00A018D4">
            <w:pPr>
              <w:jc w:val="center"/>
              <w:rPr>
                <w:rFonts w:cs="Arial"/>
                <w:color w:val="000000" w:themeColor="text1"/>
                <w:szCs w:val="16"/>
              </w:rPr>
            </w:pPr>
            <w:r w:rsidRPr="00781112">
              <w:rPr>
                <w:rFonts w:cs="Arial"/>
                <w:color w:val="000000" w:themeColor="text1"/>
                <w:szCs w:val="16"/>
              </w:rPr>
              <w:t>537</w:t>
            </w:r>
          </w:p>
        </w:tc>
        <w:tc>
          <w:tcPr>
            <w:tcW w:w="825" w:type="pct"/>
            <w:shd w:val="clear" w:color="auto" w:fill="auto"/>
            <w:vAlign w:val="center"/>
          </w:tcPr>
          <w:p w14:paraId="5A785A5B" w14:textId="096612D9" w:rsidR="00A86385" w:rsidRPr="00781112" w:rsidRDefault="002B7490" w:rsidP="00A018D4">
            <w:pPr>
              <w:jc w:val="center"/>
              <w:rPr>
                <w:rFonts w:cs="Arial"/>
                <w:color w:val="000000" w:themeColor="text1"/>
                <w:szCs w:val="16"/>
              </w:rPr>
            </w:pPr>
            <w:r w:rsidRPr="00781112">
              <w:rPr>
                <w:rFonts w:cs="Arial"/>
                <w:color w:val="000000" w:themeColor="text1"/>
                <w:szCs w:val="16"/>
              </w:rPr>
              <w:t>19.56%</w:t>
            </w:r>
          </w:p>
        </w:tc>
      </w:tr>
      <w:tr w:rsidR="005C29F8" w:rsidRPr="00781112" w14:paraId="116C43B5" w14:textId="562F3ACF" w:rsidTr="00AB0D6A">
        <w:trPr>
          <w:trHeight w:val="361"/>
        </w:trPr>
        <w:tc>
          <w:tcPr>
            <w:tcW w:w="3349" w:type="pct"/>
            <w:shd w:val="clear" w:color="auto" w:fill="auto"/>
          </w:tcPr>
          <w:p w14:paraId="74396990"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5993AD4D" w14:textId="0747815C" w:rsidR="00A86385" w:rsidRPr="00781112" w:rsidRDefault="002B7490" w:rsidP="00A018D4">
            <w:pPr>
              <w:jc w:val="center"/>
              <w:rPr>
                <w:rFonts w:cs="Arial"/>
                <w:color w:val="000000" w:themeColor="text1"/>
                <w:szCs w:val="16"/>
              </w:rPr>
            </w:pPr>
            <w:r w:rsidRPr="00781112">
              <w:rPr>
                <w:rFonts w:cs="Arial"/>
                <w:color w:val="000000" w:themeColor="text1"/>
                <w:szCs w:val="16"/>
              </w:rPr>
              <w:t>1,332</w:t>
            </w:r>
          </w:p>
        </w:tc>
        <w:tc>
          <w:tcPr>
            <w:tcW w:w="825" w:type="pct"/>
            <w:shd w:val="clear" w:color="auto" w:fill="auto"/>
            <w:vAlign w:val="center"/>
          </w:tcPr>
          <w:p w14:paraId="6CF00AA9" w14:textId="2DDC2AAD" w:rsidR="00A86385" w:rsidRPr="00781112" w:rsidRDefault="002B7490" w:rsidP="00A018D4">
            <w:pPr>
              <w:jc w:val="center"/>
              <w:rPr>
                <w:rFonts w:cs="Arial"/>
                <w:color w:val="000000" w:themeColor="text1"/>
                <w:szCs w:val="16"/>
              </w:rPr>
            </w:pPr>
            <w:r w:rsidRPr="00781112">
              <w:rPr>
                <w:rFonts w:cs="Arial"/>
                <w:color w:val="000000" w:themeColor="text1"/>
                <w:szCs w:val="16"/>
              </w:rPr>
              <w:t>48.52%</w:t>
            </w:r>
          </w:p>
        </w:tc>
      </w:tr>
      <w:tr w:rsidR="005C29F8" w:rsidRPr="00781112" w14:paraId="4BA9BE51" w14:textId="4FD5F213" w:rsidTr="00AB0D6A">
        <w:trPr>
          <w:trHeight w:val="361"/>
        </w:trPr>
        <w:tc>
          <w:tcPr>
            <w:tcW w:w="3349" w:type="pct"/>
            <w:shd w:val="clear" w:color="auto" w:fill="auto"/>
          </w:tcPr>
          <w:p w14:paraId="016E3D57"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D33EA20" w14:textId="42CC1D2C" w:rsidR="00A86385" w:rsidRPr="00781112" w:rsidRDefault="002B7490" w:rsidP="00A018D4">
            <w:pPr>
              <w:jc w:val="center"/>
              <w:rPr>
                <w:rFonts w:cs="Arial"/>
                <w:color w:val="000000" w:themeColor="text1"/>
                <w:szCs w:val="16"/>
              </w:rPr>
            </w:pPr>
            <w:r w:rsidRPr="00781112">
              <w:rPr>
                <w:rFonts w:cs="Arial"/>
                <w:color w:val="000000" w:themeColor="text1"/>
                <w:szCs w:val="16"/>
              </w:rPr>
              <w:t>538</w:t>
            </w:r>
          </w:p>
        </w:tc>
        <w:tc>
          <w:tcPr>
            <w:tcW w:w="825" w:type="pct"/>
            <w:shd w:val="clear" w:color="auto" w:fill="auto"/>
            <w:vAlign w:val="center"/>
          </w:tcPr>
          <w:p w14:paraId="5DB4A655" w14:textId="2961CB8C" w:rsidR="00A86385" w:rsidRPr="00781112" w:rsidRDefault="002B7490" w:rsidP="00A018D4">
            <w:pPr>
              <w:jc w:val="center"/>
              <w:rPr>
                <w:rFonts w:cs="Arial"/>
                <w:color w:val="000000" w:themeColor="text1"/>
                <w:szCs w:val="16"/>
              </w:rPr>
            </w:pPr>
            <w:r w:rsidRPr="00781112">
              <w:rPr>
                <w:rFonts w:cs="Arial"/>
                <w:color w:val="000000" w:themeColor="text1"/>
                <w:szCs w:val="16"/>
              </w:rPr>
              <w:t>19.60%</w:t>
            </w:r>
          </w:p>
        </w:tc>
      </w:tr>
    </w:tbl>
    <w:p w14:paraId="49F715FF"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CDATA"/>
      </w:tblPr>
      <w:tblGrid>
        <w:gridCol w:w="2156"/>
        <w:gridCol w:w="1260"/>
        <w:gridCol w:w="1260"/>
        <w:gridCol w:w="1172"/>
        <w:gridCol w:w="1260"/>
        <w:gridCol w:w="1349"/>
        <w:gridCol w:w="991"/>
        <w:gridCol w:w="1342"/>
      </w:tblGrid>
      <w:tr w:rsidR="00AA4F85" w:rsidRPr="00781112" w14:paraId="6D854191" w14:textId="189CF04C" w:rsidTr="00AB0D6A">
        <w:trPr>
          <w:trHeight w:val="354"/>
          <w:tblHeader/>
        </w:trPr>
        <w:tc>
          <w:tcPr>
            <w:tcW w:w="999" w:type="pct"/>
            <w:shd w:val="clear" w:color="auto" w:fill="auto"/>
            <w:vAlign w:val="bottom"/>
          </w:tcPr>
          <w:p w14:paraId="2713B90C" w14:textId="70596E6D" w:rsidR="00AA4F85" w:rsidRPr="00781112" w:rsidRDefault="00AA4F85" w:rsidP="00AA4F85">
            <w:pPr>
              <w:rPr>
                <w:rFonts w:cs="Arial"/>
                <w:b/>
                <w:bCs/>
                <w:color w:val="000000" w:themeColor="text1"/>
                <w:szCs w:val="16"/>
              </w:rPr>
            </w:pPr>
            <w:r w:rsidRPr="00781112">
              <w:rPr>
                <w:rFonts w:cs="Arial"/>
                <w:b/>
                <w:bCs/>
                <w:color w:val="000000" w:themeColor="text1"/>
                <w:szCs w:val="16"/>
              </w:rPr>
              <w:t>Outcome C</w:t>
            </w:r>
          </w:p>
        </w:tc>
        <w:tc>
          <w:tcPr>
            <w:tcW w:w="584" w:type="pct"/>
            <w:shd w:val="clear" w:color="auto" w:fill="auto"/>
            <w:vAlign w:val="bottom"/>
          </w:tcPr>
          <w:p w14:paraId="3AAEB9E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84" w:type="pct"/>
            <w:shd w:val="clear" w:color="auto" w:fill="auto"/>
            <w:vAlign w:val="bottom"/>
          </w:tcPr>
          <w:p w14:paraId="5C1FBE9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43" w:type="pct"/>
            <w:shd w:val="clear" w:color="auto" w:fill="auto"/>
            <w:vAlign w:val="bottom"/>
          </w:tcPr>
          <w:p w14:paraId="7E124690" w14:textId="398AC8A6" w:rsidR="00AA4F85" w:rsidRPr="00CC1061" w:rsidRDefault="00AA4F85" w:rsidP="00AA4F85">
            <w:pPr>
              <w:jc w:val="center"/>
              <w:rPr>
                <w:rFonts w:cs="Arial"/>
                <w:b/>
                <w:bCs/>
                <w:color w:val="000000" w:themeColor="text1"/>
                <w:szCs w:val="16"/>
              </w:rPr>
            </w:pPr>
            <w:r w:rsidRPr="00CC1061">
              <w:rPr>
                <w:b/>
                <w:bCs/>
              </w:rPr>
              <w:t>FFY 2022 Data</w:t>
            </w:r>
          </w:p>
        </w:tc>
        <w:tc>
          <w:tcPr>
            <w:tcW w:w="584" w:type="pct"/>
            <w:shd w:val="clear" w:color="auto" w:fill="auto"/>
            <w:vAlign w:val="bottom"/>
          </w:tcPr>
          <w:p w14:paraId="7E59D447" w14:textId="1C40557C" w:rsidR="00AA4F85" w:rsidRPr="00CC1061" w:rsidRDefault="00AA4F85" w:rsidP="00AA4F85">
            <w:pPr>
              <w:jc w:val="center"/>
              <w:rPr>
                <w:rFonts w:cs="Arial"/>
                <w:b/>
                <w:bCs/>
                <w:color w:val="000000" w:themeColor="text1"/>
                <w:szCs w:val="16"/>
              </w:rPr>
            </w:pPr>
            <w:r w:rsidRPr="00CC1061">
              <w:rPr>
                <w:b/>
                <w:bCs/>
              </w:rPr>
              <w:t>FFY 2023 Target</w:t>
            </w:r>
          </w:p>
        </w:tc>
        <w:tc>
          <w:tcPr>
            <w:tcW w:w="625" w:type="pct"/>
            <w:shd w:val="clear" w:color="auto" w:fill="auto"/>
            <w:vAlign w:val="bottom"/>
          </w:tcPr>
          <w:p w14:paraId="48E0A776" w14:textId="6B1C2CF8" w:rsidR="00AA4F85" w:rsidRPr="00CC1061" w:rsidRDefault="00AA4F85" w:rsidP="00AA4F85">
            <w:pPr>
              <w:jc w:val="center"/>
              <w:rPr>
                <w:rFonts w:cs="Arial"/>
                <w:b/>
                <w:bCs/>
                <w:color w:val="000000" w:themeColor="text1"/>
                <w:szCs w:val="16"/>
              </w:rPr>
            </w:pPr>
            <w:r w:rsidRPr="00CC1061">
              <w:rPr>
                <w:b/>
                <w:bCs/>
              </w:rPr>
              <w:t>FFY 2023 Data</w:t>
            </w:r>
          </w:p>
        </w:tc>
        <w:tc>
          <w:tcPr>
            <w:tcW w:w="459" w:type="pct"/>
            <w:shd w:val="clear" w:color="auto" w:fill="auto"/>
            <w:vAlign w:val="bottom"/>
          </w:tcPr>
          <w:p w14:paraId="1271E5C2" w14:textId="7C29A2B3"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622" w:type="pct"/>
            <w:shd w:val="clear" w:color="auto" w:fill="auto"/>
            <w:vAlign w:val="bottom"/>
          </w:tcPr>
          <w:p w14:paraId="57BB5D90" w14:textId="5C773F81"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060DACA6" w14:textId="4A0141DE" w:rsidTr="00AB0D6A">
        <w:trPr>
          <w:trHeight w:val="361"/>
        </w:trPr>
        <w:tc>
          <w:tcPr>
            <w:tcW w:w="999" w:type="pct"/>
            <w:shd w:val="clear" w:color="auto" w:fill="auto"/>
          </w:tcPr>
          <w:p w14:paraId="53F10B71" w14:textId="77777777" w:rsidR="00757D21" w:rsidRPr="00781112" w:rsidRDefault="00A86385" w:rsidP="00E526FC">
            <w:pPr>
              <w:rPr>
                <w:rFonts w:cs="Arial"/>
                <w:color w:val="000000" w:themeColor="text1"/>
                <w:szCs w:val="16"/>
              </w:rPr>
            </w:pPr>
            <w:r w:rsidRPr="00781112">
              <w:rPr>
                <w:rFonts w:cs="Arial"/>
                <w:color w:val="000000" w:themeColor="text1"/>
                <w:szCs w:val="16"/>
              </w:rPr>
              <w:t>C1. Of those children who entered or exited the program below age expectations in Outcome C, the percent who substantially increased their rate of growth by the time they turned 6 years of age or exited the program.</w:t>
            </w:r>
          </w:p>
          <w:p w14:paraId="3FD0705F" w14:textId="77777777" w:rsidR="00B31BA1" w:rsidRPr="00FE4611" w:rsidRDefault="00757D21" w:rsidP="00FE4611">
            <w:pPr>
              <w:spacing w:after="0"/>
              <w:rPr>
                <w:rFonts w:cs="Arial"/>
                <w:i/>
                <w:iCs/>
                <w:color w:val="C00000"/>
                <w:szCs w:val="16"/>
                <w:lang w:val="es-ES"/>
              </w:rPr>
            </w:pPr>
            <w:r w:rsidRPr="00FE4611">
              <w:rPr>
                <w:rFonts w:cs="Arial"/>
                <w:i/>
                <w:iCs/>
                <w:color w:val="C00000"/>
                <w:szCs w:val="16"/>
                <w:lang w:val="es-ES"/>
              </w:rPr>
              <w:t>Calculation:</w:t>
            </w:r>
          </w:p>
          <w:p w14:paraId="78844CD5" w14:textId="7FD59560" w:rsidR="00A86385" w:rsidRPr="00781112" w:rsidRDefault="00757D21" w:rsidP="00FE4611">
            <w:pPr>
              <w:spacing w:before="0"/>
              <w:rPr>
                <w:rFonts w:cs="Arial"/>
                <w:color w:val="000000" w:themeColor="text1"/>
                <w:szCs w:val="16"/>
              </w:rPr>
            </w:pPr>
            <w:r w:rsidRPr="00FE4611">
              <w:rPr>
                <w:rFonts w:cs="Arial"/>
                <w:i/>
                <w:iCs/>
                <w:color w:val="C00000"/>
                <w:szCs w:val="16"/>
                <w:lang w:val="es-ES"/>
              </w:rPr>
              <w:t>(c+d)/(a+b+c+d)</w:t>
            </w:r>
            <w:r w:rsidR="00A86385" w:rsidRPr="00781112">
              <w:rPr>
                <w:rFonts w:cs="Arial"/>
                <w:color w:val="000000" w:themeColor="text1"/>
                <w:szCs w:val="16"/>
              </w:rPr>
              <w:t xml:space="preserve"> </w:t>
            </w:r>
          </w:p>
        </w:tc>
        <w:tc>
          <w:tcPr>
            <w:tcW w:w="584" w:type="pct"/>
            <w:shd w:val="clear" w:color="auto" w:fill="auto"/>
            <w:vAlign w:val="center"/>
          </w:tcPr>
          <w:p w14:paraId="06847B86" w14:textId="57D8DF81" w:rsidR="00A86385" w:rsidRPr="00781112" w:rsidRDefault="002B7490" w:rsidP="00A018D4">
            <w:pPr>
              <w:jc w:val="center"/>
              <w:rPr>
                <w:rFonts w:cs="Arial"/>
                <w:color w:val="000000" w:themeColor="text1"/>
                <w:szCs w:val="16"/>
              </w:rPr>
            </w:pPr>
            <w:r w:rsidRPr="00781112">
              <w:rPr>
                <w:rFonts w:cs="Arial"/>
                <w:color w:val="000000" w:themeColor="text1"/>
                <w:szCs w:val="16"/>
              </w:rPr>
              <w:t>1,869</w:t>
            </w:r>
          </w:p>
        </w:tc>
        <w:tc>
          <w:tcPr>
            <w:tcW w:w="584" w:type="pct"/>
            <w:shd w:val="clear" w:color="auto" w:fill="auto"/>
            <w:vAlign w:val="center"/>
          </w:tcPr>
          <w:p w14:paraId="238365C6" w14:textId="3568431D" w:rsidR="00A86385" w:rsidRPr="00781112" w:rsidRDefault="002B7490" w:rsidP="00A018D4">
            <w:pPr>
              <w:jc w:val="center"/>
              <w:rPr>
                <w:rFonts w:cs="Arial"/>
                <w:color w:val="000000" w:themeColor="text1"/>
                <w:szCs w:val="16"/>
              </w:rPr>
            </w:pPr>
            <w:r w:rsidRPr="00781112">
              <w:rPr>
                <w:rFonts w:cs="Arial"/>
                <w:color w:val="000000" w:themeColor="text1"/>
                <w:szCs w:val="16"/>
              </w:rPr>
              <w:t>2,207</w:t>
            </w:r>
          </w:p>
        </w:tc>
        <w:tc>
          <w:tcPr>
            <w:tcW w:w="543" w:type="pct"/>
            <w:shd w:val="clear" w:color="auto" w:fill="auto"/>
            <w:vAlign w:val="center"/>
          </w:tcPr>
          <w:p w14:paraId="4D92698F" w14:textId="1CB8B6A4" w:rsidR="00A86385" w:rsidRPr="00781112" w:rsidRDefault="002B7490" w:rsidP="00A018D4">
            <w:pPr>
              <w:jc w:val="center"/>
              <w:rPr>
                <w:rFonts w:cs="Arial"/>
                <w:color w:val="000000" w:themeColor="text1"/>
                <w:szCs w:val="16"/>
              </w:rPr>
            </w:pPr>
            <w:r w:rsidRPr="00781112">
              <w:rPr>
                <w:rFonts w:cs="Arial"/>
                <w:color w:val="000000" w:themeColor="text1"/>
                <w:szCs w:val="16"/>
              </w:rPr>
              <w:t>83.48%</w:t>
            </w:r>
          </w:p>
        </w:tc>
        <w:tc>
          <w:tcPr>
            <w:tcW w:w="584" w:type="pct"/>
            <w:shd w:val="clear" w:color="auto" w:fill="auto"/>
            <w:vAlign w:val="center"/>
          </w:tcPr>
          <w:p w14:paraId="282346A8" w14:textId="638BF2E5" w:rsidR="00A86385" w:rsidRPr="00781112" w:rsidRDefault="002B7490" w:rsidP="00A018D4">
            <w:pPr>
              <w:jc w:val="center"/>
              <w:rPr>
                <w:rFonts w:cs="Arial"/>
                <w:color w:val="000000" w:themeColor="text1"/>
                <w:szCs w:val="16"/>
              </w:rPr>
            </w:pPr>
            <w:r w:rsidRPr="00781112">
              <w:rPr>
                <w:rFonts w:cs="Arial"/>
                <w:color w:val="000000" w:themeColor="text1"/>
                <w:szCs w:val="16"/>
              </w:rPr>
              <w:t>87.80%</w:t>
            </w:r>
          </w:p>
        </w:tc>
        <w:tc>
          <w:tcPr>
            <w:tcW w:w="625" w:type="pct"/>
            <w:shd w:val="clear" w:color="auto" w:fill="auto"/>
            <w:vAlign w:val="center"/>
          </w:tcPr>
          <w:p w14:paraId="02E42936" w14:textId="312E4B4A" w:rsidR="00A86385" w:rsidRPr="00781112" w:rsidRDefault="002B7490" w:rsidP="00A018D4">
            <w:pPr>
              <w:jc w:val="center"/>
              <w:rPr>
                <w:rFonts w:cs="Arial"/>
                <w:color w:val="000000" w:themeColor="text1"/>
                <w:szCs w:val="16"/>
              </w:rPr>
            </w:pPr>
            <w:r w:rsidRPr="00781112">
              <w:rPr>
                <w:rFonts w:cs="Arial"/>
                <w:color w:val="000000" w:themeColor="text1"/>
                <w:szCs w:val="16"/>
              </w:rPr>
              <w:t>84.69%</w:t>
            </w:r>
          </w:p>
        </w:tc>
        <w:tc>
          <w:tcPr>
            <w:tcW w:w="459" w:type="pct"/>
            <w:shd w:val="clear" w:color="auto" w:fill="auto"/>
            <w:vAlign w:val="center"/>
          </w:tcPr>
          <w:p w14:paraId="1B13A98E" w14:textId="3F3B6900"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2" w:type="pct"/>
            <w:shd w:val="clear" w:color="auto" w:fill="auto"/>
            <w:vAlign w:val="center"/>
          </w:tcPr>
          <w:p w14:paraId="2D48B259" w14:textId="3185C0C7"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1CBC0C6" w14:textId="58EECBDC" w:rsidTr="00AB0D6A">
        <w:trPr>
          <w:trHeight w:val="361"/>
        </w:trPr>
        <w:tc>
          <w:tcPr>
            <w:tcW w:w="999" w:type="pct"/>
            <w:shd w:val="clear" w:color="auto" w:fill="auto"/>
          </w:tcPr>
          <w:p w14:paraId="080A6F16" w14:textId="77777777" w:rsidR="00A86385" w:rsidRPr="00781112" w:rsidRDefault="00A86385" w:rsidP="00E526FC">
            <w:pPr>
              <w:rPr>
                <w:rFonts w:cs="Arial"/>
                <w:color w:val="000000" w:themeColor="text1"/>
                <w:szCs w:val="16"/>
              </w:rPr>
            </w:pPr>
            <w:r w:rsidRPr="00781112">
              <w:rPr>
                <w:rFonts w:cs="Arial"/>
                <w:color w:val="000000" w:themeColor="text1"/>
                <w:szCs w:val="16"/>
              </w:rPr>
              <w:t xml:space="preserve">C2. The percent of preschool children who were functioning within age expectations in Outcome C by the time they turned 6 years of age or exited the program. </w:t>
            </w:r>
          </w:p>
          <w:p w14:paraId="3AD697BE" w14:textId="13545BB0" w:rsidR="00757D21" w:rsidRPr="0075451F" w:rsidRDefault="00757D21" w:rsidP="00E526FC">
            <w:pPr>
              <w:rPr>
                <w:rFonts w:cs="Arial"/>
                <w:color w:val="000000" w:themeColor="text1"/>
                <w:szCs w:val="16"/>
                <w:lang w:val="es-ES"/>
              </w:rPr>
            </w:pPr>
            <w:r w:rsidRPr="0075451F">
              <w:rPr>
                <w:rFonts w:cs="Arial"/>
                <w:i/>
                <w:iCs/>
                <w:color w:val="C00000"/>
                <w:szCs w:val="16"/>
                <w:lang w:val="es-ES"/>
              </w:rPr>
              <w:t>Calculation: (d+e)/(a+b+c+d+e)</w:t>
            </w:r>
          </w:p>
        </w:tc>
        <w:tc>
          <w:tcPr>
            <w:tcW w:w="584" w:type="pct"/>
            <w:shd w:val="clear" w:color="auto" w:fill="auto"/>
            <w:vAlign w:val="center"/>
          </w:tcPr>
          <w:p w14:paraId="55881F07" w14:textId="24379895" w:rsidR="00E526FC" w:rsidRPr="00781112" w:rsidRDefault="002B7490" w:rsidP="00A018D4">
            <w:pPr>
              <w:jc w:val="center"/>
              <w:rPr>
                <w:rFonts w:cs="Arial"/>
                <w:color w:val="000000" w:themeColor="text1"/>
                <w:szCs w:val="16"/>
              </w:rPr>
            </w:pPr>
            <w:r w:rsidRPr="00781112">
              <w:rPr>
                <w:rFonts w:cs="Arial"/>
                <w:color w:val="000000" w:themeColor="text1"/>
                <w:szCs w:val="16"/>
              </w:rPr>
              <w:t>1,870</w:t>
            </w:r>
          </w:p>
        </w:tc>
        <w:tc>
          <w:tcPr>
            <w:tcW w:w="584" w:type="pct"/>
            <w:shd w:val="clear" w:color="auto" w:fill="auto"/>
            <w:vAlign w:val="center"/>
          </w:tcPr>
          <w:p w14:paraId="621B2290" w14:textId="0CB78FA1" w:rsidR="00E526FC" w:rsidRPr="00781112" w:rsidRDefault="002B7490" w:rsidP="00A018D4">
            <w:pPr>
              <w:jc w:val="center"/>
              <w:rPr>
                <w:rFonts w:cs="Arial"/>
                <w:color w:val="000000" w:themeColor="text1"/>
                <w:szCs w:val="16"/>
              </w:rPr>
            </w:pPr>
            <w:r w:rsidRPr="00781112">
              <w:rPr>
                <w:rFonts w:cs="Arial"/>
                <w:color w:val="000000" w:themeColor="text1"/>
                <w:szCs w:val="16"/>
              </w:rPr>
              <w:t>2,745</w:t>
            </w:r>
          </w:p>
        </w:tc>
        <w:tc>
          <w:tcPr>
            <w:tcW w:w="543" w:type="pct"/>
            <w:shd w:val="clear" w:color="auto" w:fill="auto"/>
            <w:vAlign w:val="center"/>
          </w:tcPr>
          <w:p w14:paraId="62DBFBFA" w14:textId="0CDB12CF" w:rsidR="00A86385" w:rsidRPr="00781112" w:rsidRDefault="002B7490" w:rsidP="00A018D4">
            <w:pPr>
              <w:jc w:val="center"/>
              <w:rPr>
                <w:rFonts w:cs="Arial"/>
                <w:color w:val="000000" w:themeColor="text1"/>
                <w:szCs w:val="16"/>
              </w:rPr>
            </w:pPr>
            <w:r w:rsidRPr="00781112">
              <w:rPr>
                <w:rFonts w:cs="Arial"/>
                <w:color w:val="000000" w:themeColor="text1"/>
                <w:szCs w:val="16"/>
              </w:rPr>
              <w:t>69.48%</w:t>
            </w:r>
          </w:p>
        </w:tc>
        <w:tc>
          <w:tcPr>
            <w:tcW w:w="584" w:type="pct"/>
            <w:shd w:val="clear" w:color="auto" w:fill="auto"/>
            <w:vAlign w:val="center"/>
          </w:tcPr>
          <w:p w14:paraId="63A1936F" w14:textId="04F440D6" w:rsidR="00A86385" w:rsidRPr="00781112" w:rsidRDefault="002B7490" w:rsidP="00A018D4">
            <w:pPr>
              <w:jc w:val="center"/>
              <w:rPr>
                <w:rFonts w:cs="Arial"/>
                <w:color w:val="000000" w:themeColor="text1"/>
                <w:szCs w:val="16"/>
              </w:rPr>
            </w:pPr>
            <w:r w:rsidRPr="00781112">
              <w:rPr>
                <w:rFonts w:cs="Arial"/>
                <w:color w:val="000000" w:themeColor="text1"/>
                <w:szCs w:val="16"/>
              </w:rPr>
              <w:t>75.20%</w:t>
            </w:r>
          </w:p>
        </w:tc>
        <w:tc>
          <w:tcPr>
            <w:tcW w:w="625" w:type="pct"/>
            <w:shd w:val="clear" w:color="auto" w:fill="auto"/>
            <w:vAlign w:val="center"/>
          </w:tcPr>
          <w:p w14:paraId="4609D20B" w14:textId="7D9B89C4" w:rsidR="00A86385" w:rsidRPr="00781112" w:rsidRDefault="002B7490" w:rsidP="00A018D4">
            <w:pPr>
              <w:jc w:val="center"/>
              <w:rPr>
                <w:rFonts w:cs="Arial"/>
                <w:color w:val="000000" w:themeColor="text1"/>
                <w:szCs w:val="16"/>
              </w:rPr>
            </w:pPr>
            <w:r w:rsidRPr="00781112">
              <w:rPr>
                <w:rFonts w:cs="Arial"/>
                <w:color w:val="000000" w:themeColor="text1"/>
                <w:szCs w:val="16"/>
              </w:rPr>
              <w:t>68.12%</w:t>
            </w:r>
          </w:p>
        </w:tc>
        <w:tc>
          <w:tcPr>
            <w:tcW w:w="459" w:type="pct"/>
            <w:shd w:val="clear" w:color="auto" w:fill="auto"/>
            <w:vAlign w:val="center"/>
          </w:tcPr>
          <w:p w14:paraId="5F56D20D" w14:textId="6A83021F"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2" w:type="pct"/>
            <w:shd w:val="clear" w:color="auto" w:fill="auto"/>
            <w:vAlign w:val="center"/>
          </w:tcPr>
          <w:p w14:paraId="5C0F945B" w14:textId="613A8501" w:rsidR="00A86385"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105291D6" w14:textId="2B417D4B" w:rsidR="009B37A2" w:rsidRPr="00781112" w:rsidRDefault="009B37A2" w:rsidP="00B3121C">
      <w:pPr>
        <w:rPr>
          <w:color w:val="000000" w:themeColor="text1"/>
        </w:rPr>
      </w:pPr>
    </w:p>
    <w:tbl>
      <w:tblPr>
        <w:tblStyle w:val="TableGrid"/>
        <w:tblW w:w="5000" w:type="pct"/>
        <w:shd w:val="clear" w:color="auto" w:fill="FBD4B4" w:themeFill="accent6" w:themeFillTint="66"/>
        <w:tblLook w:val="04A0" w:firstRow="1" w:lastRow="0" w:firstColumn="1" w:lastColumn="0" w:noHBand="0" w:noVBand="1"/>
        <w:tblCaption w:val="B07SLIPEXPLN"/>
      </w:tblPr>
      <w:tblGrid>
        <w:gridCol w:w="809"/>
        <w:gridCol w:w="9981"/>
      </w:tblGrid>
      <w:tr w:rsidR="005C29F8" w:rsidRPr="00781112" w14:paraId="61620C7C" w14:textId="77777777" w:rsidTr="003138F9">
        <w:trPr>
          <w:tblHeader/>
        </w:trPr>
        <w:tc>
          <w:tcPr>
            <w:tcW w:w="375" w:type="pct"/>
            <w:vAlign w:val="bottom"/>
          </w:tcPr>
          <w:p w14:paraId="0AA39E44" w14:textId="77777777" w:rsidR="005033CE" w:rsidRPr="00781112" w:rsidRDefault="005033CE" w:rsidP="004369B2">
            <w:pPr>
              <w:jc w:val="center"/>
              <w:rPr>
                <w:color w:val="000000" w:themeColor="text1"/>
              </w:rPr>
            </w:pPr>
            <w:r w:rsidRPr="00781112">
              <w:rPr>
                <w:b/>
                <w:color w:val="000000" w:themeColor="text1"/>
              </w:rPr>
              <w:t>Part</w:t>
            </w:r>
          </w:p>
        </w:tc>
        <w:tc>
          <w:tcPr>
            <w:tcW w:w="4625" w:type="pct"/>
            <w:shd w:val="clear" w:color="auto" w:fill="auto"/>
          </w:tcPr>
          <w:p w14:paraId="41FB5113" w14:textId="77777777" w:rsidR="005033CE" w:rsidRPr="00781112" w:rsidRDefault="005033CE" w:rsidP="004369B2">
            <w:pPr>
              <w:jc w:val="center"/>
              <w:rPr>
                <w:color w:val="000000" w:themeColor="text1"/>
              </w:rPr>
            </w:pPr>
            <w:r w:rsidRPr="00781112">
              <w:rPr>
                <w:b/>
                <w:color w:val="000000" w:themeColor="text1"/>
              </w:rPr>
              <w:t>Reasons for slippage, if applicable</w:t>
            </w:r>
          </w:p>
        </w:tc>
      </w:tr>
      <w:tr w:rsidR="005C29F8" w:rsidRPr="00781112" w14:paraId="2C5A03FF" w14:textId="77777777" w:rsidTr="003138F9">
        <w:tc>
          <w:tcPr>
            <w:tcW w:w="375" w:type="pct"/>
            <w:vAlign w:val="center"/>
          </w:tcPr>
          <w:p w14:paraId="1B7D7510" w14:textId="77777777" w:rsidR="005033CE" w:rsidRPr="00781112" w:rsidRDefault="005033CE" w:rsidP="004369B2">
            <w:pPr>
              <w:jc w:val="center"/>
              <w:rPr>
                <w:b/>
                <w:color w:val="000000" w:themeColor="text1"/>
              </w:rPr>
            </w:pPr>
            <w:r w:rsidRPr="00781112">
              <w:rPr>
                <w:b/>
                <w:color w:val="000000" w:themeColor="text1"/>
              </w:rPr>
              <w:t>A2</w:t>
            </w:r>
          </w:p>
        </w:tc>
        <w:tc>
          <w:tcPr>
            <w:tcW w:w="4625" w:type="pct"/>
            <w:shd w:val="clear" w:color="auto" w:fill="auto"/>
          </w:tcPr>
          <w:p w14:paraId="370094D2" w14:textId="465BB469" w:rsidR="005033CE" w:rsidRPr="00781112" w:rsidRDefault="008C5922" w:rsidP="00E21107">
            <w:pPr>
              <w:rPr>
                <w:rFonts w:cs="Arial"/>
                <w:color w:val="000000" w:themeColor="text1"/>
                <w:szCs w:val="16"/>
              </w:rPr>
            </w:pPr>
            <w:r w:rsidRPr="00781112">
              <w:rPr>
                <w:rFonts w:cs="Arial"/>
                <w:color w:val="000000" w:themeColor="text1"/>
                <w:szCs w:val="16"/>
              </w:rPr>
              <w:t>A significant number of children entered the program with complex needs in social-emotional development, which impeded their ability to achieve age-appropriate functioning levels. The increase in eligible 3- and 4-year-old children, coupled with more severe behavioral concerns reported by staff, necessitated specialized and intensive interventions. Despite making progress from the time they entered the program, these children did not reach the same level as their typically developing peers. Enhanced training on the Child Outcomes Summary (COS) process led to more valid and accurate reporting, potentially resulting in lower scores.</w:t>
            </w:r>
          </w:p>
        </w:tc>
      </w:tr>
      <w:tr w:rsidR="005C29F8" w:rsidRPr="00781112" w14:paraId="24215C17" w14:textId="77777777" w:rsidTr="003138F9">
        <w:tc>
          <w:tcPr>
            <w:tcW w:w="375" w:type="pct"/>
            <w:vAlign w:val="center"/>
          </w:tcPr>
          <w:p w14:paraId="3D5C0F58" w14:textId="77777777" w:rsidR="005033CE" w:rsidRPr="00781112" w:rsidRDefault="005033CE" w:rsidP="004369B2">
            <w:pPr>
              <w:jc w:val="center"/>
              <w:rPr>
                <w:b/>
                <w:color w:val="000000" w:themeColor="text1"/>
              </w:rPr>
            </w:pPr>
            <w:r w:rsidRPr="00781112">
              <w:rPr>
                <w:b/>
                <w:color w:val="000000" w:themeColor="text1"/>
              </w:rPr>
              <w:t>B2</w:t>
            </w:r>
          </w:p>
        </w:tc>
        <w:tc>
          <w:tcPr>
            <w:tcW w:w="4625" w:type="pct"/>
            <w:shd w:val="clear" w:color="auto" w:fill="auto"/>
          </w:tcPr>
          <w:p w14:paraId="0FC56E33" w14:textId="577E037B" w:rsidR="005033CE" w:rsidRPr="00781112" w:rsidRDefault="008C5922" w:rsidP="00E21107">
            <w:pPr>
              <w:rPr>
                <w:rFonts w:cs="Arial"/>
                <w:i/>
                <w:color w:val="000000" w:themeColor="text1"/>
                <w:szCs w:val="16"/>
              </w:rPr>
            </w:pPr>
            <w:r w:rsidRPr="00781112">
              <w:rPr>
                <w:rFonts w:cs="Arial"/>
                <w:color w:val="000000" w:themeColor="text1"/>
                <w:szCs w:val="16"/>
              </w:rPr>
              <w:t xml:space="preserve">Children entering the program often had intensive needs, particularly in areas such as language and communication, which affected their ability to function at age-appropriate levels. The number of eligible 3- and 4-year-old children increased, and staff observed more severe issues, requiring specialized and intensive interventions. Although progress was made from the time of entry into the program, it was not at the same level as their typically developing peers. Improved training on the Child Outcomes Summary (COS) process contributed to more accurate and valid reporting, which may have led to lower scores. However, through monitoring of the COS, it was found that itinerant speech therapists and contracted employees were not always completing the COS, especially for children who are speech-only walk-ins and then enter a classroom. </w:t>
            </w:r>
          </w:p>
        </w:tc>
      </w:tr>
      <w:tr w:rsidR="005C29F8" w:rsidRPr="00781112" w14:paraId="78369361" w14:textId="77777777" w:rsidTr="003138F9">
        <w:tc>
          <w:tcPr>
            <w:tcW w:w="375" w:type="pct"/>
            <w:vAlign w:val="center"/>
          </w:tcPr>
          <w:p w14:paraId="3CA58DE3" w14:textId="77777777" w:rsidR="005033CE" w:rsidRPr="00781112" w:rsidRDefault="005033CE" w:rsidP="004369B2">
            <w:pPr>
              <w:jc w:val="center"/>
              <w:rPr>
                <w:b/>
                <w:color w:val="000000" w:themeColor="text1"/>
              </w:rPr>
            </w:pPr>
            <w:r w:rsidRPr="00781112">
              <w:rPr>
                <w:b/>
                <w:color w:val="000000" w:themeColor="text1"/>
              </w:rPr>
              <w:t>C2</w:t>
            </w:r>
          </w:p>
        </w:tc>
        <w:tc>
          <w:tcPr>
            <w:tcW w:w="4625" w:type="pct"/>
            <w:shd w:val="clear" w:color="auto" w:fill="auto"/>
          </w:tcPr>
          <w:p w14:paraId="36410A58" w14:textId="082DFC3E" w:rsidR="005033CE" w:rsidRPr="00781112" w:rsidRDefault="005033CE" w:rsidP="00E21107">
            <w:pPr>
              <w:rPr>
                <w:rFonts w:cs="Arial"/>
                <w:color w:val="000000" w:themeColor="text1"/>
                <w:szCs w:val="16"/>
              </w:rPr>
            </w:pPr>
            <w:r w:rsidRPr="00781112">
              <w:rPr>
                <w:rFonts w:cs="Arial"/>
                <w:color w:val="000000" w:themeColor="text1"/>
                <w:szCs w:val="16"/>
              </w:rPr>
              <w:t>Many children entered the program with complex needs, particularly in self-regulation, which hindered their ability to achieve age-appropriate functioning levels. The number of eligible 3- and 4-year-old children increased, and staff reported more severe behavioral concerns, necessitating specialized and intensive interventions. Although children made progress from the time they entered the program, it was not to the same level as their typically developing peers. Improved training on the Child Outcomes Summary (COS) process contributed to more valid and accurate reporting, which may have resulted in lower scores.</w:t>
            </w:r>
          </w:p>
        </w:tc>
      </w:tr>
    </w:tbl>
    <w:p w14:paraId="399E6348" w14:textId="36EEF00B" w:rsidR="004B2C2D" w:rsidRPr="00781112" w:rsidRDefault="004B2C2D" w:rsidP="007D435F">
      <w:pPr>
        <w:rPr>
          <w:rFonts w:cs="Arial"/>
          <w:b/>
          <w:color w:val="000000" w:themeColor="text1"/>
          <w:szCs w:val="16"/>
        </w:rPr>
      </w:pPr>
      <w:r w:rsidRPr="00781112">
        <w:rPr>
          <w:rFonts w:cs="Arial"/>
          <w:b/>
          <w:color w:val="000000" w:themeColor="text1"/>
          <w:szCs w:val="16"/>
        </w:rPr>
        <w:t>Does the State include in the numerator and denominator only children who received special education and related services for at least six months during the age span of three through five years? (yes/no)</w:t>
      </w:r>
    </w:p>
    <w:p w14:paraId="35B562FF" w14:textId="1FE02532" w:rsidR="005033CE" w:rsidRPr="00781112" w:rsidRDefault="004B2C2D" w:rsidP="007D435F">
      <w:pPr>
        <w:rPr>
          <w:rFonts w:cs="Arial"/>
          <w:color w:val="000000" w:themeColor="text1"/>
          <w:szCs w:val="16"/>
        </w:rPr>
      </w:pPr>
      <w:r w:rsidRPr="00781112">
        <w:rPr>
          <w:rFonts w:cs="Arial"/>
          <w:color w:val="000000" w:themeColor="text1"/>
          <w:szCs w:val="16"/>
        </w:rPr>
        <w:t>YES</w:t>
      </w:r>
    </w:p>
    <w:tbl>
      <w:tblPr>
        <w:tblStyle w:val="TableGrid"/>
        <w:tblW w:w="5000" w:type="pct"/>
        <w:tblCellMar>
          <w:left w:w="115" w:type="dxa"/>
          <w:right w:w="115" w:type="dxa"/>
        </w:tblCellMar>
        <w:tblLook w:val="04A0" w:firstRow="1" w:lastRow="0" w:firstColumn="1" w:lastColumn="0" w:noHBand="0" w:noVBand="1"/>
        <w:tblCaption w:val="B07SAMPLINGUSED"/>
      </w:tblPr>
      <w:tblGrid>
        <w:gridCol w:w="8319"/>
        <w:gridCol w:w="2471"/>
      </w:tblGrid>
      <w:tr w:rsidR="005C29F8" w:rsidRPr="00781112" w14:paraId="0BD085FB" w14:textId="77777777" w:rsidTr="0033429D">
        <w:trPr>
          <w:tblHeader/>
        </w:trPr>
        <w:tc>
          <w:tcPr>
            <w:tcW w:w="3855" w:type="pct"/>
            <w:tcBorders>
              <w:top w:val="single" w:sz="4" w:space="0" w:color="auto"/>
              <w:left w:val="single" w:sz="4" w:space="0" w:color="auto"/>
            </w:tcBorders>
            <w:shd w:val="clear" w:color="auto" w:fill="auto"/>
          </w:tcPr>
          <w:p w14:paraId="5AC005B4" w14:textId="48902820" w:rsidR="00B461E1" w:rsidRPr="00781112" w:rsidRDefault="001D6B3B" w:rsidP="00A80FEB">
            <w:pPr>
              <w:rPr>
                <w:rFonts w:cs="Arial"/>
                <w:b/>
                <w:bCs/>
                <w:color w:val="000000" w:themeColor="text1"/>
                <w:szCs w:val="16"/>
              </w:rPr>
            </w:pPr>
            <w:r w:rsidRPr="00781112">
              <w:rPr>
                <w:rFonts w:cs="Arial"/>
                <w:b/>
                <w:bCs/>
                <w:color w:val="000000" w:themeColor="text1"/>
                <w:szCs w:val="16"/>
              </w:rPr>
              <w:t>Sampling Question</w:t>
            </w:r>
          </w:p>
        </w:tc>
        <w:tc>
          <w:tcPr>
            <w:tcW w:w="1145" w:type="pct"/>
            <w:tcBorders>
              <w:top w:val="single" w:sz="4" w:space="0" w:color="auto"/>
            </w:tcBorders>
            <w:shd w:val="clear" w:color="auto" w:fill="auto"/>
          </w:tcPr>
          <w:p w14:paraId="13A7BBAF" w14:textId="0D22562B" w:rsidR="00B461E1" w:rsidRPr="00781112" w:rsidRDefault="00B461E1"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58275667" w14:textId="54710A2D" w:rsidTr="000A4757">
        <w:tc>
          <w:tcPr>
            <w:tcW w:w="3855" w:type="pct"/>
            <w:shd w:val="clear" w:color="auto" w:fill="auto"/>
          </w:tcPr>
          <w:p w14:paraId="390A3887" w14:textId="13D1E4BC" w:rsidR="00B461E1" w:rsidRPr="00781112" w:rsidRDefault="00B461E1" w:rsidP="00A80FEB">
            <w:pPr>
              <w:rPr>
                <w:rFonts w:cs="Arial"/>
                <w:color w:val="000000" w:themeColor="text1"/>
                <w:szCs w:val="16"/>
              </w:rPr>
            </w:pPr>
            <w:r w:rsidRPr="00781112">
              <w:rPr>
                <w:rFonts w:cs="Arial"/>
                <w:color w:val="000000" w:themeColor="text1"/>
                <w:szCs w:val="16"/>
              </w:rPr>
              <w:t xml:space="preserve">Was sampling used? </w:t>
            </w:r>
          </w:p>
        </w:tc>
        <w:tc>
          <w:tcPr>
            <w:tcW w:w="1145" w:type="pct"/>
            <w:shd w:val="clear" w:color="auto" w:fill="auto"/>
          </w:tcPr>
          <w:p w14:paraId="057F9293" w14:textId="70B8666C" w:rsidR="00B461E1"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4EF81044" w14:textId="4100A680" w:rsidR="004B2C2D" w:rsidRPr="00781112" w:rsidRDefault="004B2C2D" w:rsidP="00A80FEB">
      <w:pPr>
        <w:rPr>
          <w:rFonts w:cs="Arial"/>
          <w:b/>
          <w:color w:val="000000" w:themeColor="text1"/>
          <w:szCs w:val="16"/>
        </w:rPr>
      </w:pPr>
      <w:r w:rsidRPr="00781112">
        <w:rPr>
          <w:rFonts w:cs="Arial"/>
          <w:b/>
          <w:color w:val="000000" w:themeColor="text1"/>
          <w:szCs w:val="16"/>
        </w:rPr>
        <w:t>Did you use the Early Childhood Outcomes Center (ECO) Child Outcomes Summary (COS) process? (yes/no)</w:t>
      </w:r>
    </w:p>
    <w:p w14:paraId="6C4FBAA6" w14:textId="1B6DC98D" w:rsidR="004B2C2D" w:rsidRPr="00781112" w:rsidRDefault="004B2C2D" w:rsidP="00A80FEB">
      <w:pPr>
        <w:rPr>
          <w:rFonts w:cs="Arial"/>
          <w:color w:val="000000" w:themeColor="text1"/>
          <w:szCs w:val="16"/>
        </w:rPr>
      </w:pPr>
      <w:r w:rsidRPr="00781112">
        <w:rPr>
          <w:rFonts w:cs="Arial"/>
          <w:color w:val="000000" w:themeColor="text1"/>
          <w:szCs w:val="16"/>
        </w:rPr>
        <w:t>YES</w:t>
      </w:r>
    </w:p>
    <w:p w14:paraId="015A471A" w14:textId="77777777" w:rsidR="004611C1" w:rsidRPr="00781112" w:rsidRDefault="004611C1" w:rsidP="00401663">
      <w:pPr>
        <w:rPr>
          <w:rFonts w:cs="Arial"/>
          <w:b/>
          <w:color w:val="000000" w:themeColor="text1"/>
          <w:szCs w:val="16"/>
        </w:rPr>
      </w:pPr>
      <w:bookmarkStart w:id="39" w:name="_Toc382082381"/>
      <w:bookmarkStart w:id="40" w:name="_Toc392159306"/>
      <w:r w:rsidRPr="00781112">
        <w:rPr>
          <w:rFonts w:cs="Arial"/>
          <w:b/>
          <w:color w:val="000000" w:themeColor="text1"/>
          <w:szCs w:val="16"/>
        </w:rPr>
        <w:t>List the instruments and procedures used to gather data for this indicator.</w:t>
      </w:r>
    </w:p>
    <w:p w14:paraId="48A16E25" w14:textId="1F2C8CE0" w:rsidR="009B37A2" w:rsidRPr="00781112" w:rsidRDefault="002B7490" w:rsidP="007D435F">
      <w:pPr>
        <w:rPr>
          <w:rFonts w:cs="Arial"/>
          <w:color w:val="000000" w:themeColor="text1"/>
          <w:szCs w:val="16"/>
        </w:rPr>
      </w:pPr>
      <w:r w:rsidRPr="00781112">
        <w:rPr>
          <w:rFonts w:cs="Arial"/>
          <w:color w:val="000000" w:themeColor="text1"/>
          <w:szCs w:val="16"/>
        </w:rPr>
        <w:t xml:space="preserve">West Virginia’s Child Outcomes Summary (COS) process is a part of the WV Early Learning Reporting System (ELRS). ELRS is the online platform where all Universal Pre-K program and child assessment data is maintained, including preschool special education and the COS process. The program </w:t>
      </w:r>
      <w:r w:rsidRPr="00781112">
        <w:rPr>
          <w:rFonts w:cs="Arial"/>
          <w:color w:val="000000" w:themeColor="text1"/>
          <w:szCs w:val="16"/>
        </w:rPr>
        <w:lastRenderedPageBreak/>
        <w:t xml:space="preserve">data includes school and classroom data, annual WV Universal Pre-k Health and Safety Checklist results, county collaborative early childhood core team information, and the COS data. Child assessment data include child assessment checkpoints and child outcome summary forms for special education reporting requirements. Through data input, the ELRS: Pre-k provides output reports for individual child support and instruction, classroom, school, and program continuous quality improvement planning. The system includes a process for students eligible for preschool special education that identifies that student with an Individual Education Program (IEP) and generates the online COS rating form. The primary assessments used in WV are broad-based and look at the whole child for functioning and being successful in the home, school, and community and to function at the level of their typically developing, same-age peers. </w:t>
      </w:r>
      <w:r w:rsidRPr="00781112">
        <w:rPr>
          <w:rFonts w:cs="Arial"/>
          <w:color w:val="000000" w:themeColor="text1"/>
          <w:szCs w:val="16"/>
        </w:rPr>
        <w:br/>
      </w:r>
      <w:r w:rsidRPr="00781112">
        <w:rPr>
          <w:rFonts w:cs="Arial"/>
          <w:color w:val="000000" w:themeColor="text1"/>
          <w:szCs w:val="16"/>
        </w:rPr>
        <w:br/>
        <w:t>The Early Learning Scale and other assessments are completed as part of the ongoing formative assessment process and entered into the Early Learning Reporting System three times per year during checkpoint periods. The COS Form is also completed as part of the process to assist with ongoing teacher-driven instruction for all students. The COS Form is completed after it is determined that the child qualifies for special education. The team members for Eligibility and/or the IEP team can review all the information that was presented to determine the initial ratings. It is also recommended that a team representative review this information with the preschool receiving teacher if they were not at the meeting to enter the summary form information into the ELRS. The ratings should be completed by a team of individuals, including the parent(s), who have experience and/or knowledge of the students' functioning across a variety of settings and situations. The information available to the team can include but need not be limited to: age reference assessments (standardized, norm-referenced); observations; and, portfolios, service provider notes, interviews, and/or information from other partners such as WV Birth to Three (WVBTT) and/or related service personnel. To complete the ratings the team should use multiple sources of information which are typically collected as part of the IEP planning for a student. The purpose is to gather the information to get an overall picture of how the child functions across a variety of settings in their life. The initial rating is completed at entry, and the exit rating is completed before the student exits the program. The exit data for the COS process is determined as that child exits early childhood preschool special education and/or transitions into kindergarten or if the child moves out of the state and/or enrolls in a private school.</w:t>
      </w:r>
    </w:p>
    <w:p w14:paraId="393ECB24"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215673F" w14:textId="7230C48B" w:rsidR="009B37A2" w:rsidRPr="00781112" w:rsidRDefault="002B7490" w:rsidP="007D435F">
      <w:pPr>
        <w:rPr>
          <w:rFonts w:cs="Arial"/>
          <w:color w:val="000000" w:themeColor="text1"/>
          <w:szCs w:val="16"/>
        </w:rPr>
      </w:pPr>
      <w:r w:rsidRPr="00781112">
        <w:rPr>
          <w:rFonts w:cs="Arial"/>
          <w:color w:val="000000" w:themeColor="text1"/>
          <w:szCs w:val="16"/>
        </w:rPr>
        <w:t>Achieving age-appropriate functioning in these three outcomes (i.e., 7A2, 7B2, and 7C2) can be particularly challenging for children with disabilities. While reaching these benchmarks is important, it is crucial to recognize the significant growth these children are making, even if they do not yet meet the expectations of their same-age peers. To address these areas of slippage, the program is in the process of hiring four new early childhood positive behavior support coaches to assist staff, and LEAs have been given additional guidance and support to provide training to all itinerant and contracted pre-k staff to ensure each staff member who works with preschool children with disabilities is completing the COS as required.</w:t>
      </w:r>
    </w:p>
    <w:p w14:paraId="729220FB" w14:textId="2C05A12E" w:rsidR="000A2C83" w:rsidRPr="00781112" w:rsidRDefault="00C96236" w:rsidP="008645AD">
      <w:pPr>
        <w:pStyle w:val="Heading2"/>
      </w:pPr>
      <w:r w:rsidRPr="00781112">
        <w:t>7</w:t>
      </w:r>
      <w:r w:rsidR="00444A9D" w:rsidRPr="00781112">
        <w:t xml:space="preserve"> </w:t>
      </w:r>
      <w:r w:rsidRPr="00781112">
        <w:t xml:space="preserve">- </w:t>
      </w:r>
      <w:r w:rsidR="000A2C83" w:rsidRPr="00781112">
        <w:t>Prior FFY Required Actions</w:t>
      </w:r>
    </w:p>
    <w:p w14:paraId="6B082508" w14:textId="28E3454C" w:rsidR="000A2C83" w:rsidRPr="00781112" w:rsidRDefault="002B7490" w:rsidP="000A2C83">
      <w:pPr>
        <w:rPr>
          <w:rFonts w:cs="Arial"/>
          <w:color w:val="000000" w:themeColor="text1"/>
          <w:szCs w:val="16"/>
        </w:rPr>
      </w:pPr>
      <w:r w:rsidRPr="00781112">
        <w:rPr>
          <w:rFonts w:cs="Arial"/>
          <w:color w:val="000000" w:themeColor="text1"/>
          <w:szCs w:val="16"/>
        </w:rPr>
        <w:t>None</w:t>
      </w:r>
    </w:p>
    <w:p w14:paraId="342951AE" w14:textId="530DEEBF" w:rsidR="00B1280F" w:rsidRPr="00781112" w:rsidRDefault="00B1280F" w:rsidP="000A2C83">
      <w:pPr>
        <w:rPr>
          <w:rFonts w:cs="Arial"/>
          <w:color w:val="000000" w:themeColor="text1"/>
          <w:szCs w:val="16"/>
        </w:rPr>
      </w:pPr>
    </w:p>
    <w:p w14:paraId="311D27F5" w14:textId="36383184"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4844645A" w14:textId="6F051FE6" w:rsidR="00221EC9" w:rsidRPr="00781112" w:rsidRDefault="00C96236" w:rsidP="008645AD">
      <w:pPr>
        <w:pStyle w:val="Heading2"/>
      </w:pPr>
      <w:r w:rsidRPr="00781112">
        <w:t>7 - OSEP Response</w:t>
      </w:r>
    </w:p>
    <w:p w14:paraId="408E3220" w14:textId="3BF99ADA" w:rsidR="009B37A2" w:rsidRPr="00781112" w:rsidRDefault="009B37A2" w:rsidP="001F692C">
      <w:pPr>
        <w:rPr>
          <w:rFonts w:cs="Arial"/>
          <w:color w:val="000000" w:themeColor="text1"/>
          <w:szCs w:val="16"/>
        </w:rPr>
      </w:pPr>
    </w:p>
    <w:p w14:paraId="50C7CF43" w14:textId="32A5B19E" w:rsidR="00221EC9" w:rsidRPr="00781112" w:rsidRDefault="00C96236" w:rsidP="008645AD">
      <w:pPr>
        <w:pStyle w:val="Heading2"/>
      </w:pPr>
      <w:r w:rsidRPr="00781112">
        <w:t>7 - Required Actions</w:t>
      </w:r>
    </w:p>
    <w:p w14:paraId="4FFE0FC1" w14:textId="3673A3A2" w:rsidR="00415684" w:rsidRDefault="00415684" w:rsidP="006D5DC4">
      <w:pPr>
        <w:rPr>
          <w:rFonts w:cs="Arial"/>
          <w:color w:val="000000" w:themeColor="text1"/>
          <w:szCs w:val="16"/>
        </w:rPr>
      </w:pPr>
    </w:p>
    <w:p w14:paraId="0D594D0E" w14:textId="77777777" w:rsidR="00415684" w:rsidRDefault="00415684">
      <w:pPr>
        <w:spacing w:before="0" w:after="200" w:line="276" w:lineRule="auto"/>
        <w:rPr>
          <w:rFonts w:cs="Arial"/>
          <w:color w:val="000000" w:themeColor="text1"/>
          <w:szCs w:val="16"/>
        </w:rPr>
      </w:pPr>
      <w:r>
        <w:rPr>
          <w:rFonts w:cs="Arial"/>
          <w:color w:val="000000" w:themeColor="text1"/>
          <w:szCs w:val="16"/>
        </w:rPr>
        <w:br w:type="page"/>
      </w:r>
    </w:p>
    <w:p w14:paraId="3BCCFF07" w14:textId="13DF3424" w:rsidR="00B3462E" w:rsidRPr="00781112" w:rsidRDefault="00B3462E" w:rsidP="000444E2">
      <w:pPr>
        <w:pStyle w:val="Heading1"/>
        <w:rPr>
          <w:color w:val="000000" w:themeColor="text1"/>
          <w:sz w:val="22"/>
        </w:rPr>
      </w:pPr>
      <w:r w:rsidRPr="00781112">
        <w:rPr>
          <w:color w:val="000000" w:themeColor="text1"/>
          <w:sz w:val="22"/>
        </w:rPr>
        <w:lastRenderedPageBreak/>
        <w:t>Indicator 8: Parent involvement</w:t>
      </w:r>
      <w:bookmarkEnd w:id="39"/>
      <w:bookmarkEnd w:id="40"/>
    </w:p>
    <w:p w14:paraId="66FBCA03" w14:textId="744F6FA8" w:rsidR="00B654C1" w:rsidRPr="002C274F" w:rsidRDefault="00B654C1" w:rsidP="002C274F">
      <w:pPr>
        <w:rPr>
          <w:b/>
          <w:bCs/>
          <w:sz w:val="20"/>
          <w:szCs w:val="20"/>
        </w:rPr>
      </w:pPr>
      <w:bookmarkStart w:id="41" w:name="_Toc392159307"/>
      <w:r w:rsidRPr="002C274F">
        <w:rPr>
          <w:b/>
          <w:bCs/>
          <w:sz w:val="20"/>
          <w:szCs w:val="20"/>
        </w:rPr>
        <w:t>Instructions and Measurement</w:t>
      </w:r>
    </w:p>
    <w:p w14:paraId="42608CC1" w14:textId="182D7AD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090EFEAD" w14:textId="77777777" w:rsidR="009C613A" w:rsidRPr="00781112" w:rsidRDefault="00CC634E" w:rsidP="006424B2">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parents with a child receiving special education services who report that schools facilitated parent involvement as a means of improving services and results for children with disabilities.</w:t>
      </w:r>
    </w:p>
    <w:p w14:paraId="0D04A075" w14:textId="3BF2EC6D" w:rsidR="00CC634E" w:rsidRPr="00781112" w:rsidRDefault="00CC634E" w:rsidP="006424B2">
      <w:pPr>
        <w:rPr>
          <w:rFonts w:cs="Arial"/>
          <w:color w:val="000000" w:themeColor="text1"/>
          <w:szCs w:val="16"/>
        </w:rPr>
      </w:pPr>
      <w:r w:rsidRPr="00781112">
        <w:rPr>
          <w:rFonts w:cs="Arial"/>
          <w:color w:val="000000" w:themeColor="text1"/>
          <w:szCs w:val="16"/>
        </w:rPr>
        <w:t>(20 U.S.C. 1416(a)(3)(A))</w:t>
      </w:r>
    </w:p>
    <w:p w14:paraId="59F98396" w14:textId="77777777" w:rsidR="009C613A" w:rsidRPr="00781112" w:rsidRDefault="009C613A" w:rsidP="004369B2">
      <w:pPr>
        <w:rPr>
          <w:color w:val="000000" w:themeColor="text1"/>
        </w:rPr>
      </w:pPr>
      <w:r w:rsidRPr="00781112">
        <w:rPr>
          <w:b/>
          <w:color w:val="000000" w:themeColor="text1"/>
        </w:rPr>
        <w:t>Data Source</w:t>
      </w:r>
    </w:p>
    <w:p w14:paraId="543A03AF" w14:textId="13B8F95C" w:rsidR="009C613A" w:rsidRPr="00781112" w:rsidRDefault="009C613A" w:rsidP="00286BDF">
      <w:pPr>
        <w:rPr>
          <w:rFonts w:cs="Arial"/>
          <w:color w:val="000000" w:themeColor="text1"/>
          <w:szCs w:val="16"/>
        </w:rPr>
      </w:pPr>
      <w:r w:rsidRPr="00781112">
        <w:rPr>
          <w:rFonts w:cs="Arial"/>
          <w:color w:val="000000" w:themeColor="text1"/>
          <w:szCs w:val="16"/>
        </w:rPr>
        <w:t>State selected data source.</w:t>
      </w:r>
    </w:p>
    <w:p w14:paraId="50AC2385" w14:textId="77777777" w:rsidR="009C613A" w:rsidRPr="00781112" w:rsidRDefault="009C613A" w:rsidP="004369B2">
      <w:pPr>
        <w:rPr>
          <w:color w:val="000000" w:themeColor="text1"/>
        </w:rPr>
      </w:pPr>
      <w:r w:rsidRPr="00781112">
        <w:rPr>
          <w:b/>
          <w:color w:val="000000" w:themeColor="text1"/>
        </w:rPr>
        <w:t>Measurement</w:t>
      </w:r>
    </w:p>
    <w:p w14:paraId="5E1A0E28" w14:textId="46D6A5D9" w:rsidR="009C613A" w:rsidRPr="00781112" w:rsidRDefault="009C613A" w:rsidP="00286BDF">
      <w:pPr>
        <w:rPr>
          <w:rFonts w:cs="Arial"/>
          <w:color w:val="000000" w:themeColor="text1"/>
          <w:szCs w:val="16"/>
        </w:rPr>
      </w:pPr>
      <w:r w:rsidRPr="00781112">
        <w:rPr>
          <w:rFonts w:cs="Arial"/>
          <w:color w:val="000000" w:themeColor="text1"/>
          <w:szCs w:val="16"/>
        </w:rPr>
        <w:t>Percent</w:t>
      </w:r>
      <w:r w:rsidRPr="00781112">
        <w:rPr>
          <w:rFonts w:cs="Arial"/>
          <w:color w:val="000000" w:themeColor="text1"/>
          <w:szCs w:val="16"/>
          <w:shd w:val="clear" w:color="auto" w:fill="FFFFFF"/>
        </w:rPr>
        <w:t xml:space="preserve"> = </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of respondent parents who report schools facilitated parent involvement as a means of improving services and results for children with disabilities) divided by the (total # of respondent parents of children with disabilities)</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289E0D18" w14:textId="5D04C177" w:rsidR="009C613A" w:rsidRPr="00781112" w:rsidRDefault="009C613A" w:rsidP="004369B2">
      <w:pPr>
        <w:rPr>
          <w:color w:val="000000" w:themeColor="text1"/>
        </w:rPr>
      </w:pPr>
      <w:r w:rsidRPr="00781112">
        <w:rPr>
          <w:b/>
          <w:color w:val="000000" w:themeColor="text1"/>
        </w:rPr>
        <w:t>Instructions</w:t>
      </w:r>
    </w:p>
    <w:p w14:paraId="60A1EAFB" w14:textId="4B89C130" w:rsidR="002D7AD6" w:rsidRPr="00781112" w:rsidRDefault="002D7AD6" w:rsidP="00286BDF">
      <w:pPr>
        <w:rPr>
          <w:rFonts w:cs="Arial"/>
          <w:color w:val="000000" w:themeColor="text1"/>
          <w:szCs w:val="16"/>
        </w:rPr>
      </w:pPr>
      <w:r w:rsidRPr="00781112">
        <w:rPr>
          <w:rFonts w:cs="Arial"/>
          <w:i/>
          <w:iCs/>
          <w:color w:val="000000" w:themeColor="text1"/>
          <w:szCs w:val="16"/>
        </w:rPr>
        <w:t>Sampling </w:t>
      </w:r>
      <w:r w:rsidRPr="00781112">
        <w:rPr>
          <w:rFonts w:cs="Arial"/>
          <w:b/>
          <w:bCs/>
          <w:i/>
          <w:iCs/>
          <w:color w:val="000000" w:themeColor="text1"/>
          <w:szCs w:val="16"/>
        </w:rPr>
        <w:t>of parents from whom response is requested</w:t>
      </w:r>
      <w:r w:rsidRPr="00781112">
        <w:rPr>
          <w:rFonts w:cs="Arial"/>
          <w:i/>
          <w:iCs/>
          <w:color w:val="000000" w:themeColor="text1"/>
          <w:szCs w:val="16"/>
        </w:rPr>
        <w:t> is allowed.</w:t>
      </w:r>
      <w:r w:rsidRPr="00781112">
        <w:rPr>
          <w:rFonts w:cs="Arial"/>
          <w:color w:val="000000" w:themeColor="text1"/>
          <w:szCs w:val="16"/>
        </w:rPr>
        <w:t xml:space="preserve"> </w:t>
      </w:r>
      <w:r w:rsidRPr="00781112">
        <w:rPr>
          <w:rFonts w:cs="Arial"/>
          <w:i/>
          <w:iCs/>
          <w:color w:val="000000" w:themeColor="text1"/>
          <w:szCs w:val="16"/>
        </w:rPr>
        <w:t>When sampling is used, submit a description of the sampling methodology outlining how the design will yield valid and reliable estimates. (See </w:t>
      </w:r>
      <w:r w:rsidRPr="00781112">
        <w:rPr>
          <w:rFonts w:cs="Arial"/>
          <w:i/>
          <w:iCs/>
          <w:color w:val="000000" w:themeColor="text1"/>
          <w:szCs w:val="16"/>
          <w:u w:val="single"/>
        </w:rPr>
        <w:t>General Instructions</w:t>
      </w:r>
      <w:r w:rsidRPr="00781112">
        <w:rPr>
          <w:rFonts w:cs="Arial"/>
          <w:i/>
          <w:iCs/>
          <w:color w:val="000000" w:themeColor="text1"/>
          <w:szCs w:val="16"/>
        </w:rPr>
        <w:t xml:space="preserve"> on page </w:t>
      </w:r>
      <w:r w:rsidR="006170BD">
        <w:rPr>
          <w:rFonts w:cs="Arial"/>
          <w:i/>
          <w:iCs/>
          <w:color w:val="000000" w:themeColor="text1"/>
          <w:szCs w:val="16"/>
        </w:rPr>
        <w:t>3</w:t>
      </w:r>
      <w:r w:rsidRPr="00781112">
        <w:rPr>
          <w:rFonts w:cs="Arial"/>
          <w:i/>
          <w:iCs/>
          <w:color w:val="000000" w:themeColor="text1"/>
          <w:szCs w:val="16"/>
        </w:rPr>
        <w:t xml:space="preserve"> for additional instructions on sampling.)</w:t>
      </w:r>
    </w:p>
    <w:p w14:paraId="3EC08FBA" w14:textId="77777777" w:rsidR="002D7AD6" w:rsidRPr="00781112" w:rsidRDefault="002D7AD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7C56A5AA" w14:textId="77777777" w:rsidR="002D7AD6" w:rsidRPr="00781112" w:rsidRDefault="002D7AD6" w:rsidP="00286BDF">
      <w:pPr>
        <w:rPr>
          <w:rFonts w:cs="Arial"/>
          <w:color w:val="000000" w:themeColor="text1"/>
          <w:szCs w:val="16"/>
        </w:rPr>
      </w:pPr>
      <w:r w:rsidRPr="00781112">
        <w:rPr>
          <w:rFonts w:cs="Arial"/>
          <w:color w:val="000000" w:themeColor="text1"/>
          <w:szCs w:val="16"/>
        </w:rPr>
        <w:t>Provide the actual numbers used in the calculation.</w:t>
      </w:r>
    </w:p>
    <w:p w14:paraId="231E5575" w14:textId="77777777" w:rsidR="002D7AD6" w:rsidRPr="00781112" w:rsidRDefault="002D7AD6" w:rsidP="00286BDF">
      <w:pPr>
        <w:rPr>
          <w:rFonts w:cs="Arial"/>
          <w:color w:val="000000" w:themeColor="text1"/>
          <w:szCs w:val="16"/>
        </w:rPr>
      </w:pPr>
      <w:r w:rsidRPr="00781112">
        <w:rPr>
          <w:rFonts w:cs="Arial"/>
          <w:color w:val="000000" w:themeColor="text1"/>
          <w:szCs w:val="16"/>
        </w:rPr>
        <w:t>If the State is using a separate data collection methodology for preschool children, the State must provide separate baseline data, targets, and actual target data or discuss the procedures used to combine data from school age and preschool data collection methodologies in a manner that is valid and reliable.</w:t>
      </w:r>
    </w:p>
    <w:p w14:paraId="5DC13627" w14:textId="77777777" w:rsidR="002D7AD6" w:rsidRPr="00781112" w:rsidRDefault="002D7AD6" w:rsidP="00286BDF">
      <w:pPr>
        <w:rPr>
          <w:rFonts w:cs="Arial"/>
          <w:color w:val="000000" w:themeColor="text1"/>
          <w:szCs w:val="16"/>
        </w:rPr>
      </w:pPr>
      <w:r w:rsidRPr="00781112">
        <w:rPr>
          <w:rFonts w:cs="Arial"/>
          <w:color w:val="000000" w:themeColor="text1"/>
          <w:szCs w:val="16"/>
        </w:rPr>
        <w:t>While a survey is not required for this indicator, a State using a survey must submit a copy of any new or revised survey with its SPP/APR.</w:t>
      </w:r>
    </w:p>
    <w:p w14:paraId="75233790" w14:textId="6A11D847" w:rsidR="004A6352" w:rsidRPr="00781112" w:rsidRDefault="002D7AD6" w:rsidP="004A6352">
      <w:pPr>
        <w:rPr>
          <w:rFonts w:cs="Arial"/>
          <w:szCs w:val="16"/>
        </w:rPr>
      </w:pPr>
      <w:r w:rsidRPr="00781112">
        <w:rPr>
          <w:rFonts w:cs="Arial"/>
          <w:color w:val="000000" w:themeColor="text1"/>
          <w:szCs w:val="16"/>
        </w:rPr>
        <w:t xml:space="preserve">Report the number of parents to whom the surveys were distributed </w:t>
      </w:r>
      <w:r w:rsidR="004A6352" w:rsidRPr="00781112">
        <w:rPr>
          <w:rFonts w:cs="Arial"/>
          <w:szCs w:val="16"/>
        </w:rPr>
        <w:t>and the number of respondent parents. The survey response rate is automatically calculated using the submitted data.</w:t>
      </w:r>
    </w:p>
    <w:p w14:paraId="4699B320" w14:textId="09E101F0" w:rsidR="009C74BD" w:rsidRDefault="009C74BD" w:rsidP="009C74BD">
      <w:pPr>
        <w:rPr>
          <w:rFonts w:cs="Arial"/>
          <w:szCs w:val="16"/>
        </w:rPr>
      </w:pPr>
      <w:r w:rsidRPr="00781112">
        <w:rPr>
          <w:rFonts w:cs="Arial"/>
          <w:szCs w:val="16"/>
        </w:rPr>
        <w:t>States must compare the response rate for the reporting year to the response rate for the previous year (e.g., in the FFY 2023 SPP/APR, compare the FFY 2023 response rate to the FFY 2022 response rate) and describe strategies that will be implemented which are expected to increase the response rate, particularly for those groups that are underrepresented.</w:t>
      </w:r>
    </w:p>
    <w:p w14:paraId="3BB52D43" w14:textId="77777777" w:rsidR="004D1797" w:rsidRPr="00BA3DBE" w:rsidRDefault="004D1797" w:rsidP="00BA3DBE">
      <w:pPr>
        <w:rPr>
          <w:rFonts w:cs="Arial"/>
          <w:color w:val="000000" w:themeColor="text1"/>
          <w:szCs w:val="16"/>
        </w:rPr>
      </w:pPr>
      <w:bookmarkStart w:id="42" w:name="_Hlk116647902"/>
      <w:r w:rsidRPr="00BA3DBE">
        <w:rPr>
          <w:rFonts w:cs="Arial"/>
          <w:color w:val="000000" w:themeColor="text1"/>
          <w:szCs w:val="16"/>
        </w:rPr>
        <w:t>The State must also analyze the response rate to identify potential nonresponse bias and take steps to reduce any identified bias and promote response from a broad cross-section of parents of children with disabilities.</w:t>
      </w:r>
    </w:p>
    <w:p w14:paraId="05793710" w14:textId="6D08B911" w:rsidR="006170BD" w:rsidRDefault="004D1797" w:rsidP="009C74BD">
      <w:r>
        <w:t>I</w:t>
      </w:r>
      <w:r w:rsidR="00DF5951">
        <w:t xml:space="preserve">nclude in the State’s analysis the extent to which the demographics of the children for whom parents responded are representative of the demographics of children receiving special education services. States must consider race/ethnicity. In addition, the State’s analysis must also include at least one of the following demographics: age of the student, disability category, gender, geographic location, and/or another demographic category approved through the stakeholder input process. </w:t>
      </w:r>
    </w:p>
    <w:p w14:paraId="4A1F1567" w14:textId="62D0F5F9" w:rsidR="00DF5951" w:rsidRDefault="00DF5951" w:rsidP="009C74BD">
      <w:r>
        <w:t xml:space="preserve">States must describe the metric used to determine representativeness (e.g., +/- 3% discrepancy in the proportion of responders compared to target group). </w:t>
      </w:r>
    </w:p>
    <w:p w14:paraId="64177BBB" w14:textId="77777777" w:rsidR="00DF5951" w:rsidRDefault="00DF5951" w:rsidP="009C74BD">
      <w:r>
        <w:t xml:space="preserve">If the analysis shows that the demographics of the children for whom parents responding are not representative of the demographics of children receiving special education services in the State, describe the strategies that the State will use to ensure that in the future the response data are representative of those demographics. In identifying such strategies, the State should consider factors such as how the State distributed the survey to parents (e.g., by mail, by e-mail, on-line, by telephone, in-person through school personnel), and how responses were collected. </w:t>
      </w:r>
    </w:p>
    <w:p w14:paraId="4D74BEFB" w14:textId="7AC91DF2" w:rsidR="00DF5951" w:rsidRPr="00781112" w:rsidRDefault="00DF5951" w:rsidP="009C74BD">
      <w:pPr>
        <w:rPr>
          <w:rFonts w:cs="Arial"/>
          <w:szCs w:val="16"/>
        </w:rPr>
      </w:pPr>
      <w:r>
        <w:t>States are encouraged to work in collaboration with their OSEP-funded parent centers in collecting data.</w:t>
      </w:r>
    </w:p>
    <w:bookmarkEnd w:id="42"/>
    <w:p w14:paraId="2EF00B98" w14:textId="1D44A6D0" w:rsidR="000B547A" w:rsidRPr="00781112" w:rsidRDefault="00752BAF" w:rsidP="008645AD">
      <w:pPr>
        <w:pStyle w:val="Heading2"/>
      </w:pPr>
      <w:r w:rsidRPr="00781112">
        <w:t>8</w:t>
      </w:r>
      <w:r w:rsidR="001F6BAA" w:rsidRPr="00781112">
        <w:t xml:space="preserve"> </w:t>
      </w:r>
      <w:r w:rsidRPr="00781112">
        <w:t xml:space="preserve">- </w:t>
      </w:r>
      <w:r w:rsidR="000B547A" w:rsidRPr="00781112">
        <w:t>Indicator Data</w:t>
      </w:r>
    </w:p>
    <w:tbl>
      <w:tblPr>
        <w:tblStyle w:val="TableGrid"/>
        <w:tblW w:w="10800" w:type="dxa"/>
        <w:tblLook w:val="04A0" w:firstRow="1" w:lastRow="0" w:firstColumn="1" w:lastColumn="0" w:noHBand="0" w:noVBand="1"/>
        <w:tblCaption w:val="B08INDDATA"/>
      </w:tblPr>
      <w:tblGrid>
        <w:gridCol w:w="8324"/>
        <w:gridCol w:w="2476"/>
      </w:tblGrid>
      <w:tr w:rsidR="005C29F8" w:rsidRPr="00781112" w14:paraId="74873645" w14:textId="77777777" w:rsidTr="0033429D">
        <w:trPr>
          <w:tblHeader/>
        </w:trPr>
        <w:tc>
          <w:tcPr>
            <w:tcW w:w="8324" w:type="dxa"/>
          </w:tcPr>
          <w:p w14:paraId="08995901" w14:textId="6A8EBD47" w:rsidR="000B547A" w:rsidRPr="00781112" w:rsidRDefault="002E111A" w:rsidP="00286BDF">
            <w:pPr>
              <w:rPr>
                <w:rFonts w:cs="Arial"/>
                <w:b/>
                <w:bCs/>
                <w:color w:val="000000" w:themeColor="text1"/>
                <w:szCs w:val="16"/>
              </w:rPr>
            </w:pPr>
            <w:r w:rsidRPr="00781112">
              <w:rPr>
                <w:rFonts w:cs="Arial"/>
                <w:b/>
                <w:bCs/>
                <w:color w:val="000000" w:themeColor="text1"/>
                <w:szCs w:val="16"/>
              </w:rPr>
              <w:t>Question</w:t>
            </w:r>
          </w:p>
        </w:tc>
        <w:tc>
          <w:tcPr>
            <w:tcW w:w="2476" w:type="dxa"/>
          </w:tcPr>
          <w:p w14:paraId="7DF826E5" w14:textId="55897261" w:rsidR="000B547A" w:rsidRPr="00781112" w:rsidRDefault="000B547A" w:rsidP="001011BB">
            <w:pPr>
              <w:jc w:val="center"/>
              <w:rPr>
                <w:rFonts w:cs="Arial"/>
                <w:b/>
                <w:color w:val="000000" w:themeColor="text1"/>
                <w:szCs w:val="16"/>
              </w:rPr>
            </w:pPr>
            <w:r w:rsidRPr="00781112">
              <w:rPr>
                <w:rFonts w:cs="Arial"/>
                <w:b/>
                <w:color w:val="000000" w:themeColor="text1"/>
                <w:szCs w:val="16"/>
              </w:rPr>
              <w:t xml:space="preserve">Yes / No </w:t>
            </w:r>
          </w:p>
        </w:tc>
      </w:tr>
      <w:tr w:rsidR="005C29F8" w:rsidRPr="00781112" w14:paraId="1461C216" w14:textId="7FAEFB03" w:rsidTr="00487CBD">
        <w:trPr>
          <w:trHeight w:val="215"/>
        </w:trPr>
        <w:tc>
          <w:tcPr>
            <w:tcW w:w="8324" w:type="dxa"/>
          </w:tcPr>
          <w:p w14:paraId="443084C1" w14:textId="2A55FAF5" w:rsidR="000B547A" w:rsidRPr="00781112" w:rsidRDefault="000B547A" w:rsidP="00286BDF">
            <w:pPr>
              <w:rPr>
                <w:rFonts w:cs="Arial"/>
                <w:color w:val="000000" w:themeColor="text1"/>
                <w:szCs w:val="16"/>
              </w:rPr>
            </w:pPr>
            <w:r w:rsidRPr="00781112">
              <w:rPr>
                <w:rFonts w:cs="Arial"/>
                <w:color w:val="000000" w:themeColor="text1"/>
                <w:szCs w:val="16"/>
              </w:rPr>
              <w:t xml:space="preserve">Do you use a separate data collection methodology for preschool children? </w:t>
            </w:r>
          </w:p>
        </w:tc>
        <w:tc>
          <w:tcPr>
            <w:tcW w:w="2476" w:type="dxa"/>
          </w:tcPr>
          <w:p w14:paraId="11B72775" w14:textId="3F895E29" w:rsidR="000B547A" w:rsidRPr="00781112" w:rsidRDefault="002B7490" w:rsidP="00A018D4">
            <w:pPr>
              <w:jc w:val="center"/>
              <w:rPr>
                <w:rFonts w:cs="Arial"/>
                <w:color w:val="000000" w:themeColor="text1"/>
                <w:szCs w:val="16"/>
              </w:rPr>
            </w:pPr>
            <w:r w:rsidRPr="00781112">
              <w:rPr>
                <w:rFonts w:cs="Arial"/>
                <w:color w:val="000000" w:themeColor="text1"/>
                <w:szCs w:val="16"/>
              </w:rPr>
              <w:t>NO</w:t>
            </w:r>
          </w:p>
        </w:tc>
      </w:tr>
    </w:tbl>
    <w:bookmarkEnd w:id="41"/>
    <w:p w14:paraId="4CE8E077" w14:textId="24912129" w:rsidR="00487CBD" w:rsidRPr="00781112" w:rsidRDefault="00487CBD" w:rsidP="00487CBD">
      <w:pPr>
        <w:rPr>
          <w:b/>
          <w:color w:val="000000" w:themeColor="text1"/>
        </w:rPr>
      </w:pPr>
      <w:r w:rsidRPr="00781112">
        <w:rPr>
          <w:b/>
          <w:color w:val="000000" w:themeColor="text1"/>
        </w:rPr>
        <w:t xml:space="preserve">Targets: Description of Stakeholder Input </w:t>
      </w:r>
    </w:p>
    <w:p w14:paraId="71AF2AFF" w14:textId="77777777" w:rsidR="00487CBD" w:rsidRPr="00781112" w:rsidRDefault="00487CBD" w:rsidP="00487CBD">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 xml:space="preserve">Internal input was also solicited to ensure feedback was gathered from interested groups outside of special education. The recordings and surveys were shared with WVDE staff in targeted offices, such as Assessment, School Improvement, and Elementary and Secondary Education. </w:t>
      </w:r>
      <w:r w:rsidRPr="00781112">
        <w:rPr>
          <w:rFonts w:cs="Arial"/>
          <w:color w:val="000000" w:themeColor="text1"/>
          <w:szCs w:val="16"/>
        </w:rPr>
        <w:br/>
      </w:r>
      <w:r w:rsidRPr="00781112">
        <w:rPr>
          <w:rFonts w:cs="Arial"/>
          <w:color w:val="000000" w:themeColor="text1"/>
          <w:szCs w:val="16"/>
        </w:rPr>
        <w:br/>
        <w:t>The baseline for this indicator was presented to stakeholders and updated based on the most current year of data that was not impacted by COVID-19 in order to get the most accurate picture of the current level of satisfaction and involvement of parents of students with disabilities. The targets were set to show improvement in each 3-year cycle or sampling group from FFY 2020 through 2025. The stakeholders indicated acceptance of these baselines and targets.</w:t>
      </w:r>
      <w:r w:rsidRPr="00781112">
        <w:rPr>
          <w:rFonts w:cs="Arial"/>
          <w:color w:val="000000" w:themeColor="text1"/>
          <w:szCs w:val="16"/>
        </w:rPr>
        <w:br/>
      </w:r>
      <w:r w:rsidRPr="00781112">
        <w:rPr>
          <w:rFonts w:cs="Arial"/>
          <w:color w:val="000000" w:themeColor="text1"/>
          <w:szCs w:val="16"/>
        </w:rPr>
        <w:br/>
        <w:t>FFY 2023</w:t>
      </w:r>
      <w:r w:rsidRPr="00781112">
        <w:rPr>
          <w:rFonts w:cs="Arial"/>
          <w:color w:val="000000" w:themeColor="text1"/>
          <w:szCs w:val="16"/>
        </w:rPr>
        <w:br/>
        <w:t>Stakeholders did not express interest in revising the Parent Involvement targets during any meetings throughout the reporting period; however, WVDE/OSE is receptive to any potential concerns or recommendations that stakeholders may have regarding these targets.</w:t>
      </w:r>
    </w:p>
    <w:p w14:paraId="339F3968" w14:textId="6278D154" w:rsidR="008B600B" w:rsidRPr="00781112" w:rsidRDefault="008B600B" w:rsidP="004369B2">
      <w:pPr>
        <w:rPr>
          <w:rFonts w:cs="Arial"/>
          <w:color w:val="000000" w:themeColor="text1"/>
          <w:szCs w:val="16"/>
        </w:rPr>
      </w:pPr>
    </w:p>
    <w:p w14:paraId="39D78FC4" w14:textId="60D247B6" w:rsidR="00ED0065" w:rsidRPr="00781112" w:rsidRDefault="00ED0065" w:rsidP="004369B2">
      <w:pPr>
        <w:rPr>
          <w:b/>
          <w:color w:val="000000" w:themeColor="text1"/>
        </w:rPr>
      </w:pPr>
      <w:r w:rsidRPr="00781112">
        <w:rPr>
          <w:b/>
          <w:color w:val="000000" w:themeColor="text1"/>
        </w:rPr>
        <w:lastRenderedPageBreak/>
        <w:t>Historical Data</w:t>
      </w:r>
    </w:p>
    <w:tbl>
      <w:tblPr>
        <w:tblStyle w:val="TableGrid"/>
        <w:tblW w:w="0" w:type="auto"/>
        <w:tblLayout w:type="fixed"/>
        <w:tblLook w:val="04A0" w:firstRow="1" w:lastRow="0" w:firstColumn="1" w:lastColumn="0" w:noHBand="0" w:noVBand="1"/>
        <w:tblCaption w:val="B08BASELINEDATA"/>
      </w:tblPr>
      <w:tblGrid>
        <w:gridCol w:w="1797"/>
        <w:gridCol w:w="1798"/>
      </w:tblGrid>
      <w:tr w:rsidR="002E111A" w:rsidRPr="00781112" w14:paraId="4FD416E2" w14:textId="77777777" w:rsidTr="00123D76">
        <w:trPr>
          <w:trHeight w:val="311"/>
          <w:tblHeader/>
        </w:trPr>
        <w:tc>
          <w:tcPr>
            <w:tcW w:w="1797" w:type="dxa"/>
          </w:tcPr>
          <w:p w14:paraId="30EEE37E" w14:textId="77777777" w:rsidR="002E111A" w:rsidRPr="00781112" w:rsidRDefault="002E111A" w:rsidP="00123D76">
            <w:pPr>
              <w:jc w:val="center"/>
              <w:rPr>
                <w:b/>
                <w:color w:val="000000" w:themeColor="text1"/>
              </w:rPr>
            </w:pPr>
            <w:r w:rsidRPr="00781112">
              <w:rPr>
                <w:rFonts w:cs="Arial"/>
                <w:b/>
                <w:color w:val="000000" w:themeColor="text1"/>
                <w:szCs w:val="16"/>
              </w:rPr>
              <w:t>Baseline Year</w:t>
            </w:r>
          </w:p>
        </w:tc>
        <w:tc>
          <w:tcPr>
            <w:tcW w:w="1798" w:type="dxa"/>
          </w:tcPr>
          <w:p w14:paraId="579A26EC" w14:textId="77777777" w:rsidR="002E111A" w:rsidRPr="00781112" w:rsidRDefault="002E111A" w:rsidP="00123D76">
            <w:pPr>
              <w:jc w:val="center"/>
              <w:rPr>
                <w:b/>
                <w:color w:val="000000" w:themeColor="text1"/>
              </w:rPr>
            </w:pPr>
            <w:r w:rsidRPr="00781112">
              <w:rPr>
                <w:b/>
                <w:color w:val="000000" w:themeColor="text1"/>
              </w:rPr>
              <w:t>Baseline Data</w:t>
            </w:r>
          </w:p>
        </w:tc>
      </w:tr>
      <w:tr w:rsidR="002E111A" w:rsidRPr="00781112" w14:paraId="7FB18E4F" w14:textId="77777777" w:rsidTr="00123D76">
        <w:trPr>
          <w:trHeight w:val="311"/>
        </w:trPr>
        <w:tc>
          <w:tcPr>
            <w:tcW w:w="1797" w:type="dxa"/>
            <w:vAlign w:val="center"/>
          </w:tcPr>
          <w:p w14:paraId="167EAC34" w14:textId="69ED71A1" w:rsidR="002E111A" w:rsidRPr="00781112" w:rsidRDefault="002E111A" w:rsidP="00123D76">
            <w:pPr>
              <w:jc w:val="center"/>
              <w:rPr>
                <w:bCs/>
                <w:color w:val="000000" w:themeColor="text1"/>
              </w:rPr>
            </w:pPr>
            <w:r w:rsidRPr="00781112">
              <w:rPr>
                <w:bCs/>
                <w:color w:val="000000" w:themeColor="text1"/>
              </w:rPr>
              <w:t>2018</w:t>
            </w:r>
          </w:p>
        </w:tc>
        <w:tc>
          <w:tcPr>
            <w:tcW w:w="1798" w:type="dxa"/>
            <w:vAlign w:val="center"/>
          </w:tcPr>
          <w:p w14:paraId="14A1010A" w14:textId="403EDC7C" w:rsidR="002E111A" w:rsidRPr="00781112" w:rsidRDefault="002E111A" w:rsidP="00123D76">
            <w:pPr>
              <w:jc w:val="center"/>
              <w:rPr>
                <w:bCs/>
                <w:color w:val="000000" w:themeColor="text1"/>
              </w:rPr>
            </w:pPr>
            <w:r w:rsidRPr="00781112">
              <w:rPr>
                <w:bCs/>
                <w:color w:val="000000" w:themeColor="text1"/>
              </w:rPr>
              <w:t>37.63%</w:t>
            </w:r>
          </w:p>
        </w:tc>
      </w:tr>
    </w:tbl>
    <w:p w14:paraId="79684A14" w14:textId="77777777" w:rsidR="002E111A" w:rsidRPr="00781112" w:rsidRDefault="002E111A"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HISTDATAOPT1"/>
      </w:tblPr>
      <w:tblGrid>
        <w:gridCol w:w="1798"/>
        <w:gridCol w:w="1798"/>
        <w:gridCol w:w="1798"/>
        <w:gridCol w:w="1798"/>
        <w:gridCol w:w="1798"/>
        <w:gridCol w:w="1800"/>
      </w:tblGrid>
      <w:tr w:rsidR="005C29F8" w:rsidRPr="00781112" w14:paraId="06FA8C8B" w14:textId="77777777" w:rsidTr="00C40E4D">
        <w:trPr>
          <w:trHeight w:val="287"/>
        </w:trPr>
        <w:tc>
          <w:tcPr>
            <w:tcW w:w="833" w:type="pct"/>
            <w:tcBorders>
              <w:bottom w:val="single" w:sz="4" w:space="0" w:color="auto"/>
            </w:tcBorders>
            <w:shd w:val="clear" w:color="auto" w:fill="auto"/>
          </w:tcPr>
          <w:p w14:paraId="31735078" w14:textId="77777777" w:rsidR="00FB6462" w:rsidRPr="00781112" w:rsidRDefault="00FB6462" w:rsidP="0033429D">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2FE2E19D" w14:textId="1650DFDD" w:rsidR="00FB6462" w:rsidRPr="00781112" w:rsidRDefault="002B7490" w:rsidP="00DC263A">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2DF60B98" w14:textId="1CF7D6BE" w:rsidR="00FB6462" w:rsidRPr="00781112" w:rsidRDefault="002B7490" w:rsidP="00DC263A">
            <w:pPr>
              <w:keepNext/>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53278B9A" w14:textId="6050DB27" w:rsidR="00FB6462" w:rsidRPr="00781112" w:rsidRDefault="002B7490" w:rsidP="00DC263A">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2F23746E" w14:textId="403244A2" w:rsidR="00FB6462" w:rsidRPr="00781112" w:rsidRDefault="002B7490" w:rsidP="00DC263A">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7E365F7F" w14:textId="686F85A1" w:rsidR="00FB6462" w:rsidRPr="00781112" w:rsidRDefault="002B7490" w:rsidP="00DC263A">
            <w:pPr>
              <w:jc w:val="center"/>
              <w:rPr>
                <w:rFonts w:cs="Arial"/>
                <w:b/>
                <w:color w:val="000000" w:themeColor="text1"/>
                <w:szCs w:val="16"/>
              </w:rPr>
            </w:pPr>
            <w:r w:rsidRPr="00781112">
              <w:rPr>
                <w:rFonts w:cs="Arial"/>
                <w:b/>
                <w:color w:val="000000" w:themeColor="text1"/>
                <w:szCs w:val="16"/>
              </w:rPr>
              <w:t>2022</w:t>
            </w:r>
          </w:p>
        </w:tc>
      </w:tr>
      <w:tr w:rsidR="005C29F8" w:rsidRPr="00781112" w14:paraId="040D0378" w14:textId="77777777" w:rsidTr="00C40E4D">
        <w:trPr>
          <w:trHeight w:val="357"/>
        </w:trPr>
        <w:tc>
          <w:tcPr>
            <w:tcW w:w="833" w:type="pct"/>
            <w:shd w:val="clear" w:color="auto" w:fill="auto"/>
          </w:tcPr>
          <w:p w14:paraId="54EE5848" w14:textId="7260CA74" w:rsidR="00FB6462" w:rsidRPr="00781112" w:rsidRDefault="00FB6462"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56BDAD4D" w14:textId="1C7EF6C0" w:rsidR="00FB6462" w:rsidRPr="00781112" w:rsidRDefault="002B7490" w:rsidP="00A018D4">
            <w:pPr>
              <w:jc w:val="center"/>
              <w:rPr>
                <w:rFonts w:cs="Arial"/>
                <w:color w:val="000000" w:themeColor="text1"/>
                <w:szCs w:val="16"/>
              </w:rPr>
            </w:pPr>
            <w:r w:rsidRPr="00781112">
              <w:rPr>
                <w:rFonts w:cs="Arial"/>
                <w:color w:val="000000" w:themeColor="text1"/>
                <w:szCs w:val="16"/>
              </w:rPr>
              <w:t>38.00%</w:t>
            </w:r>
          </w:p>
        </w:tc>
        <w:tc>
          <w:tcPr>
            <w:tcW w:w="833" w:type="pct"/>
            <w:shd w:val="clear" w:color="auto" w:fill="auto"/>
          </w:tcPr>
          <w:p w14:paraId="45AE596F" w14:textId="6983147C" w:rsidR="00FB6462" w:rsidRPr="00781112" w:rsidRDefault="002B7490" w:rsidP="00A018D4">
            <w:pPr>
              <w:jc w:val="center"/>
              <w:rPr>
                <w:rFonts w:cs="Arial"/>
                <w:color w:val="000000" w:themeColor="text1"/>
                <w:szCs w:val="16"/>
              </w:rPr>
            </w:pPr>
            <w:r w:rsidRPr="00781112">
              <w:rPr>
                <w:rFonts w:cs="Arial"/>
                <w:color w:val="000000" w:themeColor="text1"/>
                <w:szCs w:val="16"/>
              </w:rPr>
              <w:t>38.50%</w:t>
            </w:r>
          </w:p>
        </w:tc>
        <w:tc>
          <w:tcPr>
            <w:tcW w:w="833" w:type="pct"/>
            <w:shd w:val="clear" w:color="auto" w:fill="auto"/>
            <w:vAlign w:val="center"/>
          </w:tcPr>
          <w:p w14:paraId="4CA9D7D5" w14:textId="26724736" w:rsidR="00FB6462" w:rsidRPr="00781112" w:rsidRDefault="002B7490" w:rsidP="00A018D4">
            <w:pPr>
              <w:jc w:val="center"/>
              <w:rPr>
                <w:rFonts w:cs="Arial"/>
                <w:color w:val="000000" w:themeColor="text1"/>
                <w:szCs w:val="16"/>
              </w:rPr>
            </w:pPr>
            <w:r w:rsidRPr="00781112">
              <w:rPr>
                <w:rFonts w:cs="Arial"/>
                <w:color w:val="000000" w:themeColor="text1"/>
                <w:szCs w:val="16"/>
              </w:rPr>
              <w:t>39.00%</w:t>
            </w:r>
          </w:p>
        </w:tc>
        <w:tc>
          <w:tcPr>
            <w:tcW w:w="833" w:type="pct"/>
            <w:shd w:val="clear" w:color="auto" w:fill="auto"/>
            <w:vAlign w:val="center"/>
          </w:tcPr>
          <w:p w14:paraId="2AC9DE6C" w14:textId="662D879E" w:rsidR="00FB6462" w:rsidRPr="00781112" w:rsidRDefault="002B7490" w:rsidP="00A018D4">
            <w:pPr>
              <w:jc w:val="center"/>
              <w:rPr>
                <w:rFonts w:cs="Arial"/>
                <w:color w:val="000000" w:themeColor="text1"/>
                <w:szCs w:val="16"/>
              </w:rPr>
            </w:pPr>
            <w:r w:rsidRPr="00781112">
              <w:rPr>
                <w:rFonts w:cs="Arial"/>
                <w:color w:val="000000" w:themeColor="text1"/>
                <w:szCs w:val="16"/>
              </w:rPr>
              <w:t>39.00%</w:t>
            </w:r>
          </w:p>
        </w:tc>
        <w:tc>
          <w:tcPr>
            <w:tcW w:w="834" w:type="pct"/>
            <w:shd w:val="clear" w:color="auto" w:fill="auto"/>
            <w:vAlign w:val="center"/>
          </w:tcPr>
          <w:p w14:paraId="1D66991F" w14:textId="5308C1A9" w:rsidR="00FB6462" w:rsidRPr="00781112" w:rsidRDefault="002B7490" w:rsidP="00A018D4">
            <w:pPr>
              <w:jc w:val="center"/>
              <w:rPr>
                <w:rFonts w:cs="Arial"/>
                <w:color w:val="000000" w:themeColor="text1"/>
                <w:szCs w:val="16"/>
              </w:rPr>
            </w:pPr>
            <w:r w:rsidRPr="00781112">
              <w:rPr>
                <w:rFonts w:cs="Arial"/>
                <w:color w:val="000000" w:themeColor="text1"/>
                <w:szCs w:val="16"/>
              </w:rPr>
              <w:t>39.00%</w:t>
            </w:r>
          </w:p>
        </w:tc>
      </w:tr>
      <w:tr w:rsidR="005C29F8" w:rsidRPr="00781112" w14:paraId="0983C602" w14:textId="77777777" w:rsidTr="00C40E4D">
        <w:trPr>
          <w:trHeight w:val="85"/>
        </w:trPr>
        <w:tc>
          <w:tcPr>
            <w:tcW w:w="833" w:type="pct"/>
            <w:shd w:val="clear" w:color="auto" w:fill="auto"/>
          </w:tcPr>
          <w:p w14:paraId="024AD7D5" w14:textId="77777777" w:rsidR="00FB6462" w:rsidRPr="00781112" w:rsidRDefault="00FB6462"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0C46B390" w14:textId="75A5B1D9" w:rsidR="00FB6462" w:rsidRPr="00781112" w:rsidRDefault="002B7490" w:rsidP="00A018D4">
            <w:pPr>
              <w:jc w:val="center"/>
              <w:rPr>
                <w:rFonts w:cs="Arial"/>
                <w:color w:val="000000" w:themeColor="text1"/>
                <w:szCs w:val="16"/>
              </w:rPr>
            </w:pPr>
            <w:r w:rsidRPr="00781112">
              <w:rPr>
                <w:rFonts w:cs="Arial"/>
                <w:color w:val="000000" w:themeColor="text1"/>
                <w:szCs w:val="16"/>
              </w:rPr>
              <w:t>37.63%</w:t>
            </w:r>
          </w:p>
        </w:tc>
        <w:tc>
          <w:tcPr>
            <w:tcW w:w="833" w:type="pct"/>
            <w:shd w:val="clear" w:color="auto" w:fill="auto"/>
          </w:tcPr>
          <w:p w14:paraId="0F636319" w14:textId="7C4BA9E9" w:rsidR="00FB6462" w:rsidRPr="00781112" w:rsidRDefault="002B7490" w:rsidP="00A018D4">
            <w:pPr>
              <w:jc w:val="center"/>
              <w:rPr>
                <w:rFonts w:cs="Arial"/>
                <w:color w:val="000000" w:themeColor="text1"/>
                <w:szCs w:val="16"/>
              </w:rPr>
            </w:pPr>
            <w:r w:rsidRPr="00781112">
              <w:rPr>
                <w:rFonts w:cs="Arial"/>
                <w:color w:val="000000" w:themeColor="text1"/>
                <w:szCs w:val="16"/>
              </w:rPr>
              <w:t>44.42%</w:t>
            </w:r>
          </w:p>
        </w:tc>
        <w:tc>
          <w:tcPr>
            <w:tcW w:w="833" w:type="pct"/>
            <w:tcBorders>
              <w:bottom w:val="single" w:sz="4" w:space="0" w:color="auto"/>
            </w:tcBorders>
            <w:shd w:val="clear" w:color="auto" w:fill="auto"/>
            <w:vAlign w:val="center"/>
          </w:tcPr>
          <w:p w14:paraId="72DD8100" w14:textId="2078A0DC" w:rsidR="00FB6462" w:rsidRPr="00781112" w:rsidRDefault="002B7490" w:rsidP="00A018D4">
            <w:pPr>
              <w:jc w:val="center"/>
              <w:rPr>
                <w:rFonts w:cs="Arial"/>
                <w:color w:val="000000" w:themeColor="text1"/>
                <w:szCs w:val="16"/>
              </w:rPr>
            </w:pPr>
            <w:r w:rsidRPr="00781112">
              <w:rPr>
                <w:rFonts w:cs="Arial"/>
                <w:color w:val="000000" w:themeColor="text1"/>
                <w:szCs w:val="16"/>
              </w:rPr>
              <w:t>43.48%</w:t>
            </w:r>
          </w:p>
        </w:tc>
        <w:tc>
          <w:tcPr>
            <w:tcW w:w="833" w:type="pct"/>
            <w:tcBorders>
              <w:bottom w:val="single" w:sz="4" w:space="0" w:color="auto"/>
            </w:tcBorders>
            <w:shd w:val="clear" w:color="auto" w:fill="auto"/>
            <w:vAlign w:val="center"/>
          </w:tcPr>
          <w:p w14:paraId="36AAC02B" w14:textId="31D6381A" w:rsidR="00FB6462" w:rsidRPr="00781112" w:rsidRDefault="002B7490" w:rsidP="00A018D4">
            <w:pPr>
              <w:jc w:val="center"/>
              <w:rPr>
                <w:rFonts w:cs="Arial"/>
                <w:color w:val="000000" w:themeColor="text1"/>
                <w:szCs w:val="16"/>
              </w:rPr>
            </w:pPr>
            <w:r w:rsidRPr="00781112">
              <w:rPr>
                <w:rFonts w:cs="Arial"/>
                <w:color w:val="000000" w:themeColor="text1"/>
                <w:szCs w:val="16"/>
              </w:rPr>
              <w:t>36.60%</w:t>
            </w:r>
          </w:p>
        </w:tc>
        <w:tc>
          <w:tcPr>
            <w:tcW w:w="834" w:type="pct"/>
            <w:tcBorders>
              <w:bottom w:val="single" w:sz="4" w:space="0" w:color="auto"/>
            </w:tcBorders>
            <w:shd w:val="clear" w:color="auto" w:fill="auto"/>
            <w:vAlign w:val="center"/>
          </w:tcPr>
          <w:p w14:paraId="4F9B07B7" w14:textId="7D67594F" w:rsidR="00FB6462" w:rsidRPr="00781112" w:rsidRDefault="002B7490" w:rsidP="00A018D4">
            <w:pPr>
              <w:jc w:val="center"/>
              <w:rPr>
                <w:rFonts w:cs="Arial"/>
                <w:color w:val="000000" w:themeColor="text1"/>
                <w:szCs w:val="16"/>
              </w:rPr>
            </w:pPr>
            <w:r w:rsidRPr="00781112">
              <w:rPr>
                <w:rFonts w:cs="Arial"/>
                <w:color w:val="000000" w:themeColor="text1"/>
                <w:szCs w:val="16"/>
              </w:rPr>
              <w:t>38.67%</w:t>
            </w:r>
          </w:p>
        </w:tc>
      </w:tr>
    </w:tbl>
    <w:p w14:paraId="0E2D4617" w14:textId="77777777" w:rsidR="000417B4" w:rsidRPr="00781112" w:rsidRDefault="000417B4" w:rsidP="004369B2">
      <w:pPr>
        <w:rPr>
          <w:color w:val="000000" w:themeColor="text1"/>
        </w:rPr>
      </w:pPr>
    </w:p>
    <w:p w14:paraId="1F4FFBFE" w14:textId="308C372B" w:rsidR="00FB6462" w:rsidRPr="00781112" w:rsidRDefault="00FB6462" w:rsidP="004369B2">
      <w:pPr>
        <w:rPr>
          <w:color w:val="000000" w:themeColor="text1"/>
        </w:rPr>
      </w:pPr>
      <w:r w:rsidRPr="00781112">
        <w:rPr>
          <w:b/>
          <w:color w:val="000000" w:themeColor="text1"/>
        </w:rPr>
        <w:t>Targets</w:t>
      </w:r>
    </w:p>
    <w:tbl>
      <w:tblPr>
        <w:tblW w:w="2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TARGETSOPT1"/>
      </w:tblPr>
      <w:tblGrid>
        <w:gridCol w:w="899"/>
        <w:gridCol w:w="1651"/>
        <w:gridCol w:w="1651"/>
        <w:gridCol w:w="1651"/>
      </w:tblGrid>
      <w:tr w:rsidR="00AC3EF2" w:rsidRPr="00781112" w14:paraId="77450D85" w14:textId="217C23D8" w:rsidTr="00FE4611">
        <w:trPr>
          <w:trHeight w:val="242"/>
        </w:trPr>
        <w:tc>
          <w:tcPr>
            <w:tcW w:w="767" w:type="pct"/>
            <w:tcBorders>
              <w:bottom w:val="single" w:sz="4" w:space="0" w:color="auto"/>
            </w:tcBorders>
            <w:shd w:val="clear" w:color="auto" w:fill="auto"/>
            <w:vAlign w:val="center"/>
          </w:tcPr>
          <w:p w14:paraId="5A82FAC4" w14:textId="77777777" w:rsidR="00AC3EF2" w:rsidRPr="003F088A" w:rsidRDefault="00AC3EF2" w:rsidP="00AD5583">
            <w:pPr>
              <w:jc w:val="center"/>
              <w:rPr>
                <w:rFonts w:cs="Arial"/>
                <w:b/>
                <w:color w:val="000000" w:themeColor="text1"/>
                <w:szCs w:val="16"/>
              </w:rPr>
            </w:pPr>
            <w:r w:rsidRPr="003F088A">
              <w:rPr>
                <w:rFonts w:cs="Arial"/>
                <w:b/>
                <w:color w:val="000000" w:themeColor="text1"/>
                <w:szCs w:val="16"/>
              </w:rPr>
              <w:t>FFY</w:t>
            </w:r>
          </w:p>
        </w:tc>
        <w:tc>
          <w:tcPr>
            <w:tcW w:w="1410" w:type="pct"/>
            <w:shd w:val="clear" w:color="auto" w:fill="auto"/>
            <w:vAlign w:val="center"/>
          </w:tcPr>
          <w:p w14:paraId="6DDB1395" w14:textId="489E70A4" w:rsidR="00AC3EF2" w:rsidRPr="003F088A" w:rsidRDefault="00AC3EF2" w:rsidP="00AD5583">
            <w:pPr>
              <w:jc w:val="center"/>
              <w:rPr>
                <w:rFonts w:cs="Arial"/>
                <w:b/>
                <w:color w:val="000000" w:themeColor="text1"/>
                <w:szCs w:val="16"/>
              </w:rPr>
            </w:pPr>
            <w:r w:rsidRPr="003F088A">
              <w:rPr>
                <w:rFonts w:cs="Arial"/>
                <w:b/>
                <w:color w:val="000000" w:themeColor="text1"/>
                <w:szCs w:val="16"/>
              </w:rPr>
              <w:t>2023</w:t>
            </w:r>
          </w:p>
        </w:tc>
        <w:tc>
          <w:tcPr>
            <w:tcW w:w="1411" w:type="pct"/>
            <w:vAlign w:val="center"/>
          </w:tcPr>
          <w:p w14:paraId="3277D8E8" w14:textId="4A05E6F6" w:rsidR="00AC3EF2" w:rsidRPr="003F088A" w:rsidRDefault="00AC3EF2" w:rsidP="00730C62">
            <w:pPr>
              <w:jc w:val="center"/>
              <w:rPr>
                <w:rFonts w:cs="Arial"/>
                <w:b/>
                <w:color w:val="000000" w:themeColor="text1"/>
                <w:szCs w:val="16"/>
              </w:rPr>
            </w:pPr>
            <w:r w:rsidRPr="00781112">
              <w:rPr>
                <w:rFonts w:cs="Arial"/>
                <w:b/>
                <w:color w:val="000000" w:themeColor="text1"/>
                <w:szCs w:val="16"/>
              </w:rPr>
              <w:t>2024</w:t>
            </w:r>
          </w:p>
        </w:tc>
        <w:tc>
          <w:tcPr>
            <w:tcW w:w="1411" w:type="pct"/>
            <w:vAlign w:val="center"/>
          </w:tcPr>
          <w:p w14:paraId="3AC9106D" w14:textId="5F7A56D0" w:rsidR="00AC3EF2" w:rsidRPr="003F088A" w:rsidRDefault="00AC3EF2" w:rsidP="00730C62">
            <w:pPr>
              <w:jc w:val="center"/>
              <w:rPr>
                <w:rFonts w:cs="Arial"/>
                <w:b/>
                <w:color w:val="000000" w:themeColor="text1"/>
                <w:szCs w:val="16"/>
              </w:rPr>
            </w:pPr>
            <w:r w:rsidRPr="00781112">
              <w:rPr>
                <w:rFonts w:cs="Arial"/>
                <w:b/>
                <w:color w:val="000000" w:themeColor="text1"/>
                <w:szCs w:val="16"/>
              </w:rPr>
              <w:t>2025</w:t>
            </w:r>
          </w:p>
        </w:tc>
      </w:tr>
      <w:tr w:rsidR="00AC3EF2" w:rsidRPr="00781112" w14:paraId="50A2A35E" w14:textId="13C4D5C2" w:rsidTr="00FE4611">
        <w:trPr>
          <w:trHeight w:val="370"/>
        </w:trPr>
        <w:tc>
          <w:tcPr>
            <w:tcW w:w="767" w:type="pct"/>
            <w:shd w:val="clear" w:color="auto" w:fill="auto"/>
          </w:tcPr>
          <w:p w14:paraId="2F249DEE" w14:textId="4AA3473F" w:rsidR="00AC3EF2" w:rsidRPr="00781112" w:rsidRDefault="00AC3EF2" w:rsidP="00BA3DBE">
            <w:pPr>
              <w:jc w:val="center"/>
              <w:rPr>
                <w:rFonts w:cs="Arial"/>
                <w:color w:val="000000" w:themeColor="text1"/>
                <w:szCs w:val="16"/>
              </w:rPr>
            </w:pPr>
            <w:r w:rsidRPr="00781112">
              <w:rPr>
                <w:rFonts w:cs="Arial"/>
                <w:color w:val="000000" w:themeColor="text1"/>
                <w:szCs w:val="16"/>
              </w:rPr>
              <w:t>Target &gt;=</w:t>
            </w:r>
          </w:p>
        </w:tc>
        <w:tc>
          <w:tcPr>
            <w:tcW w:w="1410" w:type="pct"/>
            <w:shd w:val="clear" w:color="auto" w:fill="auto"/>
            <w:vAlign w:val="center"/>
          </w:tcPr>
          <w:p w14:paraId="2ACB7B9E" w14:textId="427B5E78" w:rsidR="00AC3EF2" w:rsidRPr="00781112" w:rsidRDefault="00AC3EF2" w:rsidP="00AD5583">
            <w:pPr>
              <w:jc w:val="center"/>
              <w:rPr>
                <w:rFonts w:cs="Arial"/>
                <w:color w:val="000000" w:themeColor="text1"/>
                <w:szCs w:val="16"/>
              </w:rPr>
            </w:pPr>
            <w:r w:rsidRPr="00781112">
              <w:rPr>
                <w:rFonts w:cs="Arial"/>
                <w:color w:val="000000" w:themeColor="text1"/>
                <w:szCs w:val="16"/>
              </w:rPr>
              <w:t>40.00%</w:t>
            </w:r>
          </w:p>
        </w:tc>
        <w:tc>
          <w:tcPr>
            <w:tcW w:w="1411" w:type="pct"/>
          </w:tcPr>
          <w:p w14:paraId="01493DF6" w14:textId="39FAD961" w:rsidR="00AC3EF2" w:rsidRPr="00781112" w:rsidRDefault="00AC3EF2" w:rsidP="00AD5583">
            <w:pPr>
              <w:spacing w:before="0" w:after="200" w:line="276" w:lineRule="auto"/>
            </w:pPr>
            <w:r w:rsidRPr="00781112">
              <w:rPr>
                <w:color w:val="000000" w:themeColor="text1"/>
                <w:szCs w:val="16"/>
              </w:rPr>
              <w:t>40.00%</w:t>
            </w:r>
          </w:p>
        </w:tc>
        <w:tc>
          <w:tcPr>
            <w:tcW w:w="1411" w:type="pct"/>
          </w:tcPr>
          <w:p w14:paraId="71DAA89B" w14:textId="5FDD553A" w:rsidR="00AC3EF2" w:rsidRPr="00781112" w:rsidRDefault="00AC3EF2" w:rsidP="00AD5583">
            <w:pPr>
              <w:spacing w:before="0" w:after="200" w:line="276" w:lineRule="auto"/>
            </w:pPr>
            <w:r w:rsidRPr="00781112">
              <w:rPr>
                <w:color w:val="000000" w:themeColor="text1"/>
                <w:szCs w:val="16"/>
              </w:rPr>
              <w:t>40.00%</w:t>
            </w:r>
          </w:p>
        </w:tc>
      </w:tr>
    </w:tbl>
    <w:p w14:paraId="68BCE5ED" w14:textId="77777777" w:rsidR="007E2779" w:rsidRPr="00781112" w:rsidRDefault="007E2779" w:rsidP="000A2C83">
      <w:pPr>
        <w:rPr>
          <w:rFonts w:cs="Arial"/>
          <w:color w:val="000000" w:themeColor="text1"/>
          <w:szCs w:val="16"/>
        </w:rPr>
      </w:pPr>
    </w:p>
    <w:p w14:paraId="15954908" w14:textId="4BF2A9E2" w:rsidR="00FB6462" w:rsidRPr="00781112" w:rsidRDefault="0047313F" w:rsidP="004369B2">
      <w:pPr>
        <w:rPr>
          <w:color w:val="000000" w:themeColor="text1"/>
        </w:rPr>
      </w:pPr>
      <w:r>
        <w:rPr>
          <w:b/>
          <w:color w:val="000000" w:themeColor="text1"/>
        </w:rPr>
        <w:t>FFY 2023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CFFYAPRDATAOPT1"/>
      </w:tblPr>
      <w:tblGrid>
        <w:gridCol w:w="2701"/>
        <w:gridCol w:w="1455"/>
        <w:gridCol w:w="1170"/>
        <w:gridCol w:w="1440"/>
        <w:gridCol w:w="1170"/>
        <w:gridCol w:w="1349"/>
        <w:gridCol w:w="1509"/>
      </w:tblGrid>
      <w:tr w:rsidR="00206A65" w:rsidRPr="00781112" w14:paraId="2A3467FD" w14:textId="77777777" w:rsidTr="00AB0D6A">
        <w:trPr>
          <w:trHeight w:val="368"/>
          <w:tblHeader/>
        </w:trPr>
        <w:tc>
          <w:tcPr>
            <w:tcW w:w="1244" w:type="pct"/>
            <w:shd w:val="clear" w:color="auto" w:fill="auto"/>
            <w:vAlign w:val="bottom"/>
          </w:tcPr>
          <w:p w14:paraId="1B1F6FBB" w14:textId="77777777" w:rsidR="00206A65" w:rsidRPr="00781112" w:rsidRDefault="00206A65" w:rsidP="00206A65">
            <w:pPr>
              <w:jc w:val="center"/>
              <w:rPr>
                <w:b/>
                <w:color w:val="000000" w:themeColor="text1"/>
              </w:rPr>
            </w:pPr>
            <w:r w:rsidRPr="00781112">
              <w:rPr>
                <w:b/>
                <w:color w:val="000000" w:themeColor="text1"/>
              </w:rPr>
              <w:t>Number of respondent parents who report schools facilitated parent involvement as a means of improving services and results for children with disabilities</w:t>
            </w:r>
          </w:p>
        </w:tc>
        <w:tc>
          <w:tcPr>
            <w:tcW w:w="674" w:type="pct"/>
            <w:shd w:val="clear" w:color="auto" w:fill="auto"/>
            <w:vAlign w:val="bottom"/>
          </w:tcPr>
          <w:p w14:paraId="200E18C6" w14:textId="77777777" w:rsidR="00206A65" w:rsidRPr="00781112" w:rsidRDefault="00206A65" w:rsidP="00206A65">
            <w:pPr>
              <w:jc w:val="center"/>
              <w:rPr>
                <w:b/>
                <w:color w:val="000000" w:themeColor="text1"/>
              </w:rPr>
            </w:pPr>
            <w:r w:rsidRPr="00781112">
              <w:rPr>
                <w:b/>
                <w:color w:val="000000" w:themeColor="text1"/>
              </w:rPr>
              <w:t>Total number of respondent parents of children with disabilities</w:t>
            </w:r>
          </w:p>
        </w:tc>
        <w:tc>
          <w:tcPr>
            <w:tcW w:w="542" w:type="pct"/>
            <w:shd w:val="clear" w:color="auto" w:fill="auto"/>
            <w:vAlign w:val="bottom"/>
          </w:tcPr>
          <w:p w14:paraId="57D9347A" w14:textId="376C2855" w:rsidR="00206A65" w:rsidRPr="00CC1061" w:rsidRDefault="00206A65" w:rsidP="00206A65">
            <w:pPr>
              <w:jc w:val="center"/>
              <w:rPr>
                <w:b/>
                <w:bCs/>
                <w:color w:val="000000" w:themeColor="text1"/>
              </w:rPr>
            </w:pPr>
            <w:r w:rsidRPr="00CC1061">
              <w:rPr>
                <w:b/>
                <w:bCs/>
              </w:rPr>
              <w:t>FFY 2022 Data</w:t>
            </w:r>
          </w:p>
        </w:tc>
        <w:tc>
          <w:tcPr>
            <w:tcW w:w="667" w:type="pct"/>
            <w:shd w:val="clear" w:color="auto" w:fill="auto"/>
            <w:vAlign w:val="bottom"/>
          </w:tcPr>
          <w:p w14:paraId="42BF1046" w14:textId="4B540791" w:rsidR="00206A65" w:rsidRPr="00CC1061" w:rsidRDefault="00206A65" w:rsidP="00206A65">
            <w:pPr>
              <w:jc w:val="center"/>
              <w:rPr>
                <w:b/>
                <w:bCs/>
                <w:color w:val="000000" w:themeColor="text1"/>
              </w:rPr>
            </w:pPr>
            <w:r w:rsidRPr="00CC1061">
              <w:rPr>
                <w:b/>
                <w:bCs/>
              </w:rPr>
              <w:t>FFY 2023 Target</w:t>
            </w:r>
          </w:p>
        </w:tc>
        <w:tc>
          <w:tcPr>
            <w:tcW w:w="542" w:type="pct"/>
            <w:shd w:val="clear" w:color="auto" w:fill="auto"/>
            <w:vAlign w:val="bottom"/>
          </w:tcPr>
          <w:p w14:paraId="36E0331C" w14:textId="71B31279" w:rsidR="00206A65" w:rsidRPr="00CC1061" w:rsidRDefault="00206A65" w:rsidP="00206A65">
            <w:pPr>
              <w:jc w:val="center"/>
              <w:rPr>
                <w:b/>
                <w:bCs/>
                <w:color w:val="000000" w:themeColor="text1"/>
              </w:rPr>
            </w:pPr>
            <w:r w:rsidRPr="00CC1061">
              <w:rPr>
                <w:b/>
                <w:bCs/>
              </w:rPr>
              <w:t>FFY 2023 Data</w:t>
            </w:r>
          </w:p>
        </w:tc>
        <w:tc>
          <w:tcPr>
            <w:tcW w:w="625" w:type="pct"/>
            <w:shd w:val="clear" w:color="auto" w:fill="auto"/>
            <w:vAlign w:val="bottom"/>
          </w:tcPr>
          <w:p w14:paraId="52157F4E" w14:textId="77777777" w:rsidR="00206A65" w:rsidRPr="00781112" w:rsidRDefault="00206A65" w:rsidP="00206A65">
            <w:pPr>
              <w:jc w:val="center"/>
              <w:rPr>
                <w:b/>
                <w:color w:val="000000" w:themeColor="text1"/>
              </w:rPr>
            </w:pPr>
            <w:r w:rsidRPr="00781112">
              <w:rPr>
                <w:b/>
                <w:color w:val="000000" w:themeColor="text1"/>
              </w:rPr>
              <w:t>Status</w:t>
            </w:r>
          </w:p>
        </w:tc>
        <w:tc>
          <w:tcPr>
            <w:tcW w:w="706" w:type="pct"/>
            <w:shd w:val="clear" w:color="auto" w:fill="auto"/>
            <w:vAlign w:val="bottom"/>
          </w:tcPr>
          <w:p w14:paraId="1DC1ADC7" w14:textId="77777777"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4B4B0594" w14:textId="77777777" w:rsidTr="00AB0D6A">
        <w:trPr>
          <w:trHeight w:val="366"/>
        </w:trPr>
        <w:tc>
          <w:tcPr>
            <w:tcW w:w="1251" w:type="pct"/>
            <w:shd w:val="clear" w:color="auto" w:fill="auto"/>
            <w:vAlign w:val="bottom"/>
          </w:tcPr>
          <w:p w14:paraId="0933F330" w14:textId="2423D9E2" w:rsidR="00FB6462" w:rsidRPr="00781112" w:rsidRDefault="002B7490" w:rsidP="00A018D4">
            <w:pPr>
              <w:jc w:val="center"/>
              <w:rPr>
                <w:rFonts w:cs="Arial"/>
                <w:color w:val="000000" w:themeColor="text1"/>
                <w:szCs w:val="16"/>
              </w:rPr>
            </w:pPr>
            <w:r w:rsidRPr="00781112">
              <w:rPr>
                <w:rFonts w:cs="Arial"/>
                <w:color w:val="000000" w:themeColor="text1"/>
                <w:szCs w:val="16"/>
              </w:rPr>
              <w:t>1,320</w:t>
            </w:r>
          </w:p>
        </w:tc>
        <w:tc>
          <w:tcPr>
            <w:tcW w:w="667" w:type="pct"/>
            <w:shd w:val="clear" w:color="auto" w:fill="auto"/>
            <w:vAlign w:val="bottom"/>
          </w:tcPr>
          <w:p w14:paraId="2905391A" w14:textId="502FBF67" w:rsidR="00FB6462" w:rsidRPr="00781112" w:rsidRDefault="002B7490" w:rsidP="00A018D4">
            <w:pPr>
              <w:jc w:val="center"/>
              <w:rPr>
                <w:rFonts w:cs="Arial"/>
                <w:color w:val="000000" w:themeColor="text1"/>
                <w:szCs w:val="16"/>
              </w:rPr>
            </w:pPr>
            <w:r w:rsidRPr="00781112">
              <w:rPr>
                <w:rFonts w:cs="Arial"/>
                <w:color w:val="000000" w:themeColor="text1"/>
                <w:szCs w:val="16"/>
              </w:rPr>
              <w:t>3,328</w:t>
            </w:r>
          </w:p>
        </w:tc>
        <w:tc>
          <w:tcPr>
            <w:tcW w:w="542" w:type="pct"/>
            <w:shd w:val="clear" w:color="auto" w:fill="auto"/>
            <w:vAlign w:val="bottom"/>
          </w:tcPr>
          <w:p w14:paraId="486C6AEB" w14:textId="2AC5DAB9" w:rsidR="00FB6462" w:rsidRPr="00781112" w:rsidRDefault="002B7490" w:rsidP="00A018D4">
            <w:pPr>
              <w:jc w:val="center"/>
              <w:rPr>
                <w:rFonts w:cs="Arial"/>
                <w:color w:val="000000" w:themeColor="text1"/>
                <w:szCs w:val="16"/>
              </w:rPr>
            </w:pPr>
            <w:r w:rsidRPr="00781112">
              <w:rPr>
                <w:rFonts w:cs="Arial"/>
                <w:color w:val="000000" w:themeColor="text1"/>
                <w:szCs w:val="16"/>
              </w:rPr>
              <w:t>38.67%</w:t>
            </w:r>
          </w:p>
        </w:tc>
        <w:tc>
          <w:tcPr>
            <w:tcW w:w="667" w:type="pct"/>
            <w:shd w:val="clear" w:color="auto" w:fill="auto"/>
            <w:vAlign w:val="bottom"/>
          </w:tcPr>
          <w:p w14:paraId="024E965C" w14:textId="65736559" w:rsidR="00FB6462" w:rsidRPr="00781112" w:rsidRDefault="002B7490" w:rsidP="00A018D4">
            <w:pPr>
              <w:jc w:val="center"/>
              <w:rPr>
                <w:rFonts w:cs="Arial"/>
                <w:color w:val="000000" w:themeColor="text1"/>
                <w:szCs w:val="16"/>
              </w:rPr>
            </w:pPr>
            <w:r w:rsidRPr="00781112">
              <w:rPr>
                <w:rFonts w:cs="Arial"/>
                <w:color w:val="000000" w:themeColor="text1"/>
                <w:szCs w:val="16"/>
              </w:rPr>
              <w:t>40.00%</w:t>
            </w:r>
          </w:p>
        </w:tc>
        <w:tc>
          <w:tcPr>
            <w:tcW w:w="542" w:type="pct"/>
            <w:shd w:val="clear" w:color="auto" w:fill="auto"/>
            <w:vAlign w:val="bottom"/>
          </w:tcPr>
          <w:p w14:paraId="1BEB0ADC" w14:textId="5244B4D7" w:rsidR="00FB6462" w:rsidRPr="00781112" w:rsidRDefault="002B7490" w:rsidP="00A018D4">
            <w:pPr>
              <w:jc w:val="center"/>
              <w:rPr>
                <w:rFonts w:cs="Arial"/>
                <w:color w:val="000000" w:themeColor="text1"/>
                <w:szCs w:val="16"/>
              </w:rPr>
            </w:pPr>
            <w:r w:rsidRPr="00781112">
              <w:rPr>
                <w:rFonts w:cs="Arial"/>
                <w:color w:val="000000" w:themeColor="text1"/>
                <w:szCs w:val="16"/>
              </w:rPr>
              <w:t>39.66%</w:t>
            </w:r>
          </w:p>
        </w:tc>
        <w:tc>
          <w:tcPr>
            <w:tcW w:w="625" w:type="pct"/>
            <w:shd w:val="clear" w:color="auto" w:fill="auto"/>
            <w:vAlign w:val="bottom"/>
          </w:tcPr>
          <w:p w14:paraId="230C5FAF" w14:textId="6761CD40" w:rsidR="00FB646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6" w:type="pct"/>
            <w:shd w:val="clear" w:color="auto" w:fill="auto"/>
            <w:vAlign w:val="bottom"/>
          </w:tcPr>
          <w:p w14:paraId="2CBF8B2D" w14:textId="3929AFC6" w:rsidR="00FB646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2227E2D" w14:textId="3C53FA16" w:rsidR="00FB6462" w:rsidRPr="00781112" w:rsidRDefault="00FB6462" w:rsidP="005A338D">
      <w:pPr>
        <w:rPr>
          <w:rFonts w:cs="Arial"/>
          <w:b/>
          <w:color w:val="000000" w:themeColor="text1"/>
          <w:szCs w:val="16"/>
        </w:rPr>
      </w:pPr>
      <w:r w:rsidRPr="00781112">
        <w:rPr>
          <w:rFonts w:cs="Arial"/>
          <w:b/>
          <w:color w:val="000000" w:themeColor="text1"/>
          <w:szCs w:val="16"/>
        </w:rPr>
        <w:t>Since the State did not report preschool children separately, discuss the procedures used to combine data from school age and preschool surveys in a manner that is valid and reliable.</w:t>
      </w:r>
    </w:p>
    <w:p w14:paraId="7CADFB93" w14:textId="3119FB87" w:rsidR="00230EE6" w:rsidRPr="00781112" w:rsidRDefault="00230EE6" w:rsidP="005A338D">
      <w:pPr>
        <w:rPr>
          <w:rFonts w:cs="Arial"/>
          <w:color w:val="000000" w:themeColor="text1"/>
          <w:szCs w:val="16"/>
        </w:rPr>
      </w:pPr>
      <w:r w:rsidRPr="00781112">
        <w:rPr>
          <w:rFonts w:cs="Arial"/>
          <w:color w:val="000000" w:themeColor="text1"/>
          <w:szCs w:val="16"/>
        </w:rPr>
        <w:t>The data reported in the current report was collected using two parent surveys which were converted to a scannable format. One survey, containing 26 items and a comment section, was prepared and administered to the parents of preschool children (ages 3-5). The other survey, containing 24 items and a comment section, was prepared and administered to parents of school-age children (ages 5-21). Using the Rasch method of data analysis, each parent survey was scored and then the percentage of parent surveys above the “cut off” score of 600 was computed. A score above the standard (i.e., cut-off score) indicates agreement that the child’s LEA facilitated parental engagement as a means of improving the child’s special education services.</w:t>
      </w:r>
    </w:p>
    <w:p w14:paraId="75502588" w14:textId="77777777" w:rsidR="007E2779" w:rsidRPr="00781112" w:rsidRDefault="007E2779" w:rsidP="007E2779">
      <w:pPr>
        <w:pStyle w:val="Bold"/>
        <w:rPr>
          <w:color w:val="000000" w:themeColor="text1"/>
        </w:rPr>
      </w:pPr>
    </w:p>
    <w:p w14:paraId="194E8DAB" w14:textId="77777777" w:rsidR="00DF5DC9" w:rsidRDefault="00DF5DC9" w:rsidP="00415FE9">
      <w:pPr>
        <w:rPr>
          <w:rFonts w:cs="Arial"/>
          <w:b/>
          <w:color w:val="000000" w:themeColor="text1"/>
          <w:szCs w:val="16"/>
        </w:rPr>
      </w:pPr>
    </w:p>
    <w:p w14:paraId="1367D5CC" w14:textId="3D23966C" w:rsidR="00415FE9" w:rsidRPr="00781112" w:rsidRDefault="00415FE9" w:rsidP="00415FE9">
      <w:pPr>
        <w:rPr>
          <w:rFonts w:cs="Arial"/>
          <w:b/>
          <w:color w:val="000000" w:themeColor="text1"/>
          <w:szCs w:val="16"/>
        </w:rPr>
      </w:pPr>
      <w:r w:rsidRPr="00781112">
        <w:rPr>
          <w:rFonts w:cs="Arial"/>
          <w:b/>
          <w:color w:val="000000" w:themeColor="text1"/>
          <w:szCs w:val="16"/>
        </w:rPr>
        <w:t>The number of parents to whom the surveys were distributed.</w:t>
      </w:r>
    </w:p>
    <w:p w14:paraId="1181B460" w14:textId="042BF6E0" w:rsidR="00415FE9" w:rsidRPr="00781112" w:rsidRDefault="00415FE9" w:rsidP="00415FE9">
      <w:pPr>
        <w:rPr>
          <w:rFonts w:cs="Arial"/>
          <w:color w:val="000000" w:themeColor="text1"/>
          <w:szCs w:val="16"/>
        </w:rPr>
      </w:pPr>
      <w:r w:rsidRPr="00781112">
        <w:rPr>
          <w:rFonts w:cs="Arial"/>
          <w:color w:val="000000" w:themeColor="text1"/>
          <w:szCs w:val="16"/>
        </w:rPr>
        <w:t>17,090</w:t>
      </w:r>
    </w:p>
    <w:p w14:paraId="37F1825E" w14:textId="77777777" w:rsidR="00415FE9" w:rsidRPr="00781112" w:rsidRDefault="00415FE9" w:rsidP="00415FE9">
      <w:pPr>
        <w:rPr>
          <w:rFonts w:cs="Arial"/>
          <w:b/>
          <w:color w:val="000000" w:themeColor="text1"/>
          <w:szCs w:val="16"/>
        </w:rPr>
      </w:pPr>
      <w:r w:rsidRPr="00781112">
        <w:rPr>
          <w:rFonts w:cs="Arial"/>
          <w:b/>
          <w:color w:val="000000" w:themeColor="text1"/>
          <w:szCs w:val="16"/>
        </w:rPr>
        <w:t>Percentage of respondent parents</w:t>
      </w:r>
    </w:p>
    <w:p w14:paraId="47233287" w14:textId="25AA931E" w:rsidR="00415FE9" w:rsidRPr="00781112" w:rsidRDefault="00415FE9" w:rsidP="00415FE9">
      <w:pPr>
        <w:rPr>
          <w:rFonts w:cs="Arial"/>
          <w:color w:val="000000" w:themeColor="text1"/>
          <w:szCs w:val="16"/>
        </w:rPr>
      </w:pPr>
      <w:r w:rsidRPr="00781112">
        <w:rPr>
          <w:rFonts w:cs="Arial"/>
          <w:color w:val="000000" w:themeColor="text1"/>
          <w:szCs w:val="16"/>
        </w:rPr>
        <w:t>19.47%</w:t>
      </w:r>
    </w:p>
    <w:p w14:paraId="6E133112" w14:textId="714E6C68" w:rsidR="00090132" w:rsidRDefault="00090132" w:rsidP="00AF550B">
      <w:pPr>
        <w:rPr>
          <w:rFonts w:cs="Arial"/>
          <w:iCs/>
          <w:color w:val="000000" w:themeColor="text1"/>
          <w:szCs w:val="16"/>
        </w:rPr>
      </w:pPr>
    </w:p>
    <w:p w14:paraId="22944736" w14:textId="77777777" w:rsidR="00090132" w:rsidRPr="00F737BA" w:rsidRDefault="00090132" w:rsidP="00090132">
      <w:pPr>
        <w:rPr>
          <w:rFonts w:cs="Arial"/>
          <w:b/>
          <w:bCs/>
          <w:szCs w:val="16"/>
        </w:rPr>
      </w:pPr>
      <w:r w:rsidRPr="00F737BA">
        <w:rPr>
          <w:rFonts w:cs="Arial"/>
          <w:b/>
          <w:bCs/>
          <w:szCs w:val="16"/>
        </w:rPr>
        <w:t>Response Rate</w:t>
      </w:r>
    </w:p>
    <w:tbl>
      <w:tblPr>
        <w:tblStyle w:val="TableGrid"/>
        <w:tblW w:w="0" w:type="auto"/>
        <w:tblLook w:val="04A0" w:firstRow="1" w:lastRow="0" w:firstColumn="1" w:lastColumn="0" w:noHBand="0" w:noVBand="1"/>
        <w:tblCaption w:val="B08CFFYDISTPER"/>
      </w:tblPr>
      <w:tblGrid>
        <w:gridCol w:w="1885"/>
        <w:gridCol w:w="2340"/>
        <w:gridCol w:w="759"/>
      </w:tblGrid>
      <w:tr w:rsidR="00090132" w:rsidRPr="00F737BA" w14:paraId="0E1B543B" w14:textId="77777777" w:rsidTr="00DF5DC9">
        <w:tc>
          <w:tcPr>
            <w:tcW w:w="1885" w:type="dxa"/>
          </w:tcPr>
          <w:p w14:paraId="2D7C9FC3" w14:textId="77777777" w:rsidR="00090132" w:rsidRPr="00F737BA" w:rsidRDefault="00090132" w:rsidP="00DF5DC9">
            <w:pPr>
              <w:jc w:val="center"/>
              <w:rPr>
                <w:rFonts w:cs="Arial"/>
                <w:b/>
                <w:szCs w:val="16"/>
              </w:rPr>
            </w:pPr>
            <w:bookmarkStart w:id="43" w:name="_Hlk79652737"/>
            <w:r w:rsidRPr="00F737BA">
              <w:rPr>
                <w:rFonts w:cs="Arial"/>
                <w:b/>
                <w:szCs w:val="16"/>
              </w:rPr>
              <w:t>FFY</w:t>
            </w:r>
          </w:p>
        </w:tc>
        <w:tc>
          <w:tcPr>
            <w:tcW w:w="2340" w:type="dxa"/>
          </w:tcPr>
          <w:p w14:paraId="2109B7B6" w14:textId="77777777" w:rsidR="00090132" w:rsidRPr="004A62FE" w:rsidRDefault="00090132" w:rsidP="00DF5DC9">
            <w:pPr>
              <w:jc w:val="center"/>
              <w:rPr>
                <w:rFonts w:cs="Arial"/>
                <w:b/>
                <w:szCs w:val="16"/>
              </w:rPr>
            </w:pPr>
            <w:r w:rsidRPr="004A62FE">
              <w:rPr>
                <w:rFonts w:cs="Arial"/>
                <w:b/>
                <w:color w:val="000000" w:themeColor="text1"/>
                <w:szCs w:val="16"/>
              </w:rPr>
              <w:t>2022</w:t>
            </w:r>
          </w:p>
        </w:tc>
        <w:tc>
          <w:tcPr>
            <w:tcW w:w="360" w:type="dxa"/>
          </w:tcPr>
          <w:p w14:paraId="0CD9799E" w14:textId="77777777" w:rsidR="00090132" w:rsidRPr="004A62FE" w:rsidRDefault="00090132" w:rsidP="00DF5DC9">
            <w:pPr>
              <w:jc w:val="center"/>
              <w:rPr>
                <w:rFonts w:cs="Arial"/>
                <w:b/>
                <w:szCs w:val="16"/>
              </w:rPr>
            </w:pPr>
            <w:r w:rsidRPr="004A62FE">
              <w:rPr>
                <w:rFonts w:cs="Arial"/>
                <w:b/>
                <w:color w:val="000000" w:themeColor="text1"/>
                <w:szCs w:val="16"/>
              </w:rPr>
              <w:t>2023</w:t>
            </w:r>
          </w:p>
        </w:tc>
      </w:tr>
      <w:tr w:rsidR="00090132" w:rsidRPr="00F737BA" w14:paraId="3E600875" w14:textId="77777777" w:rsidTr="00DF5DC9">
        <w:tc>
          <w:tcPr>
            <w:tcW w:w="1885" w:type="dxa"/>
          </w:tcPr>
          <w:p w14:paraId="497B06E4" w14:textId="77777777" w:rsidR="00090132" w:rsidRPr="00F737BA" w:rsidRDefault="00090132" w:rsidP="00DF5DC9">
            <w:pPr>
              <w:rPr>
                <w:rFonts w:cs="Arial"/>
                <w:szCs w:val="16"/>
              </w:rPr>
            </w:pPr>
            <w:r w:rsidRPr="00F737BA">
              <w:rPr>
                <w:rFonts w:cs="Arial"/>
                <w:szCs w:val="16"/>
              </w:rPr>
              <w:t xml:space="preserve">Response Rate </w:t>
            </w:r>
          </w:p>
        </w:tc>
        <w:tc>
          <w:tcPr>
            <w:tcW w:w="2340" w:type="dxa"/>
            <w:shd w:val="clear" w:color="auto" w:fill="auto"/>
          </w:tcPr>
          <w:p w14:paraId="0FC44028" w14:textId="50784D2F" w:rsidR="00090132" w:rsidRPr="004A62FE" w:rsidRDefault="00090132" w:rsidP="000B4405">
            <w:pPr>
              <w:jc w:val="center"/>
              <w:rPr>
                <w:rFonts w:cs="Arial"/>
                <w:szCs w:val="16"/>
              </w:rPr>
            </w:pPr>
            <w:r w:rsidRPr="004A62FE">
              <w:rPr>
                <w:rFonts w:cs="Arial"/>
                <w:iCs/>
                <w:color w:val="000000" w:themeColor="text1"/>
                <w:szCs w:val="16"/>
              </w:rPr>
              <w:t>20.80%</w:t>
            </w:r>
          </w:p>
        </w:tc>
        <w:tc>
          <w:tcPr>
            <w:tcW w:w="360" w:type="dxa"/>
            <w:shd w:val="clear" w:color="auto" w:fill="auto"/>
          </w:tcPr>
          <w:p w14:paraId="76DE0483" w14:textId="3235EE79" w:rsidR="00090132" w:rsidRPr="004A62FE" w:rsidRDefault="00090132" w:rsidP="000B4405">
            <w:pPr>
              <w:jc w:val="center"/>
              <w:rPr>
                <w:rFonts w:cs="Arial"/>
                <w:szCs w:val="16"/>
              </w:rPr>
            </w:pPr>
            <w:r w:rsidRPr="00090132">
              <w:rPr>
                <w:rFonts w:cs="Arial"/>
                <w:iCs/>
                <w:color w:val="000000" w:themeColor="text1"/>
                <w:szCs w:val="16"/>
              </w:rPr>
              <w:t>19.47%</w:t>
            </w:r>
          </w:p>
        </w:tc>
      </w:tr>
      <w:bookmarkEnd w:id="43"/>
    </w:tbl>
    <w:p w14:paraId="05313584" w14:textId="77777777" w:rsidR="00090132" w:rsidRPr="00F737BA" w:rsidRDefault="00090132" w:rsidP="00090132">
      <w:pPr>
        <w:pStyle w:val="Header"/>
        <w:tabs>
          <w:tab w:val="clear" w:pos="4320"/>
          <w:tab w:val="clear" w:pos="8640"/>
        </w:tabs>
        <w:spacing w:before="0"/>
        <w:rPr>
          <w:rFonts w:ascii="Arial" w:hAnsi="Arial" w:cs="Arial"/>
          <w:bCs/>
          <w:sz w:val="16"/>
          <w:szCs w:val="16"/>
        </w:rPr>
      </w:pPr>
    </w:p>
    <w:p w14:paraId="7EAF7EA9" w14:textId="77777777" w:rsidR="00156FDD" w:rsidRPr="000B29F8" w:rsidRDefault="00156FDD" w:rsidP="00156FDD">
      <w:pPr>
        <w:rPr>
          <w:b/>
          <w:bCs/>
        </w:rPr>
      </w:pPr>
      <w:r w:rsidRPr="000B29F8">
        <w:rPr>
          <w:b/>
          <w:bCs/>
        </w:rPr>
        <w:t>Describe the metric used to determine representativeness (e.g., +/- 3% discrepancy in the proportion of responders compared to target group).</w:t>
      </w:r>
    </w:p>
    <w:p w14:paraId="2D9B0A76" w14:textId="77777777" w:rsidR="00156FDD" w:rsidRPr="000A2B9F" w:rsidRDefault="00156FDD" w:rsidP="00156FDD">
      <w:pPr>
        <w:pStyle w:val="Subhed"/>
        <w:rPr>
          <w:b w:val="0"/>
          <w:bCs/>
        </w:rPr>
      </w:pPr>
      <w:r w:rsidRPr="000A2B9F">
        <w:rPr>
          <w:b w:val="0"/>
          <w:bCs/>
        </w:rPr>
        <w:t>To determine representativeness, WVDE/OSE examines the difference in percentage points between the demographic breakdown of survey respondents and the corresponding breakdown of the target group’s demographics (representing all eligible students in that demographic category). Any data that exhibit an absolute difference of more than 3.0 percentage points indicates areas of over- or underrepresentation.</w:t>
      </w:r>
    </w:p>
    <w:p w14:paraId="69B8C995" w14:textId="77777777" w:rsidR="00156FDD" w:rsidRDefault="00156FDD" w:rsidP="00090132">
      <w:pPr>
        <w:rPr>
          <w:rFonts w:cs="Arial"/>
          <w:b/>
          <w:color w:val="000000" w:themeColor="text1"/>
          <w:szCs w:val="16"/>
        </w:rPr>
      </w:pPr>
    </w:p>
    <w:p w14:paraId="7DF43855" w14:textId="7693C672" w:rsidR="00156FDD" w:rsidRPr="000762B0" w:rsidRDefault="00156FDD" w:rsidP="00156FDD">
      <w:pPr>
        <w:rPr>
          <w:b/>
          <w:bCs/>
        </w:rPr>
      </w:pPr>
      <w:r w:rsidRPr="000762B0">
        <w:rPr>
          <w:b/>
          <w:bCs/>
        </w:rPr>
        <w:t>Include the State’s analyses of the extent to which the demographics of the children for whom parents responded are representative of the demographics of children receiving special education services. States must include race/ethnicity in their analysis. In addition, the State’s analysis must also include at least one of the following demographics: age of the student, disability category, gender, geographic location, and/or another demographic category approved through the stakeholder input process.</w:t>
      </w:r>
    </w:p>
    <w:p w14:paraId="1D2210F6" w14:textId="77777777" w:rsidR="00156FDD" w:rsidRDefault="00156FDD" w:rsidP="00156FDD">
      <w:pPr>
        <w:rPr>
          <w:b/>
          <w:bCs/>
        </w:rPr>
      </w:pPr>
      <w:r w:rsidRPr="000A2B9F">
        <w:rPr>
          <w:bCs/>
          <w:color w:val="000000" w:themeColor="text1"/>
        </w:rPr>
        <w:t xml:space="preserve">The demographics of the children for whom parents responded are representative of those receiving special education services with respect to race/ethnicity and gender. However, children with other health impairments are overrepresented by 3.1 percentage points, which is 0.1 percentage point above the 3.0 percentage point threshold. In contrast, children with specific learning disabilities and those from low SES backgrounds are underrepresented by 5.5 percentage points and 12.7 percentage points, respectively, each exceeding the 3.0 percentage point threshold for representativeness by 2.5 and 9.7 percentage points. </w:t>
      </w:r>
      <w:r w:rsidRPr="000A2B9F">
        <w:rPr>
          <w:bCs/>
          <w:color w:val="000000" w:themeColor="text1"/>
        </w:rPr>
        <w:br/>
      </w:r>
      <w:r w:rsidRPr="000A2B9F">
        <w:rPr>
          <w:bCs/>
          <w:color w:val="000000" w:themeColor="text1"/>
        </w:rPr>
        <w:br/>
        <w:t>A comprehensive report prepared by WVDE/OSE's survey vendor, Measurement Incorporated (MI), details the results of the parent involvement survey for this reporting period. Please see the full 508-compliant report entitled “WVDE IDEA Indicator B-8 Parent Survey Final Report 2023-2024” at [https://wvde.us/special-education/family-and-public-partnership/west-virginia-advisory-council-for-the-education-of-exceptional-children/#wv-idea-parent] which includes the methodology and findings.</w:t>
      </w:r>
      <w:r w:rsidRPr="000A2B9F">
        <w:rPr>
          <w:bCs/>
          <w:color w:val="000000" w:themeColor="text1"/>
        </w:rPr>
        <w:br/>
      </w:r>
      <w:r w:rsidRPr="000A2B9F">
        <w:rPr>
          <w:bCs/>
          <w:color w:val="000000" w:themeColor="text1"/>
        </w:rPr>
        <w:br/>
      </w:r>
      <w:r w:rsidRPr="000A2B9F">
        <w:rPr>
          <w:bCs/>
          <w:color w:val="000000" w:themeColor="text1"/>
        </w:rPr>
        <w:lastRenderedPageBreak/>
        <w:t>Tables 5, 6, 7, and 8 in the full report compare demographic data from SY 2023-24 survey respondents to West Virginia’s December Child Count data from the corresponding school year in the areas of race/ethnicity, gender, disability category, and socioeconomic status. Comparing these characteristics indicates how well students from the cohort of local educational agencies (LEA) whose parents/guardians responded to the survey represent the broader population of students with disabilities in the state.</w:t>
      </w:r>
    </w:p>
    <w:p w14:paraId="3EF17F6A" w14:textId="0A433742" w:rsidR="00156FDD" w:rsidRPr="00A178D0" w:rsidRDefault="00156FDD" w:rsidP="00A178D0">
      <w:pPr>
        <w:rPr>
          <w:b/>
          <w:bCs/>
        </w:rPr>
      </w:pPr>
      <w:r w:rsidRPr="00A178D0">
        <w:rPr>
          <w:b/>
          <w:bCs/>
        </w:rPr>
        <w:t>The demographics of the children for whom parents are responding are representative of the demographics of children receiving special education services. (yes/no)</w:t>
      </w:r>
    </w:p>
    <w:p w14:paraId="51B1DB60" w14:textId="77777777" w:rsidR="00156FDD" w:rsidRDefault="00156FDD" w:rsidP="00156FDD">
      <w:pPr>
        <w:pStyle w:val="Subhed"/>
        <w:rPr>
          <w:b w:val="0"/>
          <w:bCs/>
          <w:color w:val="000000" w:themeColor="text1"/>
        </w:rPr>
      </w:pPr>
      <w:r w:rsidRPr="000A2B9F">
        <w:rPr>
          <w:b w:val="0"/>
          <w:bCs/>
          <w:color w:val="000000" w:themeColor="text1"/>
        </w:rPr>
        <w:t>NO</w:t>
      </w:r>
    </w:p>
    <w:p w14:paraId="2F39D1DC" w14:textId="77777777" w:rsidR="00156FDD" w:rsidRPr="00A12797" w:rsidRDefault="00156FDD" w:rsidP="00156FDD">
      <w:pPr>
        <w:rPr>
          <w:b/>
          <w:bCs/>
        </w:rPr>
      </w:pPr>
      <w:r w:rsidRPr="000762B0">
        <w:rPr>
          <w:b/>
          <w:bCs/>
        </w:rPr>
        <w:t>If no, describe the strategies that the State will use to ensure that in the future the response data are representative of those demographics</w:t>
      </w:r>
    </w:p>
    <w:p w14:paraId="5834B28C" w14:textId="77777777" w:rsidR="00156FDD" w:rsidRPr="000A2B9F" w:rsidRDefault="00156FDD" w:rsidP="00156FDD">
      <w:pPr>
        <w:pStyle w:val="Subhed"/>
        <w:rPr>
          <w:b w:val="0"/>
          <w:bCs/>
        </w:rPr>
      </w:pPr>
      <w:r w:rsidRPr="000A2B9F">
        <w:rPr>
          <w:b w:val="0"/>
          <w:bCs/>
          <w:color w:val="000000" w:themeColor="text1"/>
        </w:rPr>
        <w:t>WVDE/OSE will continue to offer surveys through various channels such as email, online forms, and paper versions to accommodate different preferences and accessibility needs. To enhance outreach and engagement, WVDE/OSE will, through messaging from the state-level family engagement coordinator, recommend that LEA administrators and special education directors promote the survey using diverse methods, including social media, newsletters, school websites, phone calls, and texts. Additionally, we will post flyers in strategic locations, tailor outreach efforts for underrepresented groups using data from LEA-level reports, and conduct focus groups to explore strategies for increasing parent participation.</w:t>
      </w:r>
      <w:r w:rsidRPr="000A2B9F">
        <w:rPr>
          <w:b w:val="0"/>
          <w:bCs/>
          <w:color w:val="000000" w:themeColor="text1"/>
        </w:rPr>
        <w:br/>
      </w:r>
      <w:r w:rsidRPr="000A2B9F">
        <w:rPr>
          <w:b w:val="0"/>
          <w:bCs/>
          <w:color w:val="000000" w:themeColor="text1"/>
        </w:rPr>
        <w:br/>
        <w:t>To ensure the response data are representative of the demographics of children receiving special education services, WVDE/OSE will continue to review and analyze data by demographic subgroups to identify any disparities in response rates or findings and share the survey methodology and any limitations in public reports to maintain transparency. Furthermore, WVDE/OSE will continually monitor and evaluate the effectiveness of data collection strategies, making adjustments or modifications as necessary to improve representativeness and accuracy.</w:t>
      </w:r>
    </w:p>
    <w:p w14:paraId="4FDE2F5E" w14:textId="77777777" w:rsidR="00156FDD" w:rsidRDefault="00156FDD" w:rsidP="00090132">
      <w:pPr>
        <w:rPr>
          <w:rFonts w:cs="Arial"/>
          <w:b/>
          <w:color w:val="000000" w:themeColor="text1"/>
          <w:szCs w:val="16"/>
        </w:rPr>
      </w:pPr>
    </w:p>
    <w:p w14:paraId="4BDEC798" w14:textId="64E8BE6C" w:rsidR="00090132" w:rsidRPr="0061205F" w:rsidRDefault="00090132" w:rsidP="00090132">
      <w:pPr>
        <w:rPr>
          <w:rFonts w:cs="Arial"/>
          <w:b/>
          <w:color w:val="000000" w:themeColor="text1"/>
          <w:szCs w:val="16"/>
        </w:rPr>
      </w:pPr>
      <w:r w:rsidRPr="0061205F">
        <w:rPr>
          <w:rFonts w:cs="Arial"/>
          <w:b/>
          <w:color w:val="000000" w:themeColor="text1"/>
          <w:szCs w:val="16"/>
        </w:rPr>
        <w:t>Describe strategies that will be implemented which are expected to increase the response rate year over year, particularly for those groups that are underrepresented.</w:t>
      </w:r>
    </w:p>
    <w:p w14:paraId="3C9BE65D" w14:textId="77777777" w:rsidR="00090132" w:rsidRPr="000A2B9F" w:rsidRDefault="00090132" w:rsidP="00090132">
      <w:pPr>
        <w:rPr>
          <w:rFonts w:cs="Arial"/>
          <w:bCs/>
          <w:color w:val="000000" w:themeColor="text1"/>
          <w:szCs w:val="16"/>
        </w:rPr>
      </w:pPr>
      <w:r w:rsidRPr="0061205F">
        <w:rPr>
          <w:rFonts w:cs="Arial"/>
          <w:bCs/>
          <w:color w:val="000000" w:themeColor="text1"/>
          <w:szCs w:val="16"/>
        </w:rPr>
        <w:t>The survey collection process will continue to utilize multiple methods to increase response rates, particularly among underrepresented groups.</w:t>
      </w:r>
      <w:r w:rsidRPr="0061205F">
        <w:rPr>
          <w:rFonts w:cs="Arial"/>
          <w:bCs/>
          <w:color w:val="000000" w:themeColor="text1"/>
          <w:szCs w:val="16"/>
        </w:rPr>
        <w:br/>
      </w:r>
      <w:r w:rsidRPr="0061205F">
        <w:rPr>
          <w:rFonts w:cs="Arial"/>
          <w:bCs/>
          <w:color w:val="000000" w:themeColor="text1"/>
          <w:szCs w:val="16"/>
        </w:rPr>
        <w:br/>
        <w:t>PAPER SURVEYS: The survey vendor, Measurement Incorporated (MI), will provide paper copies of the survey, allowing respondents to complete and return them in a postage-paid envelope. To further facilitate participation, MI will include a scannable QR code on the survey.</w:t>
      </w:r>
      <w:r w:rsidRPr="0061205F">
        <w:rPr>
          <w:rFonts w:cs="Arial"/>
          <w:bCs/>
          <w:color w:val="000000" w:themeColor="text1"/>
          <w:szCs w:val="16"/>
        </w:rPr>
        <w:br/>
      </w:r>
      <w:r w:rsidRPr="0061205F">
        <w:rPr>
          <w:rFonts w:cs="Arial"/>
          <w:bCs/>
          <w:color w:val="000000" w:themeColor="text1"/>
          <w:szCs w:val="16"/>
        </w:rPr>
        <w:br/>
        <w:t>ONLINE SURVEYS: Respondents will receive log-in information to access and complete the survey online. MI will continue to enhance the user interface of the online survey to improve user experiences and interactions.</w:t>
      </w:r>
      <w:r w:rsidRPr="0061205F">
        <w:rPr>
          <w:rFonts w:cs="Arial"/>
          <w:bCs/>
          <w:color w:val="000000" w:themeColor="text1"/>
          <w:szCs w:val="16"/>
        </w:rPr>
        <w:br/>
      </w:r>
      <w:r w:rsidRPr="0061205F">
        <w:rPr>
          <w:rFonts w:cs="Arial"/>
          <w:bCs/>
          <w:color w:val="000000" w:themeColor="text1"/>
          <w:szCs w:val="16"/>
        </w:rPr>
        <w:br/>
        <w:t>DIRECT EMAIL: Direct emails will be sent to parents/guardians with available email addresses, containing instructions and a hyperlink to the survey.</w:t>
      </w:r>
      <w:r w:rsidRPr="0061205F">
        <w:rPr>
          <w:rFonts w:cs="Arial"/>
          <w:bCs/>
          <w:color w:val="000000" w:themeColor="text1"/>
          <w:szCs w:val="16"/>
        </w:rPr>
        <w:br/>
      </w:r>
      <w:r w:rsidRPr="0061205F">
        <w:rPr>
          <w:rFonts w:cs="Arial"/>
          <w:bCs/>
          <w:color w:val="000000" w:themeColor="text1"/>
          <w:szCs w:val="16"/>
        </w:rPr>
        <w:br/>
        <w:t>MI will closely monitor the survey dissemination process through data monitoring procedures and provide ongoing communication to WVDE/OSE staff. During the analysis phase, MI will examine the data for representativeness across key demographic variables, such as race/ethnicity, age group, gender, disability, and socioeconomic status (SES) based on eligibility for free or reduced-price lunch (FRPL). By identifying underrepresented groups through this analysis, MI can tailor future survey strategies to better engage these populations.</w:t>
      </w:r>
    </w:p>
    <w:p w14:paraId="43E156F3" w14:textId="001639B3" w:rsidR="00090132" w:rsidRDefault="00090132" w:rsidP="00090132">
      <w:pPr>
        <w:rPr>
          <w:rFonts w:cs="Arial"/>
          <w:b/>
          <w:color w:val="000000" w:themeColor="text1"/>
          <w:szCs w:val="16"/>
        </w:rPr>
      </w:pPr>
      <w:r w:rsidRPr="0061205F">
        <w:rPr>
          <w:rFonts w:cs="Arial"/>
          <w:b/>
          <w:color w:val="000000" w:themeColor="text1"/>
          <w:szCs w:val="16"/>
        </w:rPr>
        <w:t xml:space="preserve">Describe the analysis </w:t>
      </w:r>
      <w:bookmarkStart w:id="44" w:name="_Hlk81486999"/>
      <w:r w:rsidRPr="0061205F">
        <w:rPr>
          <w:rFonts w:cs="Arial"/>
          <w:b/>
          <w:color w:val="000000" w:themeColor="text1"/>
          <w:szCs w:val="16"/>
        </w:rPr>
        <w:t>of the response rate including any nonresponse bias that was identified,</w:t>
      </w:r>
      <w:bookmarkEnd w:id="44"/>
      <w:r w:rsidRPr="0061205F">
        <w:rPr>
          <w:rFonts w:cs="Arial"/>
          <w:b/>
          <w:color w:val="000000" w:themeColor="text1"/>
          <w:szCs w:val="16"/>
        </w:rPr>
        <w:t xml:space="preserve"> and the steps taken to reduce any identified bias and promote response from a broad cross section of </w:t>
      </w:r>
      <w:r w:rsidR="009B0EF0" w:rsidRPr="007A62B9">
        <w:rPr>
          <w:rFonts w:cs="Arial"/>
          <w:b/>
          <w:szCs w:val="16"/>
        </w:rPr>
        <w:t>parents of children with disabilities</w:t>
      </w:r>
      <w:r w:rsidRPr="0061205F">
        <w:rPr>
          <w:rFonts w:cs="Arial"/>
          <w:b/>
          <w:color w:val="000000" w:themeColor="text1"/>
          <w:szCs w:val="16"/>
        </w:rPr>
        <w:t>.</w:t>
      </w:r>
    </w:p>
    <w:p w14:paraId="36D187F6" w14:textId="77777777" w:rsidR="00090132" w:rsidRPr="000A2B9F" w:rsidRDefault="00090132" w:rsidP="00090132">
      <w:pPr>
        <w:rPr>
          <w:rFonts w:cs="Arial"/>
          <w:b/>
          <w:color w:val="000000" w:themeColor="text1"/>
          <w:szCs w:val="16"/>
        </w:rPr>
      </w:pPr>
      <w:r>
        <w:rPr>
          <w:rFonts w:cs="Arial"/>
          <w:szCs w:val="16"/>
        </w:rPr>
        <w:t>RESPONSE RATE</w:t>
      </w:r>
      <w:r>
        <w:rPr>
          <w:rFonts w:cs="Arial"/>
          <w:szCs w:val="16"/>
        </w:rPr>
        <w:br/>
        <w:t>With a total of 17,090 surveys delivered, at a 95% confidence level and a 3% margin of error, the minimum sample size required is 1,005, which is equivalent to a 5.88% overall response rate. A total of 3,328 surveys were returned from both preschool and school age groups, resulting in a response rate of 19.47%. Compared to three years ago when these LEAs were last surveyed (SY 2020-21), the overall response rate this year dropped by 5 percentage points. The response rate for the preschool parent survey decreased by 2 percentage points, and the response rate for the school age parent survey decreased by 5 percentage points. Table 2 in the full survey report provides a detailed comparison of these changes. WVDE/OSE's analysis revealed a statistically significant decline in overall response rates for this cohort of LEAs from SY 2020-21 to SY 2023-24 (Z = 10.85, p &lt; .001); however, the observed effect size indicates that the magnitude of the difference between the proportions is very small (Cohen’s h = .12).</w:t>
      </w:r>
      <w:r>
        <w:rPr>
          <w:rFonts w:cs="Arial"/>
          <w:szCs w:val="16"/>
        </w:rPr>
        <w:br/>
      </w:r>
      <w:r>
        <w:rPr>
          <w:rFonts w:cs="Arial"/>
          <w:szCs w:val="16"/>
        </w:rPr>
        <w:br/>
      </w:r>
      <w:r>
        <w:rPr>
          <w:rFonts w:cs="Arial"/>
          <w:szCs w:val="16"/>
        </w:rPr>
        <w:br/>
        <w:t>NONRESPONSE BIAS</w:t>
      </w:r>
      <w:r>
        <w:rPr>
          <w:rFonts w:cs="Arial"/>
          <w:szCs w:val="16"/>
        </w:rPr>
        <w:br/>
        <w:t>The demographics of the children for whom parents responded are representative of those receiving special education services with respect to race/ethnicity and gender. However, children with specific learning disabilities and those from low socioeconomic status (SES) backgrounds are underrepresented by 5.5 and 12.7 percentage points, respectively, each exceeding the 3.0 percentage point threshold for representativeness by 2.5 and 9.7 percentage points.</w:t>
      </w:r>
      <w:r>
        <w:rPr>
          <w:rFonts w:cs="Arial"/>
          <w:szCs w:val="16"/>
        </w:rPr>
        <w:br/>
      </w:r>
      <w:r>
        <w:rPr>
          <w:rFonts w:cs="Arial"/>
          <w:szCs w:val="16"/>
        </w:rPr>
        <w:br/>
        <w:t>The statistical method of “nonresponse weighting” was applied to the data to investigate and address any potential nonresponse bias. These weights adjusted the influence of respondents by increasing the weight for those from underrepresented subgroups and decreasing it for any overrepresented subgroups, allowing for the sample to reflect the true population more accurately.</w:t>
      </w:r>
      <w:r>
        <w:rPr>
          <w:rFonts w:cs="Arial"/>
          <w:szCs w:val="16"/>
        </w:rPr>
        <w:br/>
      </w:r>
      <w:r>
        <w:rPr>
          <w:rFonts w:cs="Arial"/>
          <w:szCs w:val="16"/>
        </w:rPr>
        <w:br/>
        <w:t>After applying the weighted adjustment, the percentage of respondents at or above the standard (i.e., cut-off score) changed slightly from 39.66% to 39.52%, indicating that the weighting adjustment did not significantly alter the overall response patterns. Further analysis at the subgroup levels for disability category and SES revealed no meaningful differences between actual and weighted percentages of respondents at or above the standard. Specifically, the percentages at or above the standard for the specific learning disabilities and low SES subgroups were identical when rounded to the tenths place.</w:t>
      </w:r>
      <w:r>
        <w:rPr>
          <w:rFonts w:cs="Arial"/>
          <w:szCs w:val="16"/>
        </w:rPr>
        <w:br/>
      </w:r>
      <w:r>
        <w:rPr>
          <w:rFonts w:cs="Arial"/>
          <w:szCs w:val="16"/>
        </w:rPr>
        <w:br/>
        <w:t>WVDE/OSE's analysis conducted for the specific learning disabilities subgroup indicated that there is a non-significant, very small difference between the pattern of responding of parents of children with specific learning disabilities (37.17% of responses at/above the standard) and all other parents of children with disabilities (40.61% of responses at/above the standard), Z = 1.81, p = .07. The observed effect size indicates that the magnitude of the difference between the proportions is very small (Cohen’s h = .07).</w:t>
      </w:r>
      <w:r>
        <w:rPr>
          <w:rFonts w:cs="Arial"/>
          <w:szCs w:val="16"/>
        </w:rPr>
        <w:br/>
      </w:r>
      <w:r>
        <w:rPr>
          <w:rFonts w:cs="Arial"/>
          <w:szCs w:val="16"/>
        </w:rPr>
        <w:br/>
        <w:t>A similar analysis was conducted for the low SES subgroup, the results of which indicated that there is a non-significant, very small difference between the pattern of responding from the low SES subgroup (38.56% of responses at/above the standard) and those not classified as low SES (40.60% of responses at/above the standard), Z = 1.20, p = .230. Further, the observed effect size indicates that the magnitude of the difference between the proportions is very small (Cohen’s h = .04).</w:t>
      </w:r>
      <w:r>
        <w:rPr>
          <w:rFonts w:cs="Arial"/>
          <w:szCs w:val="16"/>
        </w:rPr>
        <w:br/>
      </w:r>
      <w:r>
        <w:rPr>
          <w:rFonts w:cs="Arial"/>
          <w:szCs w:val="16"/>
        </w:rPr>
        <w:br/>
        <w:t>For the specific learning disabilities and low SES subgroups, the evidence of nonresponse bias is not statistically significant or practically meaningful.</w:t>
      </w:r>
      <w:r>
        <w:rPr>
          <w:rFonts w:cs="Arial"/>
          <w:szCs w:val="16"/>
        </w:rPr>
        <w:br/>
      </w:r>
      <w:r>
        <w:rPr>
          <w:rFonts w:cs="Arial"/>
          <w:szCs w:val="16"/>
        </w:rPr>
        <w:br/>
      </w:r>
      <w:r>
        <w:rPr>
          <w:rFonts w:cs="Arial"/>
          <w:szCs w:val="16"/>
        </w:rPr>
        <w:lastRenderedPageBreak/>
        <w:br/>
        <w:t>PROMOTING RESPONSE</w:t>
      </w:r>
      <w:r>
        <w:rPr>
          <w:rFonts w:cs="Arial"/>
          <w:szCs w:val="16"/>
        </w:rPr>
        <w:br/>
        <w:t>Targeted outreach efforts were made to promote survey completion. These efforts included mailing paper copies of the letter, survey, and self-addressed postage-paid envelopes by U.S. Mail, resending of surveys to eligible respondents who did not respond to either the initial email distribution or the follow up paper survey distribution, and providing multiple ways to complete the survey, such as online, paper, and email options. Overall, these steps helped to reduce nonresponse bias and promote a more representative response from a broad cross section of parents of children with disabilities.</w:t>
      </w:r>
    </w:p>
    <w:p w14:paraId="78A83A27" w14:textId="50D5E24D" w:rsidR="001F448F" w:rsidRDefault="001F448F" w:rsidP="00A12797">
      <w:pPr>
        <w:rPr>
          <w:b/>
          <w:bCs/>
        </w:rPr>
      </w:pPr>
    </w:p>
    <w:tbl>
      <w:tblPr>
        <w:tblStyle w:val="TableGrid"/>
        <w:tblW w:w="0" w:type="auto"/>
        <w:tblLayout w:type="fixed"/>
        <w:tblLook w:val="04A0" w:firstRow="1" w:lastRow="0" w:firstColumn="1" w:lastColumn="0" w:noHBand="0" w:noVBand="1"/>
        <w:tblCaption w:val="B08SAMPLEUSED"/>
      </w:tblPr>
      <w:tblGrid>
        <w:gridCol w:w="8550"/>
        <w:gridCol w:w="2245"/>
      </w:tblGrid>
      <w:tr w:rsidR="005C29F8" w:rsidRPr="00781112" w14:paraId="4C454EA6" w14:textId="77777777" w:rsidTr="002B4D97">
        <w:trPr>
          <w:tblHeader/>
        </w:trPr>
        <w:tc>
          <w:tcPr>
            <w:tcW w:w="8550" w:type="dxa"/>
            <w:shd w:val="clear" w:color="auto" w:fill="auto"/>
          </w:tcPr>
          <w:p w14:paraId="641A3E2E" w14:textId="371AB589" w:rsidR="00564D95" w:rsidRPr="00781112" w:rsidRDefault="00E91363" w:rsidP="00B6413B">
            <w:pPr>
              <w:rPr>
                <w:rFonts w:cs="Arial"/>
                <w:b/>
                <w:bCs/>
                <w:color w:val="000000" w:themeColor="text1"/>
                <w:szCs w:val="16"/>
              </w:rPr>
            </w:pPr>
            <w:r w:rsidRPr="00781112">
              <w:rPr>
                <w:rFonts w:cs="Arial"/>
                <w:b/>
                <w:bCs/>
                <w:color w:val="000000" w:themeColor="text1"/>
                <w:szCs w:val="16"/>
              </w:rPr>
              <w:t>Sampling Question</w:t>
            </w:r>
          </w:p>
        </w:tc>
        <w:tc>
          <w:tcPr>
            <w:tcW w:w="2245" w:type="dxa"/>
            <w:shd w:val="clear" w:color="auto" w:fill="auto"/>
          </w:tcPr>
          <w:p w14:paraId="5DD050D6" w14:textId="45F46418" w:rsidR="00564D95" w:rsidRPr="00781112" w:rsidRDefault="00564D9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5780CF1" w14:textId="46D0A53A" w:rsidTr="002B4D97">
        <w:tc>
          <w:tcPr>
            <w:tcW w:w="8550" w:type="dxa"/>
            <w:shd w:val="clear" w:color="auto" w:fill="auto"/>
          </w:tcPr>
          <w:p w14:paraId="43F69327" w14:textId="1229D955" w:rsidR="00564D95" w:rsidRPr="00781112" w:rsidRDefault="00564D95" w:rsidP="00B6413B">
            <w:pPr>
              <w:rPr>
                <w:rFonts w:cs="Arial"/>
                <w:color w:val="000000" w:themeColor="text1"/>
                <w:szCs w:val="16"/>
              </w:rPr>
            </w:pPr>
            <w:r w:rsidRPr="00781112">
              <w:rPr>
                <w:rFonts w:cs="Arial"/>
                <w:color w:val="000000" w:themeColor="text1"/>
                <w:szCs w:val="16"/>
              </w:rPr>
              <w:t xml:space="preserve">Was sampling used? </w:t>
            </w:r>
          </w:p>
        </w:tc>
        <w:tc>
          <w:tcPr>
            <w:tcW w:w="2245" w:type="dxa"/>
            <w:shd w:val="clear" w:color="auto" w:fill="auto"/>
          </w:tcPr>
          <w:p w14:paraId="1BA005BB" w14:textId="4AC8FD0F" w:rsidR="00564D9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46B6D7FE" w14:textId="62FEECDE" w:rsidTr="002B4D97">
        <w:tc>
          <w:tcPr>
            <w:tcW w:w="8550" w:type="dxa"/>
            <w:shd w:val="clear" w:color="auto" w:fill="auto"/>
          </w:tcPr>
          <w:p w14:paraId="03CC110D" w14:textId="013D0EF2" w:rsidR="00564D95" w:rsidRPr="00781112" w:rsidRDefault="00EF1C23" w:rsidP="00B6413B">
            <w:pPr>
              <w:rPr>
                <w:rFonts w:cs="Arial"/>
                <w:color w:val="000000" w:themeColor="text1"/>
                <w:szCs w:val="16"/>
              </w:rPr>
            </w:pPr>
            <w:r w:rsidRPr="00781112">
              <w:rPr>
                <w:rFonts w:cs="Arial"/>
                <w:color w:val="000000" w:themeColor="text1"/>
                <w:szCs w:val="16"/>
              </w:rPr>
              <w:t>If yes, has your previously approved sampling plan changed?</w:t>
            </w:r>
          </w:p>
        </w:tc>
        <w:tc>
          <w:tcPr>
            <w:tcW w:w="2245" w:type="dxa"/>
            <w:shd w:val="clear" w:color="auto" w:fill="auto"/>
          </w:tcPr>
          <w:p w14:paraId="152E1EC0" w14:textId="4401EFC8" w:rsidR="00564D9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7C7B18C6" w14:textId="2B0391C4" w:rsidR="009B37A2" w:rsidRPr="00781112" w:rsidRDefault="009B37A2" w:rsidP="00B6413B">
      <w:pPr>
        <w:rPr>
          <w:rFonts w:cs="Arial"/>
          <w:b/>
          <w:color w:val="000000" w:themeColor="text1"/>
          <w:szCs w:val="16"/>
        </w:rPr>
      </w:pPr>
      <w:r w:rsidRPr="00781112">
        <w:rPr>
          <w:rFonts w:cs="Arial"/>
          <w:b/>
          <w:color w:val="000000" w:themeColor="text1"/>
          <w:szCs w:val="16"/>
        </w:rPr>
        <w:t>Describe the sampling methodology outlining how the design will yield valid and reliable estimates.</w:t>
      </w:r>
    </w:p>
    <w:p w14:paraId="1972664F" w14:textId="35FA6AAA" w:rsidR="009B37A2" w:rsidRPr="00781112" w:rsidRDefault="002B7490" w:rsidP="00B6413B">
      <w:pPr>
        <w:rPr>
          <w:rFonts w:cs="Arial"/>
          <w:color w:val="000000" w:themeColor="text1"/>
          <w:szCs w:val="16"/>
        </w:rPr>
      </w:pPr>
      <w:r w:rsidRPr="00781112">
        <w:rPr>
          <w:rFonts w:cs="Arial"/>
          <w:color w:val="000000" w:themeColor="text1"/>
          <w:szCs w:val="16"/>
        </w:rPr>
        <w:t>In a collaborative effort, MI and WVDE/OSE coordinated the details regarding survey administration. WVDE sampled the population of LEAs to provide a representative sample of families to survey. The sample was consistent with the OSEP-approved sampling plan that takes into account disability category, race/ethnicity, region, and LEA size. All parents of students with disabilities in the selected LEAs are surveyed and all LEAs are surveyed at least once within a three-year period.</w:t>
      </w:r>
      <w:r w:rsidRPr="00781112">
        <w:rPr>
          <w:rFonts w:cs="Arial"/>
          <w:color w:val="000000" w:themeColor="text1"/>
          <w:szCs w:val="16"/>
        </w:rPr>
        <w:br/>
      </w:r>
      <w:r w:rsidRPr="00781112">
        <w:rPr>
          <w:rFonts w:cs="Arial"/>
          <w:color w:val="000000" w:themeColor="text1"/>
          <w:szCs w:val="16"/>
        </w:rPr>
        <w:br/>
        <w:t>Each survey was labeled with a code that could be linked to an LEA and the child's demographic data. Each survey packet mailed to parents contained a survey, an instructional letter, and a postage-paid return envelope addressed to MI. Mailing the completed survey directly to the independent contractor helped protect parents’ confidentiality. Parents also had the option to complete the survey online. The paper survey mailed to parents included instructions (i.e., log-in information and a username) to allow online participation. Direct emails containing the survey’s hyperlink were also sent to a portion of the sample recipients for whom email addresses were available (887 preschool parents and 9,271 school-age parents).</w:t>
      </w:r>
      <w:r w:rsidRPr="00781112">
        <w:rPr>
          <w:rFonts w:cs="Arial"/>
          <w:color w:val="000000" w:themeColor="text1"/>
          <w:szCs w:val="16"/>
        </w:rPr>
        <w:br/>
      </w:r>
      <w:r w:rsidRPr="00781112">
        <w:rPr>
          <w:rFonts w:cs="Arial"/>
          <w:color w:val="000000" w:themeColor="text1"/>
          <w:szCs w:val="16"/>
        </w:rPr>
        <w:br/>
        <w:t xml:space="preserve">The OSEP-approved sampling plan is available at [https://wvde.us/special-education/family-and-public-partnership/west-virginia-advisory-council-for-the-education-of-exceptional-children/#wv-idea-parent] and has not been revised since its initial approval. </w:t>
      </w:r>
      <w:r w:rsidRPr="00781112">
        <w:rPr>
          <w:rFonts w:cs="Arial"/>
          <w:color w:val="000000" w:themeColor="text1"/>
          <w:szCs w:val="16"/>
        </w:rPr>
        <w:br/>
      </w:r>
      <w:r w:rsidRPr="00781112">
        <w:rPr>
          <w:rFonts w:cs="Arial"/>
          <w:color w:val="000000" w:themeColor="text1"/>
          <w:szCs w:val="16"/>
        </w:rPr>
        <w:br/>
        <w:t xml:space="preserve">Please see the full 508 compliant survey report at [https://wvde.us/special-education/family-and-public-partnership/west-virginia-advisory-council-for-the-education-of-exceptional-children/#wv-idea-parent] which includes procedures, methodology, and validity. </w:t>
      </w:r>
    </w:p>
    <w:p w14:paraId="12C8B638" w14:textId="77777777" w:rsidR="00AF550B" w:rsidRPr="00781112" w:rsidRDefault="00AF550B" w:rsidP="00AF550B">
      <w:pPr>
        <w:rPr>
          <w:rFonts w:cs="Arial"/>
          <w:color w:val="000000" w:themeColor="text1"/>
          <w:szCs w:val="16"/>
        </w:rPr>
      </w:pPr>
    </w:p>
    <w:tbl>
      <w:tblPr>
        <w:tblStyle w:val="TableGrid"/>
        <w:tblW w:w="10800" w:type="dxa"/>
        <w:tblLayout w:type="fixed"/>
        <w:tblLook w:val="04A0" w:firstRow="1" w:lastRow="0" w:firstColumn="1" w:lastColumn="0" w:noHBand="0" w:noVBand="1"/>
        <w:tblCaption w:val="B08SURVEYUSED"/>
      </w:tblPr>
      <w:tblGrid>
        <w:gridCol w:w="8550"/>
        <w:gridCol w:w="2250"/>
      </w:tblGrid>
      <w:tr w:rsidR="005C29F8" w:rsidRPr="00781112" w14:paraId="5A4C524D" w14:textId="77777777" w:rsidTr="0033429D">
        <w:trPr>
          <w:tblHeader/>
        </w:trPr>
        <w:tc>
          <w:tcPr>
            <w:tcW w:w="8550" w:type="dxa"/>
          </w:tcPr>
          <w:p w14:paraId="3B302184" w14:textId="3C2CBF4D" w:rsidR="00B5350E" w:rsidRPr="00781112" w:rsidRDefault="00BC5CA0" w:rsidP="00B6413B">
            <w:pPr>
              <w:rPr>
                <w:rFonts w:cs="Arial"/>
                <w:b/>
                <w:bCs/>
                <w:color w:val="000000" w:themeColor="text1"/>
                <w:szCs w:val="16"/>
              </w:rPr>
            </w:pPr>
            <w:r w:rsidRPr="00781112">
              <w:rPr>
                <w:rFonts w:cs="Arial"/>
                <w:b/>
                <w:bCs/>
                <w:color w:val="000000" w:themeColor="text1"/>
                <w:szCs w:val="16"/>
              </w:rPr>
              <w:t>Survey Question</w:t>
            </w:r>
          </w:p>
        </w:tc>
        <w:tc>
          <w:tcPr>
            <w:tcW w:w="2250" w:type="dxa"/>
          </w:tcPr>
          <w:p w14:paraId="4082973A" w14:textId="148FA82D" w:rsidR="00B5350E" w:rsidRPr="00781112" w:rsidRDefault="00B5350E"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2BBB7A7B" w14:textId="530EE0A4" w:rsidTr="00E0321D">
        <w:tc>
          <w:tcPr>
            <w:tcW w:w="8550" w:type="dxa"/>
          </w:tcPr>
          <w:p w14:paraId="1C595FC3" w14:textId="00C59640" w:rsidR="00B5350E" w:rsidRPr="00781112" w:rsidRDefault="00B5350E" w:rsidP="00B6413B">
            <w:pPr>
              <w:rPr>
                <w:rFonts w:cs="Arial"/>
                <w:color w:val="000000" w:themeColor="text1"/>
                <w:szCs w:val="16"/>
              </w:rPr>
            </w:pPr>
            <w:r w:rsidRPr="00781112">
              <w:rPr>
                <w:rFonts w:cs="Arial"/>
                <w:color w:val="000000" w:themeColor="text1"/>
                <w:szCs w:val="16"/>
              </w:rPr>
              <w:t xml:space="preserve">Was a survey used? </w:t>
            </w:r>
          </w:p>
        </w:tc>
        <w:tc>
          <w:tcPr>
            <w:tcW w:w="2250" w:type="dxa"/>
          </w:tcPr>
          <w:p w14:paraId="694FDC95" w14:textId="251E84C1" w:rsidR="00B5350E"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1198B60F" w14:textId="5AD58247" w:rsidTr="00E0321D">
        <w:tc>
          <w:tcPr>
            <w:tcW w:w="8550" w:type="dxa"/>
          </w:tcPr>
          <w:p w14:paraId="7B6CA23B" w14:textId="49CC8BE9" w:rsidR="00B5350E" w:rsidRPr="00781112" w:rsidRDefault="0020552B" w:rsidP="00B6413B">
            <w:pPr>
              <w:rPr>
                <w:rFonts w:cs="Arial"/>
                <w:color w:val="000000" w:themeColor="text1"/>
                <w:szCs w:val="16"/>
              </w:rPr>
            </w:pPr>
            <w:r w:rsidRPr="00781112">
              <w:rPr>
                <w:rFonts w:cs="Arial"/>
                <w:color w:val="000000" w:themeColor="text1"/>
                <w:szCs w:val="16"/>
              </w:rPr>
              <w:t>If yes, is it a new or revised survey?</w:t>
            </w:r>
          </w:p>
        </w:tc>
        <w:tc>
          <w:tcPr>
            <w:tcW w:w="2250" w:type="dxa"/>
          </w:tcPr>
          <w:p w14:paraId="7CA6C425" w14:textId="5334C716" w:rsidR="00B5350E"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20B301BF" w14:textId="77777777" w:rsidTr="00E0321D">
        <w:tc>
          <w:tcPr>
            <w:tcW w:w="8550" w:type="dxa"/>
          </w:tcPr>
          <w:p w14:paraId="5941AFA2" w14:textId="5CB4672E" w:rsidR="00371D57" w:rsidRPr="00781112" w:rsidRDefault="00BB56EB" w:rsidP="00B6413B">
            <w:pPr>
              <w:rPr>
                <w:rFonts w:cs="Arial"/>
                <w:color w:val="000000" w:themeColor="text1"/>
                <w:szCs w:val="16"/>
              </w:rPr>
            </w:pPr>
            <w:r w:rsidRPr="00781112">
              <w:rPr>
                <w:rFonts w:cs="Arial"/>
                <w:color w:val="000000" w:themeColor="text1"/>
                <w:szCs w:val="16"/>
              </w:rPr>
              <w:t>If yes, provide a copy of the survey.</w:t>
            </w:r>
          </w:p>
        </w:tc>
        <w:tc>
          <w:tcPr>
            <w:tcW w:w="2250" w:type="dxa"/>
          </w:tcPr>
          <w:p w14:paraId="47FBC4A0" w14:textId="3B42F246" w:rsidR="00371D57" w:rsidRPr="00781112" w:rsidRDefault="00371D57" w:rsidP="00A018D4">
            <w:pPr>
              <w:jc w:val="center"/>
              <w:rPr>
                <w:rFonts w:cs="Arial"/>
                <w:color w:val="000000" w:themeColor="text1"/>
                <w:szCs w:val="16"/>
              </w:rPr>
            </w:pPr>
          </w:p>
        </w:tc>
      </w:tr>
    </w:tbl>
    <w:p w14:paraId="15C9B2F7" w14:textId="77777777" w:rsidR="00991685" w:rsidRDefault="00991685" w:rsidP="00221EC9">
      <w:pPr>
        <w:rPr>
          <w:rFonts w:cs="Arial"/>
          <w:b/>
          <w:color w:val="000000" w:themeColor="text1"/>
          <w:szCs w:val="16"/>
        </w:rPr>
      </w:pPr>
    </w:p>
    <w:p w14:paraId="1A0A4F5E" w14:textId="49FD4EED" w:rsidR="00221EC9" w:rsidRPr="00781112" w:rsidRDefault="00221EC9" w:rsidP="00221EC9">
      <w:pPr>
        <w:rPr>
          <w:rFonts w:cs="Arial"/>
          <w:b/>
          <w:color w:val="000000" w:themeColor="text1"/>
          <w:szCs w:val="16"/>
        </w:rPr>
      </w:pPr>
      <w:r w:rsidRPr="00781112">
        <w:rPr>
          <w:rFonts w:cs="Arial"/>
          <w:b/>
          <w:color w:val="000000" w:themeColor="text1"/>
          <w:szCs w:val="16"/>
        </w:rPr>
        <w:t>Provide additional information about this indicator (optional)</w:t>
      </w:r>
    </w:p>
    <w:p w14:paraId="7F22D6A0" w14:textId="105FEEC5" w:rsidR="009B37A2" w:rsidRPr="00781112" w:rsidRDefault="009B37A2" w:rsidP="007D435F">
      <w:pPr>
        <w:rPr>
          <w:rFonts w:cs="Arial"/>
          <w:color w:val="000000" w:themeColor="text1"/>
          <w:szCs w:val="16"/>
        </w:rPr>
      </w:pPr>
    </w:p>
    <w:p w14:paraId="1CDDE440" w14:textId="050C9555" w:rsidR="000A2C83" w:rsidRPr="00781112" w:rsidRDefault="00752BAF" w:rsidP="008645AD">
      <w:pPr>
        <w:pStyle w:val="Heading2"/>
      </w:pPr>
      <w:r w:rsidRPr="00781112">
        <w:t>8</w:t>
      </w:r>
      <w:r w:rsidR="001F6BAA" w:rsidRPr="00781112">
        <w:t xml:space="preserve"> </w:t>
      </w:r>
      <w:r w:rsidRPr="00781112">
        <w:t xml:space="preserve">- </w:t>
      </w:r>
      <w:r w:rsidR="000A2C83" w:rsidRPr="00781112">
        <w:t>Prior FFY Required Actions</w:t>
      </w:r>
    </w:p>
    <w:p w14:paraId="078A2B9E" w14:textId="64337A5A" w:rsidR="000A2C83" w:rsidRPr="00781112" w:rsidRDefault="002B7490" w:rsidP="000A2C83">
      <w:pPr>
        <w:rPr>
          <w:rFonts w:cs="Arial"/>
          <w:color w:val="000000" w:themeColor="text1"/>
          <w:szCs w:val="16"/>
        </w:rPr>
      </w:pPr>
      <w:r w:rsidRPr="00781112">
        <w:rPr>
          <w:rFonts w:cs="Arial"/>
          <w:color w:val="000000" w:themeColor="text1"/>
          <w:szCs w:val="16"/>
        </w:rPr>
        <w:t xml:space="preserve">In the FFY 2023 SPP/APR, the State must report whether the FFY 2023 data are from a response group that is representative of the demographics of children receiving special education services, and, if not, the actions the State is taking to address this issue. The State must also include its analysis of the extent to which the response data are representative of the demographics of children receiving special education services. </w:t>
      </w:r>
    </w:p>
    <w:p w14:paraId="5AB800FF" w14:textId="53D4E253" w:rsidR="000A2C83" w:rsidRPr="00781112" w:rsidRDefault="007639D7" w:rsidP="004369B2">
      <w:pPr>
        <w:rPr>
          <w:b/>
          <w:color w:val="000000" w:themeColor="text1"/>
        </w:rPr>
      </w:pPr>
      <w:r>
        <w:rPr>
          <w:b/>
          <w:color w:val="000000" w:themeColor="text1"/>
        </w:rPr>
        <w:t>Response to actions required in FFY 2022 SPP/APR</w:t>
      </w:r>
    </w:p>
    <w:p w14:paraId="03E9CB46" w14:textId="594F3FDD" w:rsidR="007757B1" w:rsidRPr="00781112" w:rsidRDefault="002B7490" w:rsidP="007757B1">
      <w:pPr>
        <w:rPr>
          <w:rFonts w:cs="Arial"/>
          <w:color w:val="000000" w:themeColor="text1"/>
          <w:szCs w:val="16"/>
        </w:rPr>
      </w:pPr>
      <w:r w:rsidRPr="00781112">
        <w:rPr>
          <w:rFonts w:cs="Arial"/>
          <w:color w:val="000000" w:themeColor="text1"/>
          <w:szCs w:val="16"/>
        </w:rPr>
        <w:t>This FFY 2023 SPP/APR reports that the FFY 2023 data are not fully representative of the demographics of children receiving special education services; however, statistical weighting procedures were implemented to correct for any underrepresentation and the difference between the unweighted and weighted results was negligible.</w:t>
      </w:r>
      <w:r w:rsidRPr="00781112">
        <w:rPr>
          <w:rFonts w:cs="Arial"/>
          <w:color w:val="000000" w:themeColor="text1"/>
          <w:szCs w:val="16"/>
        </w:rPr>
        <w:br/>
      </w:r>
      <w:r w:rsidRPr="00781112">
        <w:rPr>
          <w:rFonts w:cs="Arial"/>
          <w:color w:val="000000" w:themeColor="text1"/>
          <w:szCs w:val="16"/>
        </w:rPr>
        <w:br/>
        <w:t>WVDE/OSE will continue to recommend that LEA administrators and special education directors promote the survey using diverse methods (e.g., social media, newsletters, school websites, phone calls, and texts), post flyers in strategic locations, tailor outreach efforts for underrepresented groups using data from LEA-level reports, and conduct focus groups to explore strategies for increasing parent participation.</w:t>
      </w:r>
      <w:r w:rsidRPr="00781112">
        <w:rPr>
          <w:rFonts w:cs="Arial"/>
          <w:color w:val="000000" w:themeColor="text1"/>
          <w:szCs w:val="16"/>
        </w:rPr>
        <w:br/>
      </w:r>
      <w:r w:rsidRPr="00781112">
        <w:rPr>
          <w:rFonts w:cs="Arial"/>
          <w:color w:val="000000" w:themeColor="text1"/>
          <w:szCs w:val="16"/>
        </w:rPr>
        <w:br/>
        <w:t xml:space="preserve">WVDE/OSE’s analyses of the extent to which the demographics of the children for whom parents responded are representative of the demographics of children receiving special education services are provided in the field under the prompt that begins with “Include the State’s analyses of the extent to which the demographics of the children…”. </w:t>
      </w:r>
      <w:r w:rsidRPr="00781112">
        <w:rPr>
          <w:rFonts w:cs="Arial"/>
          <w:color w:val="000000" w:themeColor="text1"/>
          <w:szCs w:val="16"/>
        </w:rPr>
        <w:br/>
      </w:r>
      <w:r w:rsidRPr="00781112">
        <w:rPr>
          <w:rFonts w:cs="Arial"/>
          <w:color w:val="000000" w:themeColor="text1"/>
          <w:szCs w:val="16"/>
        </w:rPr>
        <w:br/>
        <w:t>For a comprehensive overview of this indicator for FFY 2023, please refer to the “Indicator 8: Parent Involvement” narratives above.</w:t>
      </w:r>
    </w:p>
    <w:p w14:paraId="5B521A52" w14:textId="17857299" w:rsidR="00221EC9" w:rsidRPr="00781112" w:rsidRDefault="00752BAF" w:rsidP="008645AD">
      <w:pPr>
        <w:pStyle w:val="Heading2"/>
      </w:pPr>
      <w:r w:rsidRPr="00781112">
        <w:t>8 - OSEP Response</w:t>
      </w:r>
    </w:p>
    <w:p w14:paraId="1A55D397" w14:textId="0DDAC080" w:rsidR="009B37A2" w:rsidRPr="00781112" w:rsidRDefault="009B37A2" w:rsidP="001F692C">
      <w:pPr>
        <w:rPr>
          <w:rFonts w:cs="Arial"/>
          <w:color w:val="000000" w:themeColor="text1"/>
          <w:szCs w:val="16"/>
        </w:rPr>
      </w:pPr>
    </w:p>
    <w:p w14:paraId="13389642" w14:textId="758A1D0A" w:rsidR="00221EC9" w:rsidRPr="00781112" w:rsidRDefault="00752BAF" w:rsidP="008645AD">
      <w:pPr>
        <w:pStyle w:val="Heading2"/>
      </w:pPr>
      <w:r w:rsidRPr="00781112">
        <w:t>8 - Required Actions</w:t>
      </w:r>
    </w:p>
    <w:p w14:paraId="48F68B87" w14:textId="7D160B08" w:rsidR="009B37A2" w:rsidRPr="00781112" w:rsidRDefault="002B7490" w:rsidP="001F692C">
      <w:pPr>
        <w:rPr>
          <w:rFonts w:cs="Arial"/>
          <w:color w:val="000000" w:themeColor="text1"/>
          <w:szCs w:val="16"/>
        </w:rPr>
      </w:pPr>
      <w:r w:rsidRPr="00781112">
        <w:rPr>
          <w:rFonts w:cs="Arial"/>
          <w:color w:val="000000" w:themeColor="text1"/>
          <w:szCs w:val="16"/>
        </w:rPr>
        <w:t>In the FFY 2024 SPP/APR, the State must report whether the FFY 2024 data are from a response group that is representative of the demographics of children receiving special education services, and, if not, the actions the State is taking to address this issue. The State must also include its analysis of the extent to which the response data are representative of the demographics of children receiving special education services.</w:t>
      </w:r>
    </w:p>
    <w:p w14:paraId="6D95E736"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0E39FDA6" w14:textId="025763A2" w:rsidR="00D03701" w:rsidRPr="00781112" w:rsidRDefault="00D03701" w:rsidP="000444E2">
      <w:pPr>
        <w:pStyle w:val="Heading1"/>
        <w:rPr>
          <w:color w:val="000000" w:themeColor="text1"/>
          <w:sz w:val="22"/>
        </w:rPr>
      </w:pPr>
      <w:r w:rsidRPr="00781112">
        <w:rPr>
          <w:color w:val="000000" w:themeColor="text1"/>
          <w:sz w:val="22"/>
        </w:rPr>
        <w:lastRenderedPageBreak/>
        <w:t>Indicator 9: Disproportionate Representation</w:t>
      </w:r>
    </w:p>
    <w:p w14:paraId="30C4375D" w14:textId="64B557D3" w:rsidR="00AF5AFB" w:rsidRPr="002C274F" w:rsidRDefault="00AF5AFB" w:rsidP="002C274F">
      <w:pPr>
        <w:rPr>
          <w:b/>
          <w:bCs/>
          <w:sz w:val="20"/>
          <w:szCs w:val="20"/>
        </w:rPr>
      </w:pPr>
      <w:bookmarkStart w:id="45" w:name="_Toc384383343"/>
      <w:bookmarkStart w:id="46" w:name="_Toc392159311"/>
      <w:r w:rsidRPr="002C274F">
        <w:rPr>
          <w:b/>
          <w:bCs/>
          <w:sz w:val="20"/>
          <w:szCs w:val="20"/>
        </w:rPr>
        <w:t>Instructions and Measurement</w:t>
      </w:r>
    </w:p>
    <w:p w14:paraId="61C479DB" w14:textId="1E252334" w:rsidR="00CC634E" w:rsidRPr="00781112" w:rsidRDefault="00CC634E" w:rsidP="006357C5">
      <w:pPr>
        <w:rPr>
          <w:rFonts w:cs="Arial"/>
          <w:b/>
          <w:color w:val="000000" w:themeColor="text1"/>
          <w:szCs w:val="16"/>
        </w:rPr>
      </w:pPr>
      <w:r w:rsidRPr="00781112">
        <w:rPr>
          <w:rFonts w:cs="Arial"/>
          <w:b/>
          <w:color w:val="000000" w:themeColor="text1"/>
          <w:szCs w:val="16"/>
        </w:rPr>
        <w:t xml:space="preserve">Monitoring Priority: </w:t>
      </w:r>
      <w:r w:rsidRPr="00781112">
        <w:rPr>
          <w:rFonts w:cs="Arial"/>
          <w:color w:val="000000" w:themeColor="text1"/>
          <w:szCs w:val="16"/>
        </w:rPr>
        <w:t>Disproportionality</w:t>
      </w:r>
    </w:p>
    <w:p w14:paraId="2539829F" w14:textId="77777777" w:rsidR="00876394" w:rsidRPr="00781112" w:rsidRDefault="00CC634E" w:rsidP="006357C5">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districts with disproportionate representation of racial and ethnic groups in special education and related services that is the result of inappropriate identification. </w:t>
      </w:r>
    </w:p>
    <w:p w14:paraId="4983BB5F" w14:textId="28C83F84" w:rsidR="00CC634E" w:rsidRPr="00781112" w:rsidRDefault="00CC634E" w:rsidP="006357C5">
      <w:pPr>
        <w:rPr>
          <w:rFonts w:cs="Arial"/>
          <w:color w:val="000000" w:themeColor="text1"/>
          <w:szCs w:val="16"/>
        </w:rPr>
      </w:pPr>
      <w:r w:rsidRPr="00781112">
        <w:rPr>
          <w:rFonts w:cs="Arial"/>
          <w:color w:val="000000" w:themeColor="text1"/>
          <w:szCs w:val="16"/>
        </w:rPr>
        <w:t>(20 U.S.C. 1416(a)(3)(C))</w:t>
      </w:r>
    </w:p>
    <w:p w14:paraId="6D2519CF" w14:textId="77777777" w:rsidR="00A66715" w:rsidRPr="00781112" w:rsidRDefault="00A66715" w:rsidP="004369B2">
      <w:pPr>
        <w:rPr>
          <w:color w:val="000000" w:themeColor="text1"/>
        </w:rPr>
      </w:pPr>
      <w:r w:rsidRPr="00781112">
        <w:rPr>
          <w:b/>
          <w:color w:val="000000" w:themeColor="text1"/>
        </w:rPr>
        <w:t>Data Source</w:t>
      </w:r>
    </w:p>
    <w:p w14:paraId="435C1BC0" w14:textId="1F2EA9FD" w:rsidR="00A66715" w:rsidRPr="00781112" w:rsidRDefault="00A66715"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special education and related services was the result of inappropriate identification.</w:t>
      </w:r>
    </w:p>
    <w:p w14:paraId="3FA170D6" w14:textId="77777777" w:rsidR="00A66715" w:rsidRPr="00781112" w:rsidRDefault="00A66715" w:rsidP="004369B2">
      <w:pPr>
        <w:rPr>
          <w:color w:val="000000" w:themeColor="text1"/>
        </w:rPr>
      </w:pPr>
      <w:r w:rsidRPr="00781112">
        <w:rPr>
          <w:b/>
          <w:color w:val="000000" w:themeColor="text1"/>
        </w:rPr>
        <w:t>Measurement</w:t>
      </w:r>
    </w:p>
    <w:p w14:paraId="477AA533" w14:textId="06ADBA36" w:rsidR="00A66715" w:rsidRPr="00781112" w:rsidRDefault="00A66715" w:rsidP="00286BDF">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special education and related services that is the result of inappropriate identification) divided by the (# of districts in the State that meet the State-established n and/or cell size (if applicable) for one or more racial/ethnic groups)] times 100.</w:t>
      </w:r>
    </w:p>
    <w:p w14:paraId="47207609" w14:textId="77777777" w:rsidR="00A66715" w:rsidRPr="00781112" w:rsidRDefault="00A66715" w:rsidP="00286BDF">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2F72A4A6" w14:textId="4DE78813" w:rsidR="00A66715" w:rsidRPr="00781112" w:rsidRDefault="0016730D" w:rsidP="00286BDF">
      <w:pPr>
        <w:rPr>
          <w:rFonts w:cs="Arial"/>
          <w:color w:val="000000" w:themeColor="text1"/>
          <w:szCs w:val="16"/>
        </w:rPr>
      </w:pPr>
      <w:r w:rsidRPr="00781112">
        <w:rPr>
          <w:rFonts w:cs="Arial"/>
          <w:color w:val="000000" w:themeColor="text1"/>
          <w:szCs w:val="16"/>
        </w:rPr>
        <w:t>Based on its review of the 618 data for the reporting year, describe how the State made its annual determination as to whether the disproportionate representation it identified of racial and ethnic groups in special education and related services was the result of inappropriate identification as required by 34 CFR §§300.600(d)(3) and 300.602(a), e.g., using monitoring data; reviewing policies, practices and procedures.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special education and related services is the result of inappropriate identification, even if the determination of inappropriate identification was made after the end of the FFY 2023 reporting period (i.e., after June 30, 2024).</w:t>
      </w:r>
    </w:p>
    <w:p w14:paraId="5C234527" w14:textId="77777777" w:rsidR="00A66715" w:rsidRPr="00781112" w:rsidRDefault="00A66715" w:rsidP="004369B2">
      <w:pPr>
        <w:rPr>
          <w:color w:val="000000" w:themeColor="text1"/>
        </w:rPr>
      </w:pPr>
      <w:r w:rsidRPr="00781112">
        <w:rPr>
          <w:b/>
          <w:color w:val="000000" w:themeColor="text1"/>
        </w:rPr>
        <w:t>Instructions</w:t>
      </w:r>
    </w:p>
    <w:p w14:paraId="66307925" w14:textId="2DC0BC51" w:rsidR="00A66715" w:rsidRPr="00781112" w:rsidRDefault="00A66715"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 xml:space="preserve">rovide racial/ethnic disproportionality data for all children aged </w:t>
      </w:r>
      <w:r w:rsidR="00071D42" w:rsidRPr="00781112">
        <w:rPr>
          <w:rFonts w:cs="Arial"/>
        </w:rPr>
        <w:t xml:space="preserve">5 who are enrolled in kindergarten and </w:t>
      </w:r>
      <w:r w:rsidR="00214BDE">
        <w:rPr>
          <w:rFonts w:cs="Arial"/>
        </w:rPr>
        <w:t xml:space="preserve">aged </w:t>
      </w:r>
      <w:r w:rsidRPr="00781112">
        <w:rPr>
          <w:rFonts w:cs="Arial"/>
          <w:color w:val="000000" w:themeColor="text1"/>
          <w:szCs w:val="16"/>
        </w:rPr>
        <w:t>6 through 21 served under IDEA, aggregated across all disability categories.</w:t>
      </w:r>
      <w:r w:rsidR="009E27F2">
        <w:rPr>
          <w:rFonts w:cs="Arial"/>
          <w:color w:val="000000" w:themeColor="text1"/>
          <w:szCs w:val="16"/>
        </w:rPr>
        <w:t xml:space="preserve"> </w:t>
      </w:r>
      <w:r w:rsidR="009E27F2" w:rsidRPr="009E27F2">
        <w:rPr>
          <w:rFonts w:cs="Arial"/>
          <w:color w:val="000000" w:themeColor="text1"/>
          <w:szCs w:val="16"/>
        </w:rPr>
        <w:t>Provide the actual numbers used in the calculation.</w:t>
      </w:r>
    </w:p>
    <w:p w14:paraId="6CA47C85" w14:textId="77777777" w:rsidR="00A66715" w:rsidRPr="00781112" w:rsidRDefault="00A66715" w:rsidP="00286BDF">
      <w:pPr>
        <w:rPr>
          <w:rFonts w:cs="Arial"/>
          <w:color w:val="000000" w:themeColor="text1"/>
          <w:szCs w:val="16"/>
        </w:rPr>
      </w:pPr>
      <w:r w:rsidRPr="00781112">
        <w:rPr>
          <w:rFonts w:cs="Arial"/>
          <w:color w:val="000000" w:themeColor="text1"/>
          <w:szCs w:val="16"/>
        </w:rPr>
        <w:t>States are not required to report on underrepresentation.</w:t>
      </w:r>
    </w:p>
    <w:p w14:paraId="7D49F2B9" w14:textId="77777777" w:rsidR="00A66715" w:rsidRPr="00781112" w:rsidRDefault="00A66715"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18F19F84" w14:textId="77777777" w:rsidR="00A66715" w:rsidRPr="00781112" w:rsidRDefault="00A66715"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08814B9F" w14:textId="77777777" w:rsidR="00A66715" w:rsidRPr="00781112" w:rsidRDefault="00A66715" w:rsidP="00286BDF">
      <w:pPr>
        <w:rPr>
          <w:rFonts w:cs="Arial"/>
          <w:color w:val="000000" w:themeColor="text1"/>
          <w:szCs w:val="16"/>
        </w:rPr>
      </w:pPr>
      <w:r w:rsidRPr="00781112">
        <w:rPr>
          <w:rFonts w:cs="Arial"/>
          <w:color w:val="000000" w:themeColor="text1"/>
          <w:szCs w:val="16"/>
        </w:rPr>
        <w:t>Provide the number of districts that met the State-established n and/or cell size (if applicable) for one or more racial/ethnic groups identified with disproportionate representation of racial and ethnic groups in special education and related services and the number of those districts identified with disproportionate representation that is the result of inappropriate identification.</w:t>
      </w:r>
    </w:p>
    <w:p w14:paraId="633EBCDF" w14:textId="77777777" w:rsidR="00A66715" w:rsidRPr="00781112" w:rsidRDefault="00A66715" w:rsidP="00286BDF">
      <w:pPr>
        <w:rPr>
          <w:rFonts w:cs="Arial"/>
          <w:color w:val="000000" w:themeColor="text1"/>
          <w:szCs w:val="16"/>
        </w:rPr>
      </w:pPr>
      <w:r w:rsidRPr="00781112">
        <w:rPr>
          <w:rFonts w:cs="Arial"/>
          <w:color w:val="000000" w:themeColor="text1"/>
          <w:szCs w:val="16"/>
        </w:rPr>
        <w:t>Targets must be 0%.</w:t>
      </w:r>
    </w:p>
    <w:p w14:paraId="7D8917BC" w14:textId="77777777" w:rsidR="00AB2AE1" w:rsidRDefault="0016730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47" w:name="_Hlk150864210"/>
      <w:r w:rsidR="009E27F2" w:rsidRPr="009E27F2">
        <w:rPr>
          <w:rFonts w:cs="Arial"/>
          <w:color w:val="000000" w:themeColor="text1"/>
          <w:szCs w:val="16"/>
        </w:rPr>
        <w:t>child-specific and regulatory/systemic</w:t>
      </w:r>
      <w:r w:rsidR="009E27F2">
        <w:rPr>
          <w:sz w:val="20"/>
          <w:szCs w:val="14"/>
        </w:rPr>
        <w:t xml:space="preserve"> </w:t>
      </w:r>
      <w:bookmarkEnd w:id="47"/>
      <w:r w:rsidRPr="00781112">
        <w:rPr>
          <w:rFonts w:cs="Arial"/>
          <w:color w:val="000000" w:themeColor="text1"/>
          <w:szCs w:val="16"/>
        </w:rPr>
        <w:t xml:space="preserve">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 </w:t>
      </w:r>
    </w:p>
    <w:p w14:paraId="78E093FF" w14:textId="59ADF7D6" w:rsidR="00A66715" w:rsidRDefault="0016730D"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65DC380A" w14:textId="351857B0" w:rsidR="00AB2AE1" w:rsidRPr="00FE4611" w:rsidRDefault="00AB2AE1" w:rsidP="00286BDF">
      <w:pPr>
        <w:rPr>
          <w:rFonts w:cs="Arial"/>
          <w:szCs w:val="16"/>
        </w:rPr>
      </w:pPr>
      <w:r w:rsidRPr="004605DC">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1A6C01D0" w14:textId="1BD83E55" w:rsidR="00AF5AFB" w:rsidRPr="00781112" w:rsidRDefault="00400C56" w:rsidP="008645AD">
      <w:pPr>
        <w:pStyle w:val="Heading2"/>
      </w:pPr>
      <w:bookmarkStart w:id="48" w:name="_Toc384383344"/>
      <w:bookmarkStart w:id="49" w:name="_Toc392159312"/>
      <w:bookmarkEnd w:id="45"/>
      <w:bookmarkEnd w:id="46"/>
      <w:r w:rsidRPr="00781112">
        <w:t>9</w:t>
      </w:r>
      <w:r w:rsidR="000D746C" w:rsidRPr="00781112">
        <w:t xml:space="preserve"> </w:t>
      </w:r>
      <w:r w:rsidRPr="00781112">
        <w:t xml:space="preserve">- </w:t>
      </w:r>
      <w:r w:rsidR="00AF5AFB" w:rsidRPr="00781112">
        <w:t>Indicator Data</w:t>
      </w:r>
    </w:p>
    <w:p w14:paraId="3B629025" w14:textId="77777777" w:rsidR="0091098C" w:rsidRPr="00781112" w:rsidRDefault="0091098C" w:rsidP="004369B2">
      <w:pPr>
        <w:rPr>
          <w:color w:val="000000" w:themeColor="text1"/>
        </w:rPr>
      </w:pPr>
      <w:r w:rsidRPr="00781112">
        <w:rPr>
          <w:b/>
          <w:color w:val="000000" w:themeColor="text1"/>
        </w:rPr>
        <w:t>Not Applicable</w:t>
      </w:r>
    </w:p>
    <w:p w14:paraId="26955027" w14:textId="78EADA59" w:rsidR="003E7FC1" w:rsidRPr="00781112" w:rsidRDefault="00E54DDA">
      <w:pPr>
        <w:rPr>
          <w:b/>
          <w:color w:val="000000" w:themeColor="text1"/>
        </w:rPr>
      </w:pPr>
      <w:r w:rsidRPr="00781112">
        <w:rPr>
          <w:b/>
          <w:color w:val="000000" w:themeColor="text1"/>
        </w:rPr>
        <w:t>Select yes if this indicator is not applicable.</w:t>
      </w:r>
    </w:p>
    <w:p w14:paraId="6AB001BB" w14:textId="1DB937E1" w:rsidR="00043AC9" w:rsidRPr="00781112" w:rsidRDefault="00043AC9" w:rsidP="004369B2">
      <w:pPr>
        <w:rPr>
          <w:rFonts w:cs="Arial"/>
          <w:color w:val="000000" w:themeColor="text1"/>
          <w:szCs w:val="16"/>
        </w:rPr>
      </w:pPr>
      <w:r w:rsidRPr="00781112">
        <w:rPr>
          <w:rFonts w:cs="Arial"/>
          <w:color w:val="000000" w:themeColor="text1"/>
          <w:szCs w:val="16"/>
        </w:rPr>
        <w:t>NO</w:t>
      </w:r>
    </w:p>
    <w:p w14:paraId="3A71D697" w14:textId="346BA4D1"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9BASELINEDATA"/>
      </w:tblPr>
      <w:tblGrid>
        <w:gridCol w:w="1797"/>
        <w:gridCol w:w="1798"/>
      </w:tblGrid>
      <w:tr w:rsidR="00956DB0" w:rsidRPr="00781112" w14:paraId="5182274F" w14:textId="77777777" w:rsidTr="00123D76">
        <w:trPr>
          <w:trHeight w:val="311"/>
          <w:tblHeader/>
        </w:trPr>
        <w:tc>
          <w:tcPr>
            <w:tcW w:w="1797" w:type="dxa"/>
          </w:tcPr>
          <w:p w14:paraId="1A2818C6" w14:textId="77777777" w:rsidR="00956DB0" w:rsidRPr="00781112" w:rsidRDefault="00956DB0" w:rsidP="00123D76">
            <w:pPr>
              <w:jc w:val="center"/>
              <w:rPr>
                <w:b/>
                <w:color w:val="000000" w:themeColor="text1"/>
              </w:rPr>
            </w:pPr>
            <w:r w:rsidRPr="00781112">
              <w:rPr>
                <w:rFonts w:cs="Arial"/>
                <w:b/>
                <w:color w:val="000000" w:themeColor="text1"/>
                <w:szCs w:val="16"/>
              </w:rPr>
              <w:t>Baseline Year</w:t>
            </w:r>
          </w:p>
        </w:tc>
        <w:tc>
          <w:tcPr>
            <w:tcW w:w="1798" w:type="dxa"/>
          </w:tcPr>
          <w:p w14:paraId="0F4B2975" w14:textId="77777777" w:rsidR="00956DB0" w:rsidRPr="00781112" w:rsidRDefault="00956DB0" w:rsidP="00123D76">
            <w:pPr>
              <w:jc w:val="center"/>
              <w:rPr>
                <w:b/>
                <w:color w:val="000000" w:themeColor="text1"/>
              </w:rPr>
            </w:pPr>
            <w:r w:rsidRPr="00781112">
              <w:rPr>
                <w:b/>
                <w:color w:val="000000" w:themeColor="text1"/>
              </w:rPr>
              <w:t>Baseline Data</w:t>
            </w:r>
          </w:p>
        </w:tc>
      </w:tr>
      <w:tr w:rsidR="00956DB0" w:rsidRPr="00781112" w14:paraId="610EE192" w14:textId="77777777" w:rsidTr="00123D76">
        <w:trPr>
          <w:trHeight w:val="311"/>
        </w:trPr>
        <w:tc>
          <w:tcPr>
            <w:tcW w:w="1797" w:type="dxa"/>
            <w:vAlign w:val="center"/>
          </w:tcPr>
          <w:p w14:paraId="092AF3EE" w14:textId="300E0F13" w:rsidR="00956DB0" w:rsidRPr="00781112" w:rsidRDefault="00956DB0" w:rsidP="00123D76">
            <w:pPr>
              <w:jc w:val="center"/>
              <w:rPr>
                <w:bCs/>
                <w:color w:val="000000" w:themeColor="text1"/>
              </w:rPr>
            </w:pPr>
            <w:r w:rsidRPr="00781112">
              <w:rPr>
                <w:bCs/>
                <w:color w:val="000000" w:themeColor="text1"/>
              </w:rPr>
              <w:t>2021</w:t>
            </w:r>
          </w:p>
        </w:tc>
        <w:tc>
          <w:tcPr>
            <w:tcW w:w="1798" w:type="dxa"/>
            <w:vAlign w:val="center"/>
          </w:tcPr>
          <w:p w14:paraId="4FDCB4BF" w14:textId="0D2A0C74" w:rsidR="00956DB0" w:rsidRPr="00781112" w:rsidRDefault="00956DB0" w:rsidP="00123D76">
            <w:pPr>
              <w:jc w:val="center"/>
              <w:rPr>
                <w:bCs/>
                <w:color w:val="000000" w:themeColor="text1"/>
              </w:rPr>
            </w:pPr>
            <w:r w:rsidRPr="00781112">
              <w:rPr>
                <w:bCs/>
                <w:color w:val="000000" w:themeColor="text1"/>
              </w:rPr>
              <w:t>0.00%</w:t>
            </w:r>
          </w:p>
        </w:tc>
      </w:tr>
    </w:tbl>
    <w:p w14:paraId="209EB354" w14:textId="77777777" w:rsidR="00956DB0" w:rsidRPr="00781112" w:rsidRDefault="00956DB0"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9HISTDATA"/>
      </w:tblPr>
      <w:tblGrid>
        <w:gridCol w:w="1798"/>
        <w:gridCol w:w="1798"/>
        <w:gridCol w:w="1798"/>
        <w:gridCol w:w="1798"/>
        <w:gridCol w:w="1798"/>
        <w:gridCol w:w="1800"/>
      </w:tblGrid>
      <w:tr w:rsidR="005C29F8" w:rsidRPr="00781112" w14:paraId="29257DEC" w14:textId="77777777" w:rsidTr="002B4D97">
        <w:trPr>
          <w:trHeight w:val="350"/>
        </w:trPr>
        <w:tc>
          <w:tcPr>
            <w:tcW w:w="833" w:type="pct"/>
            <w:tcBorders>
              <w:bottom w:val="single" w:sz="4" w:space="0" w:color="auto"/>
            </w:tcBorders>
            <w:shd w:val="clear" w:color="auto" w:fill="auto"/>
          </w:tcPr>
          <w:p w14:paraId="2ACD0221" w14:textId="77777777" w:rsidR="006357C5" w:rsidRPr="00781112" w:rsidRDefault="006357C5"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5D764B6" w14:textId="19C54EAA" w:rsidR="006357C5"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033F60DB" w14:textId="27C2FA3D" w:rsidR="006357C5"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vAlign w:val="center"/>
          </w:tcPr>
          <w:p w14:paraId="317350A8" w14:textId="7D4D6C23" w:rsidR="006357C5"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vAlign w:val="center"/>
          </w:tcPr>
          <w:p w14:paraId="2FE9FF1F" w14:textId="6B14CCED" w:rsidR="006357C5" w:rsidRPr="00781112" w:rsidRDefault="002B7490" w:rsidP="00B6413B">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vAlign w:val="center"/>
          </w:tcPr>
          <w:p w14:paraId="3EED1AAF" w14:textId="5F49372A" w:rsidR="006357C5" w:rsidRPr="00781112" w:rsidRDefault="002B7490" w:rsidP="00B6413B">
            <w:pPr>
              <w:jc w:val="center"/>
              <w:rPr>
                <w:rFonts w:cs="Arial"/>
                <w:b/>
                <w:color w:val="000000" w:themeColor="text1"/>
                <w:szCs w:val="16"/>
              </w:rPr>
            </w:pPr>
            <w:r w:rsidRPr="00781112">
              <w:rPr>
                <w:rFonts w:cs="Arial"/>
                <w:b/>
                <w:color w:val="000000" w:themeColor="text1"/>
                <w:szCs w:val="16"/>
              </w:rPr>
              <w:t>2022</w:t>
            </w:r>
          </w:p>
        </w:tc>
      </w:tr>
      <w:tr w:rsidR="005C29F8" w:rsidRPr="00781112" w14:paraId="2B1048CB" w14:textId="77777777" w:rsidTr="002B4D97">
        <w:trPr>
          <w:trHeight w:val="357"/>
        </w:trPr>
        <w:tc>
          <w:tcPr>
            <w:tcW w:w="833" w:type="pct"/>
            <w:shd w:val="clear" w:color="auto" w:fill="auto"/>
          </w:tcPr>
          <w:p w14:paraId="1E5C921D" w14:textId="552D02B6" w:rsidR="006357C5" w:rsidRPr="00781112" w:rsidRDefault="006357C5"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05E3208" w14:textId="6058696A"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18B25266" w14:textId="3AD0FECB"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0C0FBF57" w14:textId="7ECB922D"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532C2D7E" w14:textId="62B3BFC8"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60DA2026" w14:textId="24D14A2D" w:rsidR="006357C5"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3159C03B" w14:textId="77777777" w:rsidTr="002B4D97">
        <w:trPr>
          <w:trHeight w:val="85"/>
        </w:trPr>
        <w:tc>
          <w:tcPr>
            <w:tcW w:w="833" w:type="pct"/>
            <w:shd w:val="clear" w:color="auto" w:fill="auto"/>
          </w:tcPr>
          <w:p w14:paraId="2AC5584F" w14:textId="77777777" w:rsidR="006357C5" w:rsidRPr="00781112" w:rsidRDefault="006357C5"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6FD989E4" w14:textId="34237C82"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078BDCB4" w14:textId="6678F601"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1B9E9606" w14:textId="2C899E5A"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2DEE133C" w14:textId="4FA56B6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164C156" w14:textId="136C88F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38D93E0F" w14:textId="77777777" w:rsidR="00870121" w:rsidRPr="00781112" w:rsidRDefault="00870121" w:rsidP="004369B2">
      <w:pPr>
        <w:rPr>
          <w:color w:val="000000" w:themeColor="text1"/>
        </w:rPr>
      </w:pPr>
    </w:p>
    <w:p w14:paraId="1D3DD603" w14:textId="00F457CF" w:rsidR="0016730D" w:rsidRPr="00781112" w:rsidRDefault="0016730D" w:rsidP="004369B2">
      <w:pPr>
        <w:rPr>
          <w:color w:val="000000" w:themeColor="text1"/>
        </w:rPr>
      </w:pPr>
      <w:r w:rsidRPr="00781112">
        <w:rPr>
          <w:b/>
          <w:color w:val="000000" w:themeColor="text1"/>
        </w:rPr>
        <w:t>Targets</w:t>
      </w:r>
    </w:p>
    <w:tbl>
      <w:tblPr>
        <w:tblW w:w="3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TARGETS"/>
      </w:tblPr>
      <w:tblGrid>
        <w:gridCol w:w="679"/>
        <w:gridCol w:w="2397"/>
        <w:gridCol w:w="2570"/>
        <w:gridCol w:w="2570"/>
      </w:tblGrid>
      <w:tr w:rsidR="00AC3EF2" w:rsidRPr="00781112" w14:paraId="3B5E697E" w14:textId="22491944" w:rsidTr="00FE4611">
        <w:trPr>
          <w:trHeight w:val="307"/>
        </w:trPr>
        <w:tc>
          <w:tcPr>
            <w:tcW w:w="406" w:type="pct"/>
            <w:tcBorders>
              <w:bottom w:val="single" w:sz="4" w:space="0" w:color="auto"/>
            </w:tcBorders>
            <w:shd w:val="clear" w:color="auto" w:fill="auto"/>
          </w:tcPr>
          <w:p w14:paraId="6847FBDE" w14:textId="77777777" w:rsidR="00AC3EF2" w:rsidRPr="00781112" w:rsidRDefault="00AC3EF2" w:rsidP="00AD5583">
            <w:pPr>
              <w:jc w:val="center"/>
              <w:rPr>
                <w:b/>
                <w:color w:val="000000" w:themeColor="text1"/>
              </w:rPr>
            </w:pPr>
            <w:r w:rsidRPr="00781112">
              <w:rPr>
                <w:b/>
                <w:color w:val="000000" w:themeColor="text1"/>
              </w:rPr>
              <w:lastRenderedPageBreak/>
              <w:t>FFY</w:t>
            </w:r>
          </w:p>
        </w:tc>
        <w:tc>
          <w:tcPr>
            <w:tcW w:w="1461" w:type="pct"/>
            <w:shd w:val="clear" w:color="auto" w:fill="auto"/>
          </w:tcPr>
          <w:p w14:paraId="2C965821" w14:textId="77777777" w:rsidR="00AC3EF2" w:rsidRPr="00781112" w:rsidRDefault="00AC3EF2" w:rsidP="00AD5583">
            <w:pPr>
              <w:jc w:val="center"/>
              <w:rPr>
                <w:b/>
                <w:color w:val="000000" w:themeColor="text1"/>
              </w:rPr>
            </w:pPr>
            <w:r w:rsidRPr="00781112">
              <w:rPr>
                <w:b/>
                <w:color w:val="000000" w:themeColor="text1"/>
              </w:rPr>
              <w:t>2023</w:t>
            </w:r>
          </w:p>
        </w:tc>
        <w:tc>
          <w:tcPr>
            <w:tcW w:w="1566" w:type="pct"/>
          </w:tcPr>
          <w:p w14:paraId="695B1CC5" w14:textId="0A8E7C74" w:rsidR="00AC3EF2" w:rsidRPr="00781112" w:rsidRDefault="00AC3EF2" w:rsidP="00AD5583">
            <w:pPr>
              <w:jc w:val="center"/>
              <w:rPr>
                <w:b/>
                <w:color w:val="000000" w:themeColor="text1"/>
              </w:rPr>
            </w:pPr>
            <w:r w:rsidRPr="00781112">
              <w:rPr>
                <w:rFonts w:cs="Arial"/>
                <w:b/>
                <w:color w:val="000000" w:themeColor="text1"/>
                <w:szCs w:val="16"/>
              </w:rPr>
              <w:t>2024</w:t>
            </w:r>
          </w:p>
        </w:tc>
        <w:tc>
          <w:tcPr>
            <w:tcW w:w="1566" w:type="pct"/>
          </w:tcPr>
          <w:p w14:paraId="676B8DF3" w14:textId="1749272A" w:rsidR="00AC3EF2" w:rsidRPr="00781112" w:rsidRDefault="00AC3EF2" w:rsidP="00AD5583">
            <w:pPr>
              <w:jc w:val="center"/>
              <w:rPr>
                <w:b/>
                <w:color w:val="000000" w:themeColor="text1"/>
              </w:rPr>
            </w:pPr>
            <w:r w:rsidRPr="00781112">
              <w:rPr>
                <w:rFonts w:cs="Arial"/>
                <w:b/>
                <w:color w:val="000000" w:themeColor="text1"/>
                <w:szCs w:val="16"/>
              </w:rPr>
              <w:t>2025</w:t>
            </w:r>
          </w:p>
        </w:tc>
      </w:tr>
      <w:tr w:rsidR="00AC3EF2" w:rsidRPr="00781112" w14:paraId="48E9BF63" w14:textId="16949127" w:rsidTr="00FE4611">
        <w:trPr>
          <w:trHeight w:val="313"/>
        </w:trPr>
        <w:tc>
          <w:tcPr>
            <w:tcW w:w="406" w:type="pct"/>
            <w:shd w:val="clear" w:color="auto" w:fill="auto"/>
            <w:vAlign w:val="center"/>
          </w:tcPr>
          <w:p w14:paraId="3001E3D6" w14:textId="6C45C234" w:rsidR="00AC3EF2" w:rsidRPr="00781112" w:rsidRDefault="00AC3EF2" w:rsidP="00BA3DBE">
            <w:pPr>
              <w:jc w:val="center"/>
              <w:rPr>
                <w:rFonts w:cs="Arial"/>
                <w:color w:val="000000" w:themeColor="text1"/>
                <w:szCs w:val="16"/>
              </w:rPr>
            </w:pPr>
            <w:r w:rsidRPr="00781112">
              <w:rPr>
                <w:rFonts w:cs="Arial"/>
                <w:color w:val="000000" w:themeColor="text1"/>
                <w:szCs w:val="16"/>
              </w:rPr>
              <w:t>Target</w:t>
            </w:r>
          </w:p>
        </w:tc>
        <w:tc>
          <w:tcPr>
            <w:tcW w:w="1461" w:type="pct"/>
            <w:shd w:val="clear" w:color="auto" w:fill="auto"/>
            <w:vAlign w:val="center"/>
          </w:tcPr>
          <w:p w14:paraId="538E5325" w14:textId="0C17771E" w:rsidR="00AC3EF2" w:rsidRPr="00781112" w:rsidRDefault="00AC3EF2" w:rsidP="00AD5583">
            <w:pPr>
              <w:jc w:val="center"/>
              <w:rPr>
                <w:rFonts w:cs="Arial"/>
                <w:color w:val="000000" w:themeColor="text1"/>
                <w:szCs w:val="16"/>
              </w:rPr>
            </w:pPr>
            <w:r w:rsidRPr="00781112">
              <w:rPr>
                <w:rFonts w:cs="Arial"/>
                <w:color w:val="000000" w:themeColor="text1"/>
                <w:szCs w:val="16"/>
              </w:rPr>
              <w:t>0%</w:t>
            </w:r>
          </w:p>
        </w:tc>
        <w:tc>
          <w:tcPr>
            <w:tcW w:w="1566" w:type="pct"/>
          </w:tcPr>
          <w:p w14:paraId="5C91471A" w14:textId="351E6F13" w:rsidR="00AC3EF2" w:rsidRPr="00781112" w:rsidRDefault="00AC3EF2" w:rsidP="00AD5583">
            <w:pPr>
              <w:jc w:val="center"/>
              <w:rPr>
                <w:rFonts w:cs="Arial"/>
                <w:color w:val="000000" w:themeColor="text1"/>
                <w:szCs w:val="16"/>
              </w:rPr>
            </w:pPr>
            <w:r w:rsidRPr="00781112">
              <w:rPr>
                <w:color w:val="000000" w:themeColor="text1"/>
                <w:szCs w:val="16"/>
              </w:rPr>
              <w:t>0%</w:t>
            </w:r>
          </w:p>
        </w:tc>
        <w:tc>
          <w:tcPr>
            <w:tcW w:w="1566" w:type="pct"/>
          </w:tcPr>
          <w:p w14:paraId="4C61AAA7" w14:textId="75046312" w:rsidR="00AC3EF2" w:rsidRPr="00781112" w:rsidRDefault="00AC3EF2" w:rsidP="00AD5583">
            <w:pPr>
              <w:jc w:val="center"/>
              <w:rPr>
                <w:rFonts w:cs="Arial"/>
                <w:color w:val="000000" w:themeColor="text1"/>
                <w:szCs w:val="16"/>
              </w:rPr>
            </w:pPr>
            <w:r w:rsidRPr="00781112">
              <w:rPr>
                <w:color w:val="000000" w:themeColor="text1"/>
                <w:szCs w:val="16"/>
              </w:rPr>
              <w:t>0%</w:t>
            </w:r>
          </w:p>
        </w:tc>
      </w:tr>
      <w:bookmarkEnd w:id="48"/>
      <w:bookmarkEnd w:id="49"/>
    </w:tbl>
    <w:p w14:paraId="2AD56AE3" w14:textId="77777777" w:rsidR="008D766F" w:rsidRDefault="008D766F">
      <w:pPr>
        <w:rPr>
          <w:b/>
          <w:color w:val="000000" w:themeColor="text1"/>
        </w:rPr>
      </w:pPr>
    </w:p>
    <w:p w14:paraId="77101B89" w14:textId="0209B4E6" w:rsidR="00D03701" w:rsidRPr="00781112" w:rsidRDefault="0047313F">
      <w:pPr>
        <w:rPr>
          <w:b/>
          <w:color w:val="000000" w:themeColor="text1"/>
        </w:rPr>
      </w:pPr>
      <w:r>
        <w:rPr>
          <w:b/>
          <w:color w:val="000000" w:themeColor="text1"/>
        </w:rPr>
        <w:t>FFY 2023 SPP/APR Data</w:t>
      </w:r>
    </w:p>
    <w:p w14:paraId="5771AAAE" w14:textId="3421DD27" w:rsidR="003E7FC1" w:rsidRPr="00781112" w:rsidRDefault="003E7FC1">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122DE20F" w14:textId="4373CB68" w:rsidR="003E7FC1" w:rsidRPr="00781112" w:rsidRDefault="003E7FC1">
      <w:pPr>
        <w:rPr>
          <w:rFonts w:cs="Arial"/>
          <w:color w:val="000000" w:themeColor="text1"/>
          <w:szCs w:val="16"/>
        </w:rPr>
      </w:pPr>
      <w:r w:rsidRPr="00781112">
        <w:rPr>
          <w:rFonts w:cs="Arial"/>
          <w:color w:val="000000" w:themeColor="text1"/>
          <w:szCs w:val="16"/>
        </w:rPr>
        <w:t>YES</w:t>
      </w:r>
    </w:p>
    <w:p w14:paraId="76B8CAF9" w14:textId="53FE4658" w:rsidR="003E7FC1" w:rsidRPr="00781112" w:rsidRDefault="003E7FC1">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62270301" w14:textId="20B3D538" w:rsidR="003E7FC1" w:rsidRPr="00781112" w:rsidRDefault="003E7FC1" w:rsidP="004369B2">
      <w:pPr>
        <w:rPr>
          <w:rFonts w:cs="Arial"/>
          <w:color w:val="000000" w:themeColor="text1"/>
          <w:szCs w:val="16"/>
        </w:rPr>
      </w:pPr>
      <w:r w:rsidRPr="00781112">
        <w:rPr>
          <w:rFonts w:cs="Arial"/>
          <w:color w:val="000000" w:themeColor="text1"/>
          <w:szCs w:val="16"/>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CFFYAPRDATA"/>
      </w:tblPr>
      <w:tblGrid>
        <w:gridCol w:w="1488"/>
        <w:gridCol w:w="1488"/>
        <w:gridCol w:w="1709"/>
        <w:gridCol w:w="1079"/>
        <w:gridCol w:w="1627"/>
        <w:gridCol w:w="970"/>
        <w:gridCol w:w="1235"/>
        <w:gridCol w:w="1194"/>
      </w:tblGrid>
      <w:tr w:rsidR="00206A65" w:rsidRPr="00781112" w14:paraId="53F272CD" w14:textId="23013B7B" w:rsidTr="002B4D97">
        <w:trPr>
          <w:trHeight w:val="354"/>
          <w:jc w:val="center"/>
        </w:trPr>
        <w:tc>
          <w:tcPr>
            <w:tcW w:w="652" w:type="pct"/>
            <w:shd w:val="clear" w:color="auto" w:fill="auto"/>
            <w:vAlign w:val="bottom"/>
          </w:tcPr>
          <w:p w14:paraId="18E013DB" w14:textId="1E730C58"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w:t>
            </w:r>
          </w:p>
        </w:tc>
        <w:tc>
          <w:tcPr>
            <w:tcW w:w="583" w:type="pct"/>
            <w:shd w:val="clear" w:color="auto" w:fill="auto"/>
            <w:vAlign w:val="bottom"/>
          </w:tcPr>
          <w:p w14:paraId="67667553" w14:textId="3EAD48D0"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 that is the result of inappropriate identification</w:t>
            </w:r>
          </w:p>
        </w:tc>
        <w:tc>
          <w:tcPr>
            <w:tcW w:w="816" w:type="pct"/>
            <w:shd w:val="clear" w:color="auto" w:fill="auto"/>
            <w:vAlign w:val="bottom"/>
          </w:tcPr>
          <w:p w14:paraId="33AFFA6F" w14:textId="7F185165"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24" w:type="pct"/>
            <w:shd w:val="clear" w:color="auto" w:fill="auto"/>
            <w:vAlign w:val="bottom"/>
          </w:tcPr>
          <w:p w14:paraId="600C49E0" w14:textId="496D7B19" w:rsidR="00206A65" w:rsidRPr="00CC1061" w:rsidRDefault="00206A65" w:rsidP="00206A65">
            <w:pPr>
              <w:jc w:val="center"/>
              <w:rPr>
                <w:b/>
                <w:bCs/>
                <w:color w:val="000000" w:themeColor="text1"/>
              </w:rPr>
            </w:pPr>
            <w:r w:rsidRPr="00CC1061">
              <w:rPr>
                <w:b/>
                <w:bCs/>
              </w:rPr>
              <w:t>FFY 2022 Data</w:t>
            </w:r>
          </w:p>
        </w:tc>
        <w:tc>
          <w:tcPr>
            <w:tcW w:w="778" w:type="pct"/>
            <w:shd w:val="clear" w:color="auto" w:fill="auto"/>
            <w:vAlign w:val="bottom"/>
          </w:tcPr>
          <w:p w14:paraId="1B6D5875" w14:textId="081859FC" w:rsidR="00206A65" w:rsidRPr="00CC1061" w:rsidRDefault="00206A65" w:rsidP="00206A65">
            <w:pPr>
              <w:jc w:val="center"/>
              <w:rPr>
                <w:b/>
                <w:bCs/>
                <w:color w:val="000000" w:themeColor="text1"/>
              </w:rPr>
            </w:pPr>
            <w:r w:rsidRPr="00CC1061">
              <w:rPr>
                <w:b/>
                <w:bCs/>
              </w:rPr>
              <w:t>FFY 2023 Target</w:t>
            </w:r>
          </w:p>
        </w:tc>
        <w:tc>
          <w:tcPr>
            <w:tcW w:w="473" w:type="pct"/>
            <w:shd w:val="clear" w:color="auto" w:fill="auto"/>
            <w:vAlign w:val="bottom"/>
          </w:tcPr>
          <w:p w14:paraId="33B20FA6" w14:textId="2940D23E" w:rsidR="00206A65" w:rsidRPr="00CC1061" w:rsidRDefault="00206A65" w:rsidP="00206A65">
            <w:pPr>
              <w:jc w:val="center"/>
              <w:rPr>
                <w:b/>
                <w:bCs/>
                <w:color w:val="000000" w:themeColor="text1"/>
              </w:rPr>
            </w:pPr>
            <w:r w:rsidRPr="00CC1061">
              <w:rPr>
                <w:b/>
                <w:bCs/>
              </w:rPr>
              <w:t>FFY 2023 Data</w:t>
            </w:r>
          </w:p>
        </w:tc>
        <w:tc>
          <w:tcPr>
            <w:tcW w:w="596" w:type="pct"/>
            <w:shd w:val="clear" w:color="auto" w:fill="auto"/>
            <w:vAlign w:val="bottom"/>
          </w:tcPr>
          <w:p w14:paraId="7561FBFF" w14:textId="5BCCF9DB" w:rsidR="00206A65" w:rsidRPr="00781112" w:rsidRDefault="00206A65" w:rsidP="00206A65">
            <w:pPr>
              <w:jc w:val="center"/>
              <w:rPr>
                <w:b/>
                <w:color w:val="000000" w:themeColor="text1"/>
              </w:rPr>
            </w:pPr>
            <w:r w:rsidRPr="00781112">
              <w:rPr>
                <w:b/>
                <w:color w:val="000000" w:themeColor="text1"/>
              </w:rPr>
              <w:t>Status</w:t>
            </w:r>
          </w:p>
        </w:tc>
        <w:tc>
          <w:tcPr>
            <w:tcW w:w="577" w:type="pct"/>
            <w:shd w:val="clear" w:color="auto" w:fill="auto"/>
            <w:vAlign w:val="bottom"/>
          </w:tcPr>
          <w:p w14:paraId="0153B20F" w14:textId="69571E1B"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57CF8532" w14:textId="02E28ACC" w:rsidTr="002B4D97">
        <w:trPr>
          <w:trHeight w:val="361"/>
          <w:jc w:val="center"/>
        </w:trPr>
        <w:tc>
          <w:tcPr>
            <w:tcW w:w="652" w:type="pct"/>
            <w:shd w:val="clear" w:color="auto" w:fill="auto"/>
            <w:vAlign w:val="center"/>
          </w:tcPr>
          <w:p w14:paraId="172AFDD0" w14:textId="0A73037E"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583" w:type="pct"/>
            <w:shd w:val="clear" w:color="auto" w:fill="auto"/>
            <w:vAlign w:val="center"/>
          </w:tcPr>
          <w:p w14:paraId="6757D825" w14:textId="1A92A410"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816" w:type="pct"/>
            <w:shd w:val="clear" w:color="auto" w:fill="auto"/>
          </w:tcPr>
          <w:p w14:paraId="5A5C0509" w14:textId="06ACAFFD" w:rsidR="004B2A77" w:rsidRPr="00781112" w:rsidRDefault="004B2A77" w:rsidP="00A018D4">
            <w:pPr>
              <w:jc w:val="center"/>
              <w:rPr>
                <w:rFonts w:cs="Arial"/>
                <w:color w:val="000000" w:themeColor="text1"/>
                <w:szCs w:val="16"/>
              </w:rPr>
            </w:pPr>
            <w:r w:rsidRPr="00781112">
              <w:rPr>
                <w:rFonts w:cs="Arial"/>
                <w:color w:val="000000" w:themeColor="text1"/>
                <w:szCs w:val="16"/>
              </w:rPr>
              <w:t>59</w:t>
            </w:r>
          </w:p>
        </w:tc>
        <w:tc>
          <w:tcPr>
            <w:tcW w:w="524" w:type="pct"/>
            <w:shd w:val="clear" w:color="auto" w:fill="auto"/>
          </w:tcPr>
          <w:p w14:paraId="5124C23D" w14:textId="44EC7AED"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778" w:type="pct"/>
            <w:shd w:val="clear" w:color="auto" w:fill="auto"/>
          </w:tcPr>
          <w:p w14:paraId="60374E05" w14:textId="3E7E167C" w:rsidR="004B2A77" w:rsidRPr="00781112" w:rsidRDefault="009C65E9" w:rsidP="00A018D4">
            <w:pPr>
              <w:jc w:val="center"/>
              <w:rPr>
                <w:rFonts w:cs="Arial"/>
                <w:color w:val="000000" w:themeColor="text1"/>
                <w:szCs w:val="16"/>
              </w:rPr>
            </w:pPr>
            <w:r w:rsidRPr="00781112">
              <w:rPr>
                <w:rFonts w:cs="Arial"/>
                <w:color w:val="000000" w:themeColor="text1"/>
                <w:szCs w:val="16"/>
              </w:rPr>
              <w:t>0%</w:t>
            </w:r>
          </w:p>
        </w:tc>
        <w:tc>
          <w:tcPr>
            <w:tcW w:w="473" w:type="pct"/>
            <w:shd w:val="clear" w:color="auto" w:fill="auto"/>
          </w:tcPr>
          <w:p w14:paraId="4C77CACE" w14:textId="610C95DA"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596" w:type="pct"/>
            <w:shd w:val="clear" w:color="auto" w:fill="auto"/>
          </w:tcPr>
          <w:p w14:paraId="58A781DA" w14:textId="678D3288" w:rsidR="004B2A77" w:rsidRPr="00781112" w:rsidRDefault="004B2A77" w:rsidP="00A018D4">
            <w:pPr>
              <w:jc w:val="center"/>
              <w:rPr>
                <w:rFonts w:cs="Arial"/>
                <w:color w:val="000000" w:themeColor="text1"/>
                <w:szCs w:val="16"/>
              </w:rPr>
            </w:pPr>
            <w:r w:rsidRPr="00781112">
              <w:rPr>
                <w:rFonts w:cs="Arial"/>
                <w:color w:val="000000" w:themeColor="text1"/>
                <w:szCs w:val="16"/>
              </w:rPr>
              <w:t>Met target</w:t>
            </w:r>
          </w:p>
        </w:tc>
        <w:tc>
          <w:tcPr>
            <w:tcW w:w="577" w:type="pct"/>
            <w:shd w:val="clear" w:color="auto" w:fill="auto"/>
          </w:tcPr>
          <w:p w14:paraId="47F36111" w14:textId="3F2C8DFF" w:rsidR="004B2A77" w:rsidRPr="00781112" w:rsidRDefault="004B2A77" w:rsidP="00A018D4">
            <w:pPr>
              <w:jc w:val="center"/>
              <w:rPr>
                <w:rFonts w:cs="Arial"/>
                <w:color w:val="000000" w:themeColor="text1"/>
                <w:szCs w:val="16"/>
              </w:rPr>
            </w:pPr>
            <w:r w:rsidRPr="00781112">
              <w:rPr>
                <w:rFonts w:cs="Arial"/>
                <w:color w:val="000000" w:themeColor="text1"/>
                <w:szCs w:val="16"/>
              </w:rPr>
              <w:t>No Slippage</w:t>
            </w:r>
          </w:p>
        </w:tc>
      </w:tr>
    </w:tbl>
    <w:p w14:paraId="220899ED" w14:textId="09CDAC50" w:rsidR="003E7FC1" w:rsidRPr="00781112" w:rsidRDefault="00955FDB" w:rsidP="007D435F">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64B5C6B5" w14:textId="17D64090" w:rsidR="003E7FC1" w:rsidRPr="00781112" w:rsidRDefault="003E7FC1" w:rsidP="007D435F">
      <w:pPr>
        <w:rPr>
          <w:rFonts w:cs="Arial"/>
          <w:color w:val="000000" w:themeColor="text1"/>
          <w:szCs w:val="16"/>
        </w:rPr>
      </w:pPr>
      <w:r w:rsidRPr="00781112">
        <w:rPr>
          <w:rFonts w:cs="Arial"/>
          <w:color w:val="000000" w:themeColor="text1"/>
          <w:szCs w:val="16"/>
        </w:rPr>
        <w:t>YES</w:t>
      </w:r>
    </w:p>
    <w:p w14:paraId="6A959542" w14:textId="25AC6B55" w:rsidR="00030B45" w:rsidRPr="00781112" w:rsidRDefault="000F256B"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6885C863" w14:textId="66F69B19" w:rsidR="009B37A2" w:rsidRPr="00781112" w:rsidRDefault="002B7490" w:rsidP="00CE1CE8">
      <w:pPr>
        <w:rPr>
          <w:rFonts w:cs="Arial"/>
          <w:color w:val="000000" w:themeColor="text1"/>
          <w:szCs w:val="16"/>
        </w:rPr>
      </w:pPr>
      <w:bookmarkStart w:id="50" w:name="_Hlk494459610"/>
      <w:r w:rsidRPr="00781112">
        <w:rPr>
          <w:rFonts w:cs="Arial"/>
          <w:color w:val="000000" w:themeColor="text1"/>
          <w:szCs w:val="16"/>
        </w:rPr>
        <w:t>“DISPROPORTIONATE REPRESENTATION” DEFINITION</w:t>
      </w:r>
      <w:r w:rsidRPr="00781112">
        <w:rPr>
          <w:rFonts w:cs="Arial"/>
          <w:color w:val="000000" w:themeColor="text1"/>
          <w:szCs w:val="16"/>
        </w:rPr>
        <w:br/>
      </w:r>
      <w:r w:rsidRPr="00781112">
        <w:rPr>
          <w:rFonts w:cs="Arial"/>
          <w:color w:val="000000" w:themeColor="text1"/>
          <w:szCs w:val="16"/>
        </w:rPr>
        <w:br/>
        <w:t>WVDE/OSE defines "disproportionate representation" as a risk ratio of 3.0 or greater (overrepresentation) for any given year (every one year). When disproportionate representation is identified in an LEA, WVDE/OSE determines whether the disproportionate representation is the result of inappropriate identification by reviewing policies, practices, and procedures as submitted by the LEA. Data for each LEA are analyzed for all seven racial/ethnic groups.</w:t>
      </w:r>
      <w:r w:rsidRPr="00781112">
        <w:rPr>
          <w:rFonts w:cs="Arial"/>
          <w:color w:val="000000" w:themeColor="text1"/>
          <w:szCs w:val="16"/>
        </w:rPr>
        <w:br/>
      </w:r>
      <w:r w:rsidRPr="00781112">
        <w:rPr>
          <w:rFonts w:cs="Arial"/>
          <w:color w:val="000000" w:themeColor="text1"/>
          <w:szCs w:val="16"/>
        </w:rPr>
        <w:br/>
        <w:t xml:space="preserve">CALCULATING “DISPROPORTIONATE REPRESENTATION” </w:t>
      </w:r>
      <w:r w:rsidRPr="00781112">
        <w:rPr>
          <w:rFonts w:cs="Arial"/>
          <w:color w:val="000000" w:themeColor="text1"/>
          <w:szCs w:val="16"/>
        </w:rPr>
        <w:br/>
      </w:r>
      <w:r w:rsidRPr="00781112">
        <w:rPr>
          <w:rFonts w:cs="Arial"/>
          <w:color w:val="000000" w:themeColor="text1"/>
          <w:szCs w:val="16"/>
        </w:rPr>
        <w:br/>
        <w:t xml:space="preserve">WVDE/OSE calculates a risk ratio for each of the seven racial/ethnic categories within each LEA, using data from the SY 2023-24 FS002 Children with Disabilities (IDEA) School Age file, and data from the SY 2023-24 FS052 Membership file of students in grades K through 12. </w:t>
      </w:r>
      <w:r w:rsidRPr="00781112">
        <w:rPr>
          <w:rFonts w:cs="Arial"/>
          <w:color w:val="000000" w:themeColor="text1"/>
          <w:szCs w:val="16"/>
        </w:rPr>
        <w:br/>
      </w:r>
      <w:r w:rsidRPr="00781112">
        <w:rPr>
          <w:rFonts w:cs="Arial"/>
          <w:color w:val="000000" w:themeColor="text1"/>
          <w:szCs w:val="16"/>
        </w:rPr>
        <w:br/>
        <w:t xml:space="preserve">To be included in the analysis, an LEA must have at least 10 students with disabilities (cell size) and at least 30 students in overall enrollment (n-size) within the specific racial/ethnic group. The group's risk is then compared to either the LEA or state risk for all other students. For the LEA comparison group to be used, it must also meet the minimum cell (10) and n (30) sizes within its "all other" racial/ethnic category; otherwise, the statewide comparison group risk is used. </w:t>
      </w:r>
    </w:p>
    <w:bookmarkEnd w:id="50"/>
    <w:p w14:paraId="7574A63E" w14:textId="34AB5613" w:rsidR="000F256B" w:rsidRPr="00781112" w:rsidRDefault="000F256B" w:rsidP="004369B2">
      <w:pPr>
        <w:rPr>
          <w:b/>
          <w:color w:val="000000" w:themeColor="text1"/>
        </w:rPr>
      </w:pPr>
      <w:r w:rsidRPr="00781112">
        <w:rPr>
          <w:b/>
          <w:color w:val="000000" w:themeColor="text1"/>
        </w:rPr>
        <w:t>Describe how the State made its annual determination as to whether the disproportionate representation it identified of racial and ethnic groups in special education and related services was the result of inappropriate identification.</w:t>
      </w:r>
    </w:p>
    <w:p w14:paraId="43771B17" w14:textId="1EE1B86A" w:rsidR="009B37A2" w:rsidRPr="00781112" w:rsidRDefault="002B7490" w:rsidP="003817C0">
      <w:pPr>
        <w:rPr>
          <w:rFonts w:cs="Arial"/>
          <w:color w:val="000000" w:themeColor="text1"/>
          <w:szCs w:val="16"/>
        </w:rPr>
      </w:pPr>
      <w:r w:rsidRPr="00781112">
        <w:rPr>
          <w:rFonts w:cs="Arial"/>
          <w:color w:val="000000" w:themeColor="text1"/>
          <w:szCs w:val="16"/>
        </w:rPr>
        <w:t xml:space="preserve">There was no disproportionate representation of racial and ethnic groups in special education identified. </w:t>
      </w:r>
    </w:p>
    <w:p w14:paraId="3B71A72A" w14:textId="77777777" w:rsidR="00DF1529" w:rsidRPr="00781112" w:rsidRDefault="00DF1529" w:rsidP="00DF1529">
      <w:pPr>
        <w:rPr>
          <w:rFonts w:cs="Arial"/>
          <w:b/>
          <w:color w:val="000000" w:themeColor="text1"/>
          <w:szCs w:val="16"/>
        </w:rPr>
      </w:pPr>
      <w:bookmarkStart w:id="51" w:name="_Toc381956337"/>
      <w:bookmarkStart w:id="52" w:name="_Toc384383347"/>
      <w:bookmarkStart w:id="53" w:name="_Toc392159315"/>
      <w:r w:rsidRPr="00781112">
        <w:rPr>
          <w:rFonts w:cs="Arial"/>
          <w:b/>
          <w:color w:val="000000" w:themeColor="text1"/>
          <w:szCs w:val="16"/>
        </w:rPr>
        <w:t>Provide additional information about this indicator (optional)</w:t>
      </w:r>
    </w:p>
    <w:p w14:paraId="0CC85C5C" w14:textId="196142DC" w:rsidR="009B37A2" w:rsidRPr="00781112" w:rsidRDefault="002B7490" w:rsidP="007D435F">
      <w:pPr>
        <w:rPr>
          <w:rFonts w:cs="Arial"/>
          <w:color w:val="000000" w:themeColor="text1"/>
          <w:szCs w:val="16"/>
        </w:rPr>
      </w:pPr>
      <w:r w:rsidRPr="00781112">
        <w:rPr>
          <w:rFonts w:cs="Arial"/>
          <w:color w:val="000000" w:themeColor="text1"/>
          <w:szCs w:val="16"/>
        </w:rPr>
        <w:t>All LEAs are eligible for inclusion in the analysis with the exception of the state-operated WV Schools for the Deaf and Blind, and WV Schools for Diversion and Transition (institutional education programs across the state). Given the specialized nature of these two (2) LEAs, they are excluded from the analysis as they do not identify students for special education services.</w:t>
      </w:r>
    </w:p>
    <w:p w14:paraId="69DF7E10" w14:textId="07C421A8"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09PFFYNCFINDINGS"/>
      </w:tblPr>
      <w:tblGrid>
        <w:gridCol w:w="2650"/>
        <w:gridCol w:w="2780"/>
        <w:gridCol w:w="2656"/>
        <w:gridCol w:w="2704"/>
      </w:tblGrid>
      <w:tr w:rsidR="005C29F8" w:rsidRPr="00781112" w14:paraId="435C2E3A" w14:textId="77777777" w:rsidTr="004671FF">
        <w:trPr>
          <w:trHeight w:val="389"/>
          <w:tblHeader/>
        </w:trPr>
        <w:tc>
          <w:tcPr>
            <w:tcW w:w="1228" w:type="pct"/>
            <w:shd w:val="clear" w:color="auto" w:fill="auto"/>
            <w:vAlign w:val="bottom"/>
          </w:tcPr>
          <w:p w14:paraId="3DF4178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5838AA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10EF2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13FB05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64124D7" w14:textId="77777777" w:rsidTr="004671FF">
        <w:tc>
          <w:tcPr>
            <w:tcW w:w="1228" w:type="pct"/>
            <w:shd w:val="clear" w:color="auto" w:fill="auto"/>
          </w:tcPr>
          <w:p w14:paraId="42664B40" w14:textId="26FCEE8E"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6961AA78" w14:textId="6F435E7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62D59DBA" w14:textId="3A100C9A"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3810C422" w14:textId="3AC4106C"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7600374" w14:textId="77777777" w:rsidR="00F5391D" w:rsidRPr="00781112" w:rsidRDefault="00F5391D" w:rsidP="004369B2">
      <w:pPr>
        <w:rPr>
          <w:color w:val="000000" w:themeColor="text1"/>
        </w:rPr>
      </w:pPr>
    </w:p>
    <w:p w14:paraId="287CA0E8" w14:textId="0AEACF11"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09PPFFYNCFINDINGS"/>
      </w:tblPr>
      <w:tblGrid>
        <w:gridCol w:w="1890"/>
        <w:gridCol w:w="3131"/>
        <w:gridCol w:w="3123"/>
        <w:gridCol w:w="2646"/>
      </w:tblGrid>
      <w:tr w:rsidR="005C29F8" w:rsidRPr="00781112" w14:paraId="45BB80A1" w14:textId="77777777" w:rsidTr="00052590">
        <w:trPr>
          <w:tblHeader/>
        </w:trPr>
        <w:tc>
          <w:tcPr>
            <w:tcW w:w="876" w:type="pct"/>
            <w:shd w:val="clear" w:color="auto" w:fill="auto"/>
            <w:vAlign w:val="bottom"/>
          </w:tcPr>
          <w:p w14:paraId="5035B654" w14:textId="11C86A5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51" w:type="pct"/>
            <w:shd w:val="clear" w:color="auto" w:fill="auto"/>
            <w:vAlign w:val="bottom"/>
          </w:tcPr>
          <w:p w14:paraId="37A08A62" w14:textId="6D1686CE"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447" w:type="pct"/>
            <w:shd w:val="clear" w:color="auto" w:fill="auto"/>
            <w:vAlign w:val="bottom"/>
          </w:tcPr>
          <w:p w14:paraId="24E9B19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26" w:type="pct"/>
            <w:shd w:val="clear" w:color="auto" w:fill="auto"/>
            <w:vAlign w:val="bottom"/>
          </w:tcPr>
          <w:p w14:paraId="344E951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988805E" w14:textId="77777777" w:rsidTr="00052590">
        <w:tc>
          <w:tcPr>
            <w:tcW w:w="876" w:type="pct"/>
            <w:shd w:val="clear" w:color="auto" w:fill="auto"/>
          </w:tcPr>
          <w:p w14:paraId="45428D6F" w14:textId="7D4EAEAA" w:rsidR="009A755E" w:rsidRPr="00781112" w:rsidRDefault="009A755E" w:rsidP="00A018D4">
            <w:pPr>
              <w:jc w:val="center"/>
              <w:rPr>
                <w:rFonts w:cs="Arial"/>
                <w:color w:val="000000" w:themeColor="text1"/>
                <w:szCs w:val="16"/>
              </w:rPr>
            </w:pPr>
          </w:p>
        </w:tc>
        <w:tc>
          <w:tcPr>
            <w:tcW w:w="1451" w:type="pct"/>
            <w:shd w:val="clear" w:color="auto" w:fill="auto"/>
          </w:tcPr>
          <w:p w14:paraId="2538B936" w14:textId="1E5EBCEA" w:rsidR="009A755E" w:rsidRPr="00781112" w:rsidRDefault="009A755E">
            <w:pPr>
              <w:jc w:val="center"/>
              <w:rPr>
                <w:rFonts w:cs="Arial"/>
                <w:noProof/>
                <w:color w:val="000000" w:themeColor="text1"/>
                <w:szCs w:val="16"/>
              </w:rPr>
            </w:pPr>
          </w:p>
        </w:tc>
        <w:tc>
          <w:tcPr>
            <w:tcW w:w="1447" w:type="pct"/>
            <w:shd w:val="clear" w:color="auto" w:fill="auto"/>
          </w:tcPr>
          <w:p w14:paraId="0C2616F3" w14:textId="51C19A6F" w:rsidR="009A755E" w:rsidRPr="00781112" w:rsidRDefault="009A755E">
            <w:pPr>
              <w:jc w:val="center"/>
              <w:rPr>
                <w:rFonts w:cs="Arial"/>
                <w:noProof/>
                <w:color w:val="000000" w:themeColor="text1"/>
                <w:szCs w:val="16"/>
              </w:rPr>
            </w:pPr>
          </w:p>
        </w:tc>
        <w:tc>
          <w:tcPr>
            <w:tcW w:w="1226" w:type="pct"/>
            <w:shd w:val="clear" w:color="auto" w:fill="auto"/>
          </w:tcPr>
          <w:p w14:paraId="2C4B22F3" w14:textId="328F69BF" w:rsidR="009A755E" w:rsidRPr="00781112" w:rsidRDefault="009A755E">
            <w:pPr>
              <w:jc w:val="center"/>
              <w:rPr>
                <w:rFonts w:cs="Arial"/>
                <w:noProof/>
                <w:color w:val="000000" w:themeColor="text1"/>
                <w:szCs w:val="16"/>
              </w:rPr>
            </w:pPr>
          </w:p>
        </w:tc>
      </w:tr>
      <w:tr w:rsidR="005C29F8" w:rsidRPr="00781112" w14:paraId="64C29D12" w14:textId="77777777" w:rsidTr="00052590">
        <w:tc>
          <w:tcPr>
            <w:tcW w:w="876" w:type="pct"/>
            <w:shd w:val="clear" w:color="auto" w:fill="auto"/>
          </w:tcPr>
          <w:p w14:paraId="64B189E9" w14:textId="0AFBAB97" w:rsidR="009A755E" w:rsidRPr="00781112" w:rsidRDefault="009A755E" w:rsidP="00A018D4">
            <w:pPr>
              <w:jc w:val="center"/>
              <w:rPr>
                <w:rFonts w:cs="Arial"/>
                <w:color w:val="000000" w:themeColor="text1"/>
                <w:szCs w:val="16"/>
              </w:rPr>
            </w:pPr>
          </w:p>
        </w:tc>
        <w:tc>
          <w:tcPr>
            <w:tcW w:w="1451" w:type="pct"/>
            <w:shd w:val="clear" w:color="auto" w:fill="auto"/>
          </w:tcPr>
          <w:p w14:paraId="0A04A1D7" w14:textId="686FEC4A" w:rsidR="009A755E" w:rsidRPr="00781112" w:rsidRDefault="009A755E">
            <w:pPr>
              <w:jc w:val="center"/>
              <w:rPr>
                <w:rFonts w:cs="Arial"/>
                <w:noProof/>
                <w:color w:val="000000" w:themeColor="text1"/>
                <w:szCs w:val="16"/>
              </w:rPr>
            </w:pPr>
          </w:p>
        </w:tc>
        <w:tc>
          <w:tcPr>
            <w:tcW w:w="1447" w:type="pct"/>
            <w:shd w:val="clear" w:color="auto" w:fill="auto"/>
          </w:tcPr>
          <w:p w14:paraId="6EC161AF" w14:textId="6E0D3C99" w:rsidR="009A755E" w:rsidRPr="00781112" w:rsidRDefault="009A755E">
            <w:pPr>
              <w:jc w:val="center"/>
              <w:rPr>
                <w:rFonts w:cs="Arial"/>
                <w:noProof/>
                <w:color w:val="000000" w:themeColor="text1"/>
                <w:szCs w:val="16"/>
              </w:rPr>
            </w:pPr>
          </w:p>
        </w:tc>
        <w:tc>
          <w:tcPr>
            <w:tcW w:w="1226" w:type="pct"/>
            <w:shd w:val="clear" w:color="auto" w:fill="auto"/>
          </w:tcPr>
          <w:p w14:paraId="0BCD79B4" w14:textId="02E3B9EE" w:rsidR="009A755E" w:rsidRPr="00781112" w:rsidRDefault="009A755E">
            <w:pPr>
              <w:jc w:val="center"/>
              <w:rPr>
                <w:rFonts w:cs="Arial"/>
                <w:noProof/>
                <w:color w:val="000000" w:themeColor="text1"/>
                <w:szCs w:val="16"/>
              </w:rPr>
            </w:pPr>
          </w:p>
        </w:tc>
      </w:tr>
      <w:tr w:rsidR="005C29F8" w:rsidRPr="00781112" w14:paraId="5DBE1D84" w14:textId="77777777" w:rsidTr="00052590">
        <w:tc>
          <w:tcPr>
            <w:tcW w:w="876" w:type="pct"/>
            <w:shd w:val="clear" w:color="auto" w:fill="auto"/>
          </w:tcPr>
          <w:p w14:paraId="19109B9A" w14:textId="16CEFD65" w:rsidR="009A755E" w:rsidRPr="00781112" w:rsidRDefault="009A755E" w:rsidP="00A018D4">
            <w:pPr>
              <w:jc w:val="center"/>
              <w:rPr>
                <w:rFonts w:cs="Arial"/>
                <w:color w:val="000000" w:themeColor="text1"/>
                <w:szCs w:val="16"/>
              </w:rPr>
            </w:pPr>
          </w:p>
        </w:tc>
        <w:tc>
          <w:tcPr>
            <w:tcW w:w="1451" w:type="pct"/>
            <w:shd w:val="clear" w:color="auto" w:fill="auto"/>
          </w:tcPr>
          <w:p w14:paraId="2D2E112D" w14:textId="794C18F8" w:rsidR="009A755E" w:rsidRPr="00781112" w:rsidRDefault="009A755E">
            <w:pPr>
              <w:jc w:val="center"/>
              <w:rPr>
                <w:rFonts w:cs="Arial"/>
                <w:noProof/>
                <w:color w:val="000000" w:themeColor="text1"/>
                <w:szCs w:val="16"/>
              </w:rPr>
            </w:pPr>
          </w:p>
        </w:tc>
        <w:tc>
          <w:tcPr>
            <w:tcW w:w="1447" w:type="pct"/>
            <w:shd w:val="clear" w:color="auto" w:fill="auto"/>
          </w:tcPr>
          <w:p w14:paraId="5B55C7F5" w14:textId="3406276E" w:rsidR="009A755E" w:rsidRPr="00781112" w:rsidRDefault="009A755E">
            <w:pPr>
              <w:jc w:val="center"/>
              <w:rPr>
                <w:rFonts w:cs="Arial"/>
                <w:noProof/>
                <w:color w:val="000000" w:themeColor="text1"/>
                <w:szCs w:val="16"/>
              </w:rPr>
            </w:pPr>
          </w:p>
        </w:tc>
        <w:tc>
          <w:tcPr>
            <w:tcW w:w="1226" w:type="pct"/>
            <w:shd w:val="clear" w:color="auto" w:fill="auto"/>
          </w:tcPr>
          <w:p w14:paraId="04E4EF54" w14:textId="064E0A7A" w:rsidR="009A755E" w:rsidRPr="00781112" w:rsidRDefault="009A755E">
            <w:pPr>
              <w:jc w:val="center"/>
              <w:rPr>
                <w:rFonts w:cs="Arial"/>
                <w:noProof/>
                <w:color w:val="000000" w:themeColor="text1"/>
                <w:szCs w:val="16"/>
              </w:rPr>
            </w:pPr>
          </w:p>
        </w:tc>
      </w:tr>
      <w:tr w:rsidR="00052590" w:rsidRPr="00781112" w14:paraId="48E611E2" w14:textId="77777777" w:rsidTr="00052590">
        <w:tc>
          <w:tcPr>
            <w:tcW w:w="876" w:type="pct"/>
            <w:shd w:val="clear" w:color="auto" w:fill="auto"/>
          </w:tcPr>
          <w:p w14:paraId="04BACD3E" w14:textId="36D5B78A" w:rsidR="00052590" w:rsidRPr="00781112" w:rsidRDefault="00052590" w:rsidP="00052590">
            <w:pPr>
              <w:jc w:val="center"/>
              <w:rPr>
                <w:rFonts w:cs="Arial"/>
                <w:color w:val="000000" w:themeColor="text1"/>
                <w:szCs w:val="16"/>
              </w:rPr>
            </w:pPr>
          </w:p>
        </w:tc>
        <w:tc>
          <w:tcPr>
            <w:tcW w:w="1451" w:type="pct"/>
            <w:shd w:val="clear" w:color="auto" w:fill="auto"/>
          </w:tcPr>
          <w:p w14:paraId="0D60840A" w14:textId="145B9759" w:rsidR="00052590" w:rsidRPr="00781112" w:rsidRDefault="00052590" w:rsidP="00052590">
            <w:pPr>
              <w:jc w:val="center"/>
              <w:rPr>
                <w:rFonts w:cs="Arial"/>
                <w:color w:val="000000" w:themeColor="text1"/>
                <w:szCs w:val="16"/>
              </w:rPr>
            </w:pPr>
          </w:p>
        </w:tc>
        <w:tc>
          <w:tcPr>
            <w:tcW w:w="1447" w:type="pct"/>
            <w:shd w:val="clear" w:color="auto" w:fill="auto"/>
          </w:tcPr>
          <w:p w14:paraId="4AB6362B" w14:textId="02CFA0F9" w:rsidR="00052590" w:rsidRPr="00781112" w:rsidRDefault="00052590" w:rsidP="00052590">
            <w:pPr>
              <w:jc w:val="center"/>
              <w:rPr>
                <w:rFonts w:cs="Arial"/>
                <w:color w:val="000000" w:themeColor="text1"/>
                <w:szCs w:val="16"/>
              </w:rPr>
            </w:pPr>
          </w:p>
        </w:tc>
        <w:tc>
          <w:tcPr>
            <w:tcW w:w="1226" w:type="pct"/>
            <w:shd w:val="clear" w:color="auto" w:fill="auto"/>
          </w:tcPr>
          <w:p w14:paraId="4B48F4D9" w14:textId="7D6E3BDD" w:rsidR="00052590" w:rsidRPr="00781112" w:rsidRDefault="00052590" w:rsidP="00052590">
            <w:pPr>
              <w:jc w:val="center"/>
              <w:rPr>
                <w:rFonts w:cs="Arial"/>
                <w:color w:val="000000" w:themeColor="text1"/>
                <w:szCs w:val="16"/>
              </w:rPr>
            </w:pPr>
          </w:p>
        </w:tc>
      </w:tr>
      <w:tr w:rsidR="00052590" w:rsidRPr="00781112" w14:paraId="0E5C2E26" w14:textId="77777777" w:rsidTr="00052590">
        <w:tc>
          <w:tcPr>
            <w:tcW w:w="876" w:type="pct"/>
            <w:shd w:val="clear" w:color="auto" w:fill="auto"/>
          </w:tcPr>
          <w:p w14:paraId="209314FB" w14:textId="49BE47EC" w:rsidR="00052590" w:rsidRPr="00781112" w:rsidRDefault="00052590" w:rsidP="00052590">
            <w:pPr>
              <w:jc w:val="center"/>
              <w:rPr>
                <w:rFonts w:cs="Arial"/>
                <w:color w:val="000000" w:themeColor="text1"/>
                <w:szCs w:val="16"/>
              </w:rPr>
            </w:pPr>
          </w:p>
        </w:tc>
        <w:tc>
          <w:tcPr>
            <w:tcW w:w="1451" w:type="pct"/>
            <w:shd w:val="clear" w:color="auto" w:fill="auto"/>
          </w:tcPr>
          <w:p w14:paraId="459895DC" w14:textId="6755A04B" w:rsidR="00052590" w:rsidRPr="00781112" w:rsidRDefault="00052590" w:rsidP="00052590">
            <w:pPr>
              <w:jc w:val="center"/>
              <w:rPr>
                <w:rFonts w:cs="Arial"/>
                <w:color w:val="000000" w:themeColor="text1"/>
                <w:szCs w:val="16"/>
              </w:rPr>
            </w:pPr>
          </w:p>
        </w:tc>
        <w:tc>
          <w:tcPr>
            <w:tcW w:w="1447" w:type="pct"/>
            <w:shd w:val="clear" w:color="auto" w:fill="auto"/>
          </w:tcPr>
          <w:p w14:paraId="09B9E700" w14:textId="2464B5FB" w:rsidR="00052590" w:rsidRPr="00781112" w:rsidRDefault="00052590" w:rsidP="00052590">
            <w:pPr>
              <w:jc w:val="center"/>
              <w:rPr>
                <w:rFonts w:cs="Arial"/>
                <w:color w:val="000000" w:themeColor="text1"/>
                <w:szCs w:val="16"/>
              </w:rPr>
            </w:pPr>
          </w:p>
        </w:tc>
        <w:tc>
          <w:tcPr>
            <w:tcW w:w="1226" w:type="pct"/>
            <w:shd w:val="clear" w:color="auto" w:fill="auto"/>
          </w:tcPr>
          <w:p w14:paraId="3BDFA8D1" w14:textId="2BBB1D3D" w:rsidR="00052590" w:rsidRPr="00781112" w:rsidRDefault="00052590" w:rsidP="00052590">
            <w:pPr>
              <w:jc w:val="center"/>
              <w:rPr>
                <w:rFonts w:cs="Arial"/>
                <w:color w:val="000000" w:themeColor="text1"/>
                <w:szCs w:val="16"/>
              </w:rPr>
            </w:pPr>
          </w:p>
        </w:tc>
      </w:tr>
    </w:tbl>
    <w:p w14:paraId="7A74DCD8" w14:textId="61B7BAF7" w:rsidR="004E2151" w:rsidRPr="00781112" w:rsidRDefault="00400C56" w:rsidP="008645AD">
      <w:pPr>
        <w:pStyle w:val="Heading2"/>
      </w:pPr>
      <w:r w:rsidRPr="00781112">
        <w:t>9</w:t>
      </w:r>
      <w:r w:rsidR="00844ADE" w:rsidRPr="00781112">
        <w:t xml:space="preserve"> </w:t>
      </w:r>
      <w:r w:rsidRPr="00781112">
        <w:t xml:space="preserve">- </w:t>
      </w:r>
      <w:r w:rsidR="004E2151" w:rsidRPr="00781112">
        <w:t>Prior FFY Required Actions</w:t>
      </w:r>
    </w:p>
    <w:p w14:paraId="704944D3" w14:textId="21E697E2" w:rsidR="004E2151" w:rsidRPr="00781112" w:rsidRDefault="002B7490" w:rsidP="004E2151">
      <w:pPr>
        <w:rPr>
          <w:rFonts w:cs="Arial"/>
          <w:color w:val="000000" w:themeColor="text1"/>
          <w:szCs w:val="16"/>
        </w:rPr>
      </w:pPr>
      <w:r w:rsidRPr="00781112">
        <w:rPr>
          <w:rFonts w:cs="Arial"/>
          <w:color w:val="000000" w:themeColor="text1"/>
          <w:szCs w:val="16"/>
        </w:rPr>
        <w:t>None</w:t>
      </w:r>
    </w:p>
    <w:p w14:paraId="7A2A42E5" w14:textId="77777777" w:rsidR="00591597" w:rsidRPr="00781112" w:rsidRDefault="00591597" w:rsidP="004E2151">
      <w:pPr>
        <w:rPr>
          <w:rFonts w:cs="Arial"/>
          <w:color w:val="000000" w:themeColor="text1"/>
          <w:szCs w:val="16"/>
        </w:rPr>
      </w:pPr>
    </w:p>
    <w:p w14:paraId="1139CB4A" w14:textId="77777777" w:rsidR="00591597" w:rsidRPr="00781112" w:rsidRDefault="00591597" w:rsidP="004E2151">
      <w:pPr>
        <w:rPr>
          <w:rFonts w:cs="Arial"/>
          <w:color w:val="000000" w:themeColor="text1"/>
          <w:szCs w:val="16"/>
        </w:rPr>
      </w:pPr>
    </w:p>
    <w:p w14:paraId="6FDBF7F5" w14:textId="608C7842" w:rsidR="007F5071" w:rsidRPr="00781112" w:rsidRDefault="00400C56" w:rsidP="008645AD">
      <w:pPr>
        <w:pStyle w:val="Heading2"/>
      </w:pPr>
      <w:r w:rsidRPr="00781112">
        <w:t>9 - OSEP Response</w:t>
      </w:r>
    </w:p>
    <w:p w14:paraId="77DED45E" w14:textId="3920B295" w:rsidR="00481536" w:rsidRPr="00781112" w:rsidRDefault="00481536" w:rsidP="00212954">
      <w:pPr>
        <w:rPr>
          <w:rFonts w:cs="Arial"/>
          <w:color w:val="000000" w:themeColor="text1"/>
          <w:szCs w:val="16"/>
        </w:rPr>
      </w:pPr>
    </w:p>
    <w:p w14:paraId="3F79B021" w14:textId="16E0C852" w:rsidR="007F5071" w:rsidRPr="00781112" w:rsidRDefault="00977D0D" w:rsidP="008645AD">
      <w:pPr>
        <w:pStyle w:val="Heading2"/>
      </w:pPr>
      <w:r w:rsidRPr="00781112">
        <w:t>9 - Required Actions</w:t>
      </w:r>
    </w:p>
    <w:p w14:paraId="0B404586" w14:textId="0A97D85C" w:rsidR="00481536" w:rsidRPr="00781112" w:rsidRDefault="00481536" w:rsidP="00212954">
      <w:pPr>
        <w:rPr>
          <w:rFonts w:cs="Arial"/>
          <w:color w:val="000000" w:themeColor="text1"/>
          <w:szCs w:val="16"/>
        </w:rPr>
      </w:pPr>
    </w:p>
    <w:p w14:paraId="20A15EBC"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D8087B6" w14:textId="0C652DF9" w:rsidR="00D03701" w:rsidRPr="00781112" w:rsidRDefault="00D03701" w:rsidP="000444E2">
      <w:pPr>
        <w:pStyle w:val="Heading1"/>
        <w:rPr>
          <w:color w:val="000000" w:themeColor="text1"/>
          <w:sz w:val="22"/>
        </w:rPr>
      </w:pPr>
      <w:r w:rsidRPr="00781112">
        <w:rPr>
          <w:color w:val="000000" w:themeColor="text1"/>
          <w:sz w:val="22"/>
        </w:rPr>
        <w:lastRenderedPageBreak/>
        <w:t>Indicator 10: Disproportionate Representation in Specific Disability Categories</w:t>
      </w:r>
      <w:bookmarkEnd w:id="51"/>
      <w:bookmarkEnd w:id="52"/>
      <w:bookmarkEnd w:id="53"/>
      <w:r w:rsidRPr="00781112">
        <w:rPr>
          <w:color w:val="000000" w:themeColor="text1"/>
          <w:sz w:val="22"/>
        </w:rPr>
        <w:t xml:space="preserve"> </w:t>
      </w:r>
    </w:p>
    <w:p w14:paraId="139B488B" w14:textId="72279883" w:rsidR="00B70FBF" w:rsidRPr="002C274F" w:rsidRDefault="00B70FBF" w:rsidP="002C274F">
      <w:pPr>
        <w:rPr>
          <w:b/>
          <w:bCs/>
          <w:sz w:val="20"/>
          <w:szCs w:val="20"/>
        </w:rPr>
      </w:pPr>
      <w:bookmarkStart w:id="54" w:name="_Toc384383348"/>
      <w:bookmarkStart w:id="55" w:name="_Toc392159316"/>
      <w:r w:rsidRPr="002C274F">
        <w:rPr>
          <w:b/>
          <w:bCs/>
          <w:sz w:val="20"/>
          <w:szCs w:val="20"/>
        </w:rPr>
        <w:t>Instructions and Measurement</w:t>
      </w:r>
    </w:p>
    <w:p w14:paraId="26E33C31" w14:textId="3616C8E9" w:rsidR="00CC634E" w:rsidRPr="00781112" w:rsidRDefault="00CC634E" w:rsidP="005A3C12">
      <w:pPr>
        <w:rPr>
          <w:rFonts w:cs="Arial"/>
          <w:b/>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xml:space="preserve"> Disproportionality</w:t>
      </w:r>
    </w:p>
    <w:p w14:paraId="2D2ACC66" w14:textId="20EBB47F" w:rsidR="001D677D" w:rsidRPr="00781112" w:rsidRDefault="00CC634E" w:rsidP="005A3C12">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Percent of districts with disproportionate representation of racial and ethnic groups in specific disability categories that is the result of inappropriate identification.</w:t>
      </w:r>
    </w:p>
    <w:p w14:paraId="7688ECEE" w14:textId="1C1D5AA2" w:rsidR="00CC634E" w:rsidRPr="00781112" w:rsidRDefault="00CC634E" w:rsidP="005A3C12">
      <w:pPr>
        <w:rPr>
          <w:rFonts w:cs="Arial"/>
          <w:color w:val="000000" w:themeColor="text1"/>
          <w:szCs w:val="16"/>
        </w:rPr>
      </w:pPr>
      <w:r w:rsidRPr="00781112">
        <w:rPr>
          <w:rFonts w:cs="Arial"/>
          <w:color w:val="000000" w:themeColor="text1"/>
          <w:szCs w:val="16"/>
        </w:rPr>
        <w:t xml:space="preserve"> (20 U.S.C. 1416(a)(3)(C))</w:t>
      </w:r>
    </w:p>
    <w:p w14:paraId="37F13F1F" w14:textId="77777777" w:rsidR="001D677D" w:rsidRPr="00781112" w:rsidRDefault="001D677D" w:rsidP="004369B2">
      <w:pPr>
        <w:rPr>
          <w:color w:val="000000" w:themeColor="text1"/>
        </w:rPr>
      </w:pPr>
      <w:r w:rsidRPr="00781112">
        <w:rPr>
          <w:b/>
          <w:color w:val="000000" w:themeColor="text1"/>
        </w:rPr>
        <w:t>Data Source</w:t>
      </w:r>
    </w:p>
    <w:p w14:paraId="3D0F53DD" w14:textId="1C69F23D" w:rsidR="001D677D" w:rsidRPr="00781112" w:rsidRDefault="007A3964"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specific disability categories was the result of inappropriate identification.</w:t>
      </w:r>
    </w:p>
    <w:p w14:paraId="101129B1" w14:textId="77777777" w:rsidR="001D677D" w:rsidRPr="00781112" w:rsidRDefault="001D677D" w:rsidP="004369B2">
      <w:pPr>
        <w:rPr>
          <w:color w:val="000000" w:themeColor="text1"/>
        </w:rPr>
      </w:pPr>
      <w:r w:rsidRPr="00781112">
        <w:rPr>
          <w:b/>
          <w:color w:val="000000" w:themeColor="text1"/>
        </w:rPr>
        <w:t>Measurement</w:t>
      </w:r>
    </w:p>
    <w:p w14:paraId="564157FF" w14:textId="77777777" w:rsidR="007A3964" w:rsidRPr="00781112" w:rsidRDefault="007A3964" w:rsidP="007A3964">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specific disability categories that is the result of inappropriate identification) divided by the (# of districts in the State that meet the State-established n and/or cell size (if applicable) for one or more racial/ethnic groups)] times 100.</w:t>
      </w:r>
    </w:p>
    <w:p w14:paraId="23D9C135" w14:textId="3CB021A9" w:rsidR="007A3964" w:rsidRPr="00781112" w:rsidRDefault="007A3964" w:rsidP="007A3964">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7F3C03F6" w14:textId="6D71D230" w:rsidR="001D677D" w:rsidRPr="00781112" w:rsidRDefault="007A3964" w:rsidP="007A3964">
      <w:pPr>
        <w:rPr>
          <w:rFonts w:cs="Arial"/>
          <w:color w:val="000000" w:themeColor="text1"/>
          <w:szCs w:val="16"/>
        </w:rPr>
      </w:pPr>
      <w:r w:rsidRPr="00781112">
        <w:rPr>
          <w:rFonts w:cs="Arial"/>
          <w:color w:val="000000" w:themeColor="text1"/>
          <w:szCs w:val="16"/>
        </w:rPr>
        <w:t xml:space="preserve">Based on its review of the section 618 data for the reporting year, describe how the State made its annual determination as to whether the disproportionate representation it identified of racial and ethnic groups in specific disability categories was the result of inappropriate identification as required by 34 CFR §§300.600(d)(3) and 300.602(a), (e.g., using monitoring data; reviewing policies, practices and procedures).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w:t>
      </w:r>
      <w:r w:rsidR="00C77D8E" w:rsidRPr="00781112">
        <w:rPr>
          <w:rFonts w:cs="Arial"/>
          <w:szCs w:val="16"/>
        </w:rPr>
        <w:t xml:space="preserve">specific disability categories </w:t>
      </w:r>
      <w:r w:rsidRPr="00781112">
        <w:rPr>
          <w:rFonts w:cs="Arial"/>
          <w:color w:val="000000" w:themeColor="text1"/>
          <w:szCs w:val="16"/>
        </w:rPr>
        <w:t xml:space="preserve">is the result of inappropriate identification, even if the determination of inappropriate identification was made after the end of the FFY </w:t>
      </w:r>
      <w:r w:rsidR="00206A65" w:rsidRPr="00781112">
        <w:rPr>
          <w:rFonts w:cs="Arial"/>
          <w:color w:val="000000" w:themeColor="text1"/>
          <w:szCs w:val="16"/>
        </w:rPr>
        <w:t>202</w:t>
      </w:r>
      <w:r w:rsidR="00FA5955">
        <w:rPr>
          <w:rFonts w:cs="Arial"/>
          <w:color w:val="000000" w:themeColor="text1"/>
          <w:szCs w:val="16"/>
        </w:rPr>
        <w:t>3</w:t>
      </w:r>
      <w:r w:rsidR="00206A65" w:rsidRPr="00781112">
        <w:rPr>
          <w:rFonts w:cs="Arial"/>
          <w:color w:val="000000" w:themeColor="text1"/>
          <w:szCs w:val="16"/>
        </w:rPr>
        <w:t xml:space="preserve"> </w:t>
      </w:r>
      <w:r w:rsidRPr="00781112">
        <w:rPr>
          <w:rFonts w:cs="Arial"/>
          <w:color w:val="000000" w:themeColor="text1"/>
          <w:szCs w:val="16"/>
        </w:rPr>
        <w:t xml:space="preserve">reporting period (i.e., after June 30, </w:t>
      </w:r>
      <w:r w:rsidR="00206A65" w:rsidRPr="00781112">
        <w:rPr>
          <w:rFonts w:cs="Arial"/>
          <w:color w:val="000000" w:themeColor="text1"/>
          <w:szCs w:val="16"/>
        </w:rPr>
        <w:t>202</w:t>
      </w:r>
      <w:r w:rsidR="00FA5955">
        <w:rPr>
          <w:rFonts w:cs="Arial"/>
          <w:color w:val="000000" w:themeColor="text1"/>
          <w:szCs w:val="16"/>
        </w:rPr>
        <w:t>4</w:t>
      </w:r>
      <w:r w:rsidRPr="00781112">
        <w:rPr>
          <w:rFonts w:cs="Arial"/>
          <w:color w:val="000000" w:themeColor="text1"/>
          <w:szCs w:val="16"/>
        </w:rPr>
        <w:t>).</w:t>
      </w:r>
    </w:p>
    <w:p w14:paraId="3C70F698" w14:textId="77777777" w:rsidR="001D677D" w:rsidRPr="00781112" w:rsidRDefault="001D677D" w:rsidP="004369B2">
      <w:pPr>
        <w:rPr>
          <w:color w:val="000000" w:themeColor="text1"/>
        </w:rPr>
      </w:pPr>
      <w:r w:rsidRPr="00781112">
        <w:rPr>
          <w:b/>
          <w:color w:val="000000" w:themeColor="text1"/>
        </w:rPr>
        <w:t>Instructions</w:t>
      </w:r>
    </w:p>
    <w:p w14:paraId="54B0F35E" w14:textId="65BA9D20" w:rsidR="001D677D" w:rsidRPr="00781112" w:rsidRDefault="001D677D"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rovide racial/ethnic disproportionality data for all children</w:t>
      </w:r>
      <w:r w:rsidR="00522BEA" w:rsidRPr="00522BEA">
        <w:t xml:space="preserve"> </w:t>
      </w:r>
      <w:r w:rsidR="00522BEA" w:rsidRPr="00522BEA">
        <w:rPr>
          <w:rFonts w:cs="Arial"/>
          <w:color w:val="000000" w:themeColor="text1"/>
          <w:szCs w:val="16"/>
        </w:rPr>
        <w:t>aged 5 who are enrolled in kindergarten and</w:t>
      </w:r>
      <w:r w:rsidRPr="00781112">
        <w:rPr>
          <w:rFonts w:cs="Arial"/>
          <w:color w:val="000000" w:themeColor="text1"/>
          <w:szCs w:val="16"/>
        </w:rPr>
        <w:t xml:space="preserve"> aged 6 through 21 served under IDEA.</w:t>
      </w:r>
      <w:r w:rsidR="006E0CC6" w:rsidRPr="00781112">
        <w:rPr>
          <w:rFonts w:cs="Arial"/>
          <w:color w:val="000000" w:themeColor="text1"/>
          <w:szCs w:val="16"/>
        </w:rPr>
        <w:t xml:space="preserve"> </w:t>
      </w:r>
      <w:r w:rsidR="006E0CC6" w:rsidRPr="00781112">
        <w:rPr>
          <w:rFonts w:cs="Arial"/>
          <w:szCs w:val="16"/>
        </w:rPr>
        <w:t>Provide these data at a minimum for children in the following six disability categories: intellectual disability, specific learning disabilities, emotional disturbance, speech or language impairments, other health impairments, and autism. If a State has identified disproportionate representation of racial and ethnic groups in specific disability categories other than these six disability categories, the State must include these data and report on whether the State determined that the disproportionate representation of racial and ethnic groups in specific disability categories was the result of inappropriate identification</w:t>
      </w:r>
      <w:r w:rsidR="009F2D7B" w:rsidRPr="00781112">
        <w:rPr>
          <w:rFonts w:cs="Arial"/>
          <w:szCs w:val="16"/>
        </w:rPr>
        <w:t>.</w:t>
      </w:r>
      <w:r w:rsidR="00084AD7">
        <w:rPr>
          <w:rFonts w:cs="Arial"/>
          <w:szCs w:val="16"/>
        </w:rPr>
        <w:t xml:space="preserve"> </w:t>
      </w:r>
      <w:r w:rsidR="00084AD7" w:rsidRPr="00084AD7">
        <w:rPr>
          <w:rFonts w:cs="Arial"/>
          <w:szCs w:val="16"/>
        </w:rPr>
        <w:t>Provide the actual numbers used in the calculation.</w:t>
      </w:r>
    </w:p>
    <w:p w14:paraId="2375484C" w14:textId="77777777" w:rsidR="001D677D" w:rsidRPr="00781112" w:rsidRDefault="001D677D" w:rsidP="00286BDF">
      <w:pPr>
        <w:rPr>
          <w:rFonts w:cs="Arial"/>
          <w:color w:val="000000" w:themeColor="text1"/>
          <w:szCs w:val="16"/>
        </w:rPr>
      </w:pPr>
      <w:r w:rsidRPr="00781112">
        <w:rPr>
          <w:rFonts w:cs="Arial"/>
          <w:color w:val="000000" w:themeColor="text1"/>
          <w:szCs w:val="16"/>
        </w:rPr>
        <w:t>States are not required to report on underrepresentation.</w:t>
      </w:r>
    </w:p>
    <w:p w14:paraId="65635BB5" w14:textId="77777777" w:rsidR="001D677D" w:rsidRPr="00781112" w:rsidRDefault="001D677D"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2FC20F43" w14:textId="77777777" w:rsidR="001D677D" w:rsidRPr="00781112" w:rsidRDefault="001D677D"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42D05561" w14:textId="057A6DF7" w:rsidR="001D677D" w:rsidRPr="00781112" w:rsidRDefault="001D677D" w:rsidP="00286BDF">
      <w:pPr>
        <w:rPr>
          <w:rFonts w:cs="Arial"/>
          <w:color w:val="000000" w:themeColor="text1"/>
          <w:szCs w:val="16"/>
        </w:rPr>
      </w:pPr>
      <w:r w:rsidRPr="00781112">
        <w:rPr>
          <w:rFonts w:cs="Arial"/>
          <w:color w:val="000000" w:themeColor="text1"/>
          <w:szCs w:val="16"/>
        </w:rPr>
        <w:t xml:space="preserve">Provide the number of districts that met the State-established n and/or cell size (if applicable) for one or more racial/ethnic groups identified with disproportionate representation of racial and ethnic groups in </w:t>
      </w:r>
      <w:r w:rsidR="00175656" w:rsidRPr="00781112">
        <w:rPr>
          <w:rFonts w:cs="Arial"/>
          <w:szCs w:val="16"/>
        </w:rPr>
        <w:t>specific disability categories</w:t>
      </w:r>
      <w:r w:rsidRPr="00781112">
        <w:rPr>
          <w:rFonts w:cs="Arial"/>
          <w:color w:val="000000" w:themeColor="text1"/>
          <w:szCs w:val="16"/>
        </w:rPr>
        <w:t xml:space="preserve"> and the number of those districts identified with disproportionate representation that is the result of inappropriate identification.</w:t>
      </w:r>
    </w:p>
    <w:p w14:paraId="4D68547C" w14:textId="77777777" w:rsidR="001D677D" w:rsidRPr="00781112" w:rsidRDefault="001D677D" w:rsidP="00286BDF">
      <w:pPr>
        <w:rPr>
          <w:rFonts w:cs="Arial"/>
          <w:color w:val="000000" w:themeColor="text1"/>
          <w:szCs w:val="16"/>
        </w:rPr>
      </w:pPr>
      <w:r w:rsidRPr="00781112">
        <w:rPr>
          <w:rFonts w:cs="Arial"/>
          <w:color w:val="000000" w:themeColor="text1"/>
          <w:szCs w:val="16"/>
        </w:rPr>
        <w:t>Targets must be 0%.</w:t>
      </w:r>
    </w:p>
    <w:p w14:paraId="7F575E8E" w14:textId="0308BFD7" w:rsidR="001D677D" w:rsidRPr="00781112" w:rsidRDefault="001D677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56" w:name="_Hlk150864288"/>
      <w:r w:rsidR="00084AD7" w:rsidRPr="00084AD7">
        <w:rPr>
          <w:rFonts w:cs="Arial"/>
          <w:color w:val="000000" w:themeColor="text1"/>
          <w:szCs w:val="16"/>
        </w:rPr>
        <w:t>child-specific and regulatory/systemic</w:t>
      </w:r>
      <w:r w:rsidR="00084AD7">
        <w:rPr>
          <w:sz w:val="20"/>
          <w:szCs w:val="14"/>
        </w:rPr>
        <w:t xml:space="preserve"> </w:t>
      </w:r>
      <w:bookmarkEnd w:id="56"/>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367E089E" w14:textId="105DAB7A" w:rsidR="001D677D"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04450CF7" w14:textId="2D028AE8" w:rsidR="00AB2AE1" w:rsidRPr="00FE4611" w:rsidRDefault="00AB2AE1" w:rsidP="00286BDF">
      <w:pPr>
        <w:rPr>
          <w:rFonts w:cs="Arial"/>
          <w:szCs w:val="16"/>
        </w:rPr>
      </w:pPr>
      <w:r w:rsidRPr="004605DC">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307820E6" w14:textId="2418F86F" w:rsidR="00B70FBF" w:rsidRPr="00781112" w:rsidRDefault="009F64D5" w:rsidP="008645AD">
      <w:pPr>
        <w:pStyle w:val="Heading2"/>
      </w:pPr>
      <w:bookmarkStart w:id="57" w:name="_Toc384383349"/>
      <w:bookmarkStart w:id="58" w:name="_Toc392159317"/>
      <w:bookmarkEnd w:id="54"/>
      <w:bookmarkEnd w:id="55"/>
      <w:r w:rsidRPr="00781112">
        <w:t>10</w:t>
      </w:r>
      <w:r w:rsidR="00596F4D" w:rsidRPr="00781112">
        <w:t xml:space="preserve"> </w:t>
      </w:r>
      <w:r w:rsidRPr="00781112">
        <w:t xml:space="preserve">- </w:t>
      </w:r>
      <w:r w:rsidR="00D853AE" w:rsidRPr="00781112">
        <w:t>Indicator Data</w:t>
      </w:r>
    </w:p>
    <w:p w14:paraId="198C31F1" w14:textId="77777777" w:rsidR="0091098C" w:rsidRPr="00781112" w:rsidRDefault="0091098C" w:rsidP="004369B2">
      <w:pPr>
        <w:rPr>
          <w:color w:val="000000" w:themeColor="text1"/>
        </w:rPr>
      </w:pPr>
      <w:r w:rsidRPr="00781112">
        <w:rPr>
          <w:b/>
          <w:color w:val="000000" w:themeColor="text1"/>
        </w:rPr>
        <w:t>Not Applicable</w:t>
      </w:r>
    </w:p>
    <w:p w14:paraId="769429F9" w14:textId="2143DCD6" w:rsidR="00C2395D" w:rsidRPr="00781112" w:rsidRDefault="001B07D3">
      <w:pPr>
        <w:rPr>
          <w:b/>
          <w:color w:val="000000" w:themeColor="text1"/>
        </w:rPr>
      </w:pPr>
      <w:r w:rsidRPr="00781112">
        <w:rPr>
          <w:b/>
          <w:color w:val="000000" w:themeColor="text1"/>
        </w:rPr>
        <w:t>Select yes if this indicator is not applicable.</w:t>
      </w:r>
    </w:p>
    <w:p w14:paraId="5BEDAC27" w14:textId="63B8B677" w:rsidR="00043AC9" w:rsidRPr="00781112" w:rsidRDefault="00043AC9" w:rsidP="004369B2">
      <w:pPr>
        <w:rPr>
          <w:rFonts w:cs="Arial"/>
          <w:color w:val="000000" w:themeColor="text1"/>
          <w:szCs w:val="16"/>
        </w:rPr>
      </w:pPr>
      <w:r w:rsidRPr="00781112">
        <w:rPr>
          <w:rFonts w:cs="Arial"/>
          <w:color w:val="000000" w:themeColor="text1"/>
          <w:szCs w:val="16"/>
        </w:rPr>
        <w:t>NO</w:t>
      </w:r>
    </w:p>
    <w:p w14:paraId="74ABC795" w14:textId="77777777" w:rsidR="00C50290" w:rsidRPr="00781112" w:rsidRDefault="00C50290" w:rsidP="004369B2">
      <w:pPr>
        <w:rPr>
          <w:color w:val="000000" w:themeColor="text1"/>
        </w:rPr>
      </w:pPr>
    </w:p>
    <w:p w14:paraId="07402C56" w14:textId="1ED19344" w:rsidR="005A3C12" w:rsidRPr="00781112" w:rsidRDefault="005A3C12"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0BASELINEDATA"/>
      </w:tblPr>
      <w:tblGrid>
        <w:gridCol w:w="1797"/>
        <w:gridCol w:w="1798"/>
      </w:tblGrid>
      <w:tr w:rsidR="00D533A5" w:rsidRPr="00781112" w14:paraId="7C3AA767" w14:textId="77777777" w:rsidTr="00123D76">
        <w:trPr>
          <w:trHeight w:val="311"/>
          <w:tblHeader/>
        </w:trPr>
        <w:tc>
          <w:tcPr>
            <w:tcW w:w="1797" w:type="dxa"/>
          </w:tcPr>
          <w:p w14:paraId="1A4E37E9" w14:textId="77777777" w:rsidR="00D533A5" w:rsidRPr="00781112" w:rsidRDefault="00D533A5" w:rsidP="00123D76">
            <w:pPr>
              <w:jc w:val="center"/>
              <w:rPr>
                <w:b/>
                <w:color w:val="000000" w:themeColor="text1"/>
              </w:rPr>
            </w:pPr>
            <w:r w:rsidRPr="00781112">
              <w:rPr>
                <w:rFonts w:cs="Arial"/>
                <w:b/>
                <w:color w:val="000000" w:themeColor="text1"/>
                <w:szCs w:val="16"/>
              </w:rPr>
              <w:t>Baseline Year</w:t>
            </w:r>
          </w:p>
        </w:tc>
        <w:tc>
          <w:tcPr>
            <w:tcW w:w="1798" w:type="dxa"/>
          </w:tcPr>
          <w:p w14:paraId="45C39BBE" w14:textId="77777777" w:rsidR="00D533A5" w:rsidRPr="00781112" w:rsidRDefault="00D533A5" w:rsidP="00123D76">
            <w:pPr>
              <w:jc w:val="center"/>
              <w:rPr>
                <w:b/>
                <w:color w:val="000000" w:themeColor="text1"/>
              </w:rPr>
            </w:pPr>
            <w:r w:rsidRPr="00781112">
              <w:rPr>
                <w:b/>
                <w:color w:val="000000" w:themeColor="text1"/>
              </w:rPr>
              <w:t>Baseline Data</w:t>
            </w:r>
          </w:p>
        </w:tc>
      </w:tr>
      <w:tr w:rsidR="00D533A5" w:rsidRPr="00781112" w14:paraId="4AFD3BFF" w14:textId="77777777" w:rsidTr="00123D76">
        <w:trPr>
          <w:trHeight w:val="311"/>
        </w:trPr>
        <w:tc>
          <w:tcPr>
            <w:tcW w:w="1797" w:type="dxa"/>
            <w:vAlign w:val="center"/>
          </w:tcPr>
          <w:p w14:paraId="71352362" w14:textId="3C2D4289" w:rsidR="00D533A5" w:rsidRPr="00781112" w:rsidRDefault="00D533A5" w:rsidP="00123D76">
            <w:pPr>
              <w:jc w:val="center"/>
              <w:rPr>
                <w:bCs/>
                <w:color w:val="000000" w:themeColor="text1"/>
              </w:rPr>
            </w:pPr>
            <w:r w:rsidRPr="00781112">
              <w:rPr>
                <w:bCs/>
                <w:color w:val="000000" w:themeColor="text1"/>
              </w:rPr>
              <w:t>2021</w:t>
            </w:r>
          </w:p>
        </w:tc>
        <w:tc>
          <w:tcPr>
            <w:tcW w:w="1798" w:type="dxa"/>
            <w:vAlign w:val="center"/>
          </w:tcPr>
          <w:p w14:paraId="1E9B684E" w14:textId="004A2B05" w:rsidR="00D533A5" w:rsidRPr="00781112" w:rsidRDefault="00D533A5" w:rsidP="00123D76">
            <w:pPr>
              <w:jc w:val="center"/>
              <w:rPr>
                <w:bCs/>
                <w:color w:val="000000" w:themeColor="text1"/>
              </w:rPr>
            </w:pPr>
            <w:r w:rsidRPr="00781112">
              <w:rPr>
                <w:bCs/>
                <w:color w:val="000000" w:themeColor="text1"/>
              </w:rPr>
              <w:t>2.56%</w:t>
            </w:r>
          </w:p>
        </w:tc>
      </w:tr>
    </w:tbl>
    <w:p w14:paraId="690B4CC0" w14:textId="77777777" w:rsidR="00D533A5" w:rsidRPr="00781112" w:rsidRDefault="00D533A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HISTDATA"/>
      </w:tblPr>
      <w:tblGrid>
        <w:gridCol w:w="1798"/>
        <w:gridCol w:w="1798"/>
        <w:gridCol w:w="1798"/>
        <w:gridCol w:w="1798"/>
        <w:gridCol w:w="1798"/>
        <w:gridCol w:w="1800"/>
      </w:tblGrid>
      <w:tr w:rsidR="005C29F8" w:rsidRPr="00781112" w14:paraId="489E6808" w14:textId="77777777" w:rsidTr="002B4D97">
        <w:trPr>
          <w:trHeight w:val="350"/>
        </w:trPr>
        <w:tc>
          <w:tcPr>
            <w:tcW w:w="833" w:type="pct"/>
            <w:tcBorders>
              <w:bottom w:val="single" w:sz="4" w:space="0" w:color="auto"/>
            </w:tcBorders>
            <w:shd w:val="clear" w:color="auto" w:fill="auto"/>
          </w:tcPr>
          <w:p w14:paraId="0171756F" w14:textId="77777777" w:rsidR="005A3C12" w:rsidRPr="00781112" w:rsidRDefault="005A3C12" w:rsidP="004369B2">
            <w:pPr>
              <w:jc w:val="center"/>
              <w:rPr>
                <w:b/>
                <w:color w:val="000000" w:themeColor="text1"/>
              </w:rPr>
            </w:pPr>
            <w:r w:rsidRPr="00781112">
              <w:rPr>
                <w:b/>
                <w:color w:val="000000" w:themeColor="text1"/>
              </w:rPr>
              <w:t>FFY</w:t>
            </w:r>
          </w:p>
        </w:tc>
        <w:tc>
          <w:tcPr>
            <w:tcW w:w="833" w:type="pct"/>
            <w:shd w:val="clear" w:color="auto" w:fill="auto"/>
          </w:tcPr>
          <w:p w14:paraId="78B2C5F0" w14:textId="44C4ABDF" w:rsidR="005A3C12" w:rsidRPr="00781112" w:rsidRDefault="002B7490" w:rsidP="0077257F">
            <w:pPr>
              <w:jc w:val="center"/>
              <w:rPr>
                <w:b/>
                <w:color w:val="000000" w:themeColor="text1"/>
              </w:rPr>
            </w:pPr>
            <w:r w:rsidRPr="00781112">
              <w:rPr>
                <w:b/>
                <w:color w:val="000000" w:themeColor="text1"/>
              </w:rPr>
              <w:t>2018</w:t>
            </w:r>
          </w:p>
        </w:tc>
        <w:tc>
          <w:tcPr>
            <w:tcW w:w="833" w:type="pct"/>
            <w:shd w:val="clear" w:color="auto" w:fill="auto"/>
          </w:tcPr>
          <w:p w14:paraId="7D60853E" w14:textId="148AFB2D" w:rsidR="005A3C12" w:rsidRPr="00781112" w:rsidRDefault="002B7490" w:rsidP="0077257F">
            <w:pPr>
              <w:jc w:val="center"/>
              <w:rPr>
                <w:b/>
                <w:color w:val="000000" w:themeColor="text1"/>
              </w:rPr>
            </w:pPr>
            <w:r w:rsidRPr="00781112">
              <w:rPr>
                <w:b/>
                <w:color w:val="000000" w:themeColor="text1"/>
              </w:rPr>
              <w:t>2019</w:t>
            </w:r>
          </w:p>
        </w:tc>
        <w:tc>
          <w:tcPr>
            <w:tcW w:w="833" w:type="pct"/>
            <w:shd w:val="clear" w:color="auto" w:fill="auto"/>
          </w:tcPr>
          <w:p w14:paraId="7AE4870B" w14:textId="1CBB7B36" w:rsidR="005A3C12" w:rsidRPr="00781112" w:rsidRDefault="002B7490" w:rsidP="0077257F">
            <w:pPr>
              <w:jc w:val="center"/>
              <w:rPr>
                <w:b/>
                <w:color w:val="000000" w:themeColor="text1"/>
              </w:rPr>
            </w:pPr>
            <w:r w:rsidRPr="00781112">
              <w:rPr>
                <w:b/>
                <w:color w:val="000000" w:themeColor="text1"/>
              </w:rPr>
              <w:t>2020</w:t>
            </w:r>
          </w:p>
        </w:tc>
        <w:tc>
          <w:tcPr>
            <w:tcW w:w="833" w:type="pct"/>
            <w:shd w:val="clear" w:color="auto" w:fill="auto"/>
          </w:tcPr>
          <w:p w14:paraId="2C1DA403" w14:textId="484DDCF7" w:rsidR="005A3C12" w:rsidRPr="00781112" w:rsidRDefault="002B7490" w:rsidP="0077257F">
            <w:pPr>
              <w:jc w:val="center"/>
              <w:rPr>
                <w:b/>
                <w:color w:val="000000" w:themeColor="text1"/>
              </w:rPr>
            </w:pPr>
            <w:r w:rsidRPr="00781112">
              <w:rPr>
                <w:b/>
                <w:color w:val="000000" w:themeColor="text1"/>
              </w:rPr>
              <w:t>2021</w:t>
            </w:r>
          </w:p>
        </w:tc>
        <w:tc>
          <w:tcPr>
            <w:tcW w:w="834" w:type="pct"/>
            <w:shd w:val="clear" w:color="auto" w:fill="auto"/>
          </w:tcPr>
          <w:p w14:paraId="0829DA0A" w14:textId="7480CDCA" w:rsidR="005A3C12" w:rsidRPr="00781112" w:rsidRDefault="002B7490" w:rsidP="0077257F">
            <w:pPr>
              <w:jc w:val="center"/>
              <w:rPr>
                <w:b/>
                <w:color w:val="000000" w:themeColor="text1"/>
              </w:rPr>
            </w:pPr>
            <w:r w:rsidRPr="00781112">
              <w:rPr>
                <w:b/>
                <w:color w:val="000000" w:themeColor="text1"/>
              </w:rPr>
              <w:t>2022</w:t>
            </w:r>
          </w:p>
        </w:tc>
      </w:tr>
      <w:tr w:rsidR="005C29F8" w:rsidRPr="00781112" w14:paraId="070DB2EE" w14:textId="77777777" w:rsidTr="002B4D97">
        <w:trPr>
          <w:trHeight w:val="357"/>
        </w:trPr>
        <w:tc>
          <w:tcPr>
            <w:tcW w:w="833" w:type="pct"/>
            <w:shd w:val="clear" w:color="auto" w:fill="auto"/>
          </w:tcPr>
          <w:p w14:paraId="0009CFCE" w14:textId="438B1224" w:rsidR="005A3C12" w:rsidRPr="00781112" w:rsidRDefault="005A3C12"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1375BD99" w14:textId="6D10741B"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26F74D0F" w14:textId="4AE09CE9"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7853FB9A" w14:textId="12B0C6E3"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48E831B0" w14:textId="55B124AD"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0EC718C3" w14:textId="25E87C80"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r>
      <w:tr w:rsidR="005C29F8" w:rsidRPr="00781112" w14:paraId="72345F0E" w14:textId="77777777" w:rsidTr="002B4D97">
        <w:trPr>
          <w:trHeight w:val="85"/>
        </w:trPr>
        <w:tc>
          <w:tcPr>
            <w:tcW w:w="833" w:type="pct"/>
            <w:shd w:val="clear" w:color="auto" w:fill="auto"/>
          </w:tcPr>
          <w:p w14:paraId="33960FE1" w14:textId="77777777" w:rsidR="005A3C12" w:rsidRPr="00781112" w:rsidRDefault="005A3C12" w:rsidP="00BA3DBE">
            <w:pPr>
              <w:jc w:val="center"/>
              <w:rPr>
                <w:rFonts w:cs="Arial"/>
                <w:color w:val="000000" w:themeColor="text1"/>
                <w:szCs w:val="16"/>
              </w:rPr>
            </w:pPr>
            <w:r w:rsidRPr="00781112">
              <w:rPr>
                <w:rFonts w:cs="Arial"/>
                <w:color w:val="000000" w:themeColor="text1"/>
                <w:szCs w:val="16"/>
              </w:rPr>
              <w:lastRenderedPageBreak/>
              <w:t>Data</w:t>
            </w:r>
          </w:p>
        </w:tc>
        <w:tc>
          <w:tcPr>
            <w:tcW w:w="833" w:type="pct"/>
            <w:shd w:val="clear" w:color="auto" w:fill="auto"/>
          </w:tcPr>
          <w:p w14:paraId="1EEC0627" w14:textId="677F8A3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5FB4D0B8" w14:textId="190E02C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36B818C8" w14:textId="70F8E2EA"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4F9B86C0" w14:textId="2EC4A366" w:rsidR="005A3C12" w:rsidRPr="00781112" w:rsidRDefault="002B7490" w:rsidP="004369B2">
            <w:pPr>
              <w:jc w:val="center"/>
              <w:rPr>
                <w:rFonts w:cs="Arial"/>
                <w:color w:val="000000" w:themeColor="text1"/>
                <w:szCs w:val="16"/>
              </w:rPr>
            </w:pPr>
            <w:r w:rsidRPr="00781112">
              <w:rPr>
                <w:rFonts w:cs="Arial"/>
                <w:color w:val="000000" w:themeColor="text1"/>
                <w:szCs w:val="16"/>
              </w:rPr>
              <w:t>2.56%</w:t>
            </w:r>
          </w:p>
        </w:tc>
        <w:tc>
          <w:tcPr>
            <w:tcW w:w="834" w:type="pct"/>
            <w:tcBorders>
              <w:bottom w:val="single" w:sz="4" w:space="0" w:color="auto"/>
            </w:tcBorders>
            <w:shd w:val="clear" w:color="auto" w:fill="auto"/>
            <w:vAlign w:val="center"/>
          </w:tcPr>
          <w:p w14:paraId="1C8D4247" w14:textId="1E5D4F59"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r>
      <w:bookmarkEnd w:id="57"/>
      <w:bookmarkEnd w:id="58"/>
    </w:tbl>
    <w:p w14:paraId="1840A66A" w14:textId="77777777" w:rsidR="00BA687C" w:rsidRPr="00781112" w:rsidRDefault="00BA687C" w:rsidP="004369B2">
      <w:pPr>
        <w:rPr>
          <w:color w:val="000000" w:themeColor="text1"/>
        </w:rPr>
      </w:pPr>
    </w:p>
    <w:p w14:paraId="618FFFDA" w14:textId="2F1D75E5" w:rsidR="007A3964" w:rsidRPr="00781112" w:rsidRDefault="007A3964" w:rsidP="004369B2">
      <w:pPr>
        <w:rPr>
          <w:color w:val="000000" w:themeColor="text1"/>
        </w:rPr>
      </w:pPr>
      <w:r w:rsidRPr="00781112">
        <w:rPr>
          <w:b/>
          <w:color w:val="000000" w:themeColor="text1"/>
        </w:rPr>
        <w:t>Targets</w:t>
      </w:r>
    </w:p>
    <w:tbl>
      <w:tblPr>
        <w:tblW w:w="2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TARGETS"/>
      </w:tblPr>
      <w:tblGrid>
        <w:gridCol w:w="1540"/>
        <w:gridCol w:w="1542"/>
        <w:gridCol w:w="1542"/>
        <w:gridCol w:w="1541"/>
      </w:tblGrid>
      <w:tr w:rsidR="00233EFB" w:rsidRPr="00781112" w14:paraId="66B5B2AB" w14:textId="77A1A8F1" w:rsidTr="00FE4611">
        <w:trPr>
          <w:trHeight w:val="424"/>
        </w:trPr>
        <w:tc>
          <w:tcPr>
            <w:tcW w:w="1248" w:type="pct"/>
            <w:tcBorders>
              <w:bottom w:val="single" w:sz="4" w:space="0" w:color="auto"/>
            </w:tcBorders>
            <w:shd w:val="clear" w:color="auto" w:fill="auto"/>
          </w:tcPr>
          <w:p w14:paraId="6C572A94" w14:textId="77777777" w:rsidR="00233EFB" w:rsidRPr="00781112" w:rsidRDefault="00233EFB" w:rsidP="00D0796B">
            <w:pPr>
              <w:jc w:val="center"/>
              <w:rPr>
                <w:b/>
                <w:color w:val="000000" w:themeColor="text1"/>
              </w:rPr>
            </w:pPr>
            <w:r w:rsidRPr="00781112">
              <w:rPr>
                <w:b/>
                <w:color w:val="000000" w:themeColor="text1"/>
              </w:rPr>
              <w:t>FFY</w:t>
            </w:r>
          </w:p>
        </w:tc>
        <w:tc>
          <w:tcPr>
            <w:tcW w:w="1250" w:type="pct"/>
            <w:shd w:val="clear" w:color="auto" w:fill="auto"/>
          </w:tcPr>
          <w:p w14:paraId="67096E8B" w14:textId="77777777" w:rsidR="00233EFB" w:rsidRPr="00781112" w:rsidRDefault="00233EFB" w:rsidP="00D0796B">
            <w:pPr>
              <w:jc w:val="center"/>
              <w:rPr>
                <w:b/>
                <w:color w:val="000000" w:themeColor="text1"/>
              </w:rPr>
            </w:pPr>
            <w:r w:rsidRPr="00781112">
              <w:rPr>
                <w:b/>
                <w:color w:val="000000" w:themeColor="text1"/>
              </w:rPr>
              <w:t>2023</w:t>
            </w:r>
          </w:p>
        </w:tc>
        <w:tc>
          <w:tcPr>
            <w:tcW w:w="1251" w:type="pct"/>
          </w:tcPr>
          <w:p w14:paraId="0FDB27DB" w14:textId="2A7CA3D5" w:rsidR="00233EFB" w:rsidRPr="00781112" w:rsidRDefault="00233EFB" w:rsidP="00D0796B">
            <w:pPr>
              <w:jc w:val="center"/>
              <w:rPr>
                <w:b/>
                <w:color w:val="000000" w:themeColor="text1"/>
              </w:rPr>
            </w:pPr>
            <w:r w:rsidRPr="00781112">
              <w:rPr>
                <w:rFonts w:cs="Arial"/>
                <w:b/>
                <w:color w:val="000000" w:themeColor="text1"/>
                <w:szCs w:val="16"/>
              </w:rPr>
              <w:t>2024</w:t>
            </w:r>
          </w:p>
        </w:tc>
        <w:tc>
          <w:tcPr>
            <w:tcW w:w="1250" w:type="pct"/>
          </w:tcPr>
          <w:p w14:paraId="6594AB3D" w14:textId="0AA5EB84" w:rsidR="00233EFB" w:rsidRPr="00781112" w:rsidRDefault="00233EFB" w:rsidP="00D0796B">
            <w:pPr>
              <w:jc w:val="center"/>
              <w:rPr>
                <w:b/>
                <w:color w:val="000000" w:themeColor="text1"/>
              </w:rPr>
            </w:pPr>
            <w:r w:rsidRPr="00781112">
              <w:rPr>
                <w:rFonts w:cs="Arial"/>
                <w:b/>
                <w:color w:val="000000" w:themeColor="text1"/>
                <w:szCs w:val="16"/>
              </w:rPr>
              <w:t>2025</w:t>
            </w:r>
          </w:p>
        </w:tc>
      </w:tr>
      <w:tr w:rsidR="00233EFB" w:rsidRPr="00781112" w14:paraId="169ED4F0" w14:textId="16F5CD6F" w:rsidTr="00FE4611">
        <w:trPr>
          <w:trHeight w:val="432"/>
        </w:trPr>
        <w:tc>
          <w:tcPr>
            <w:tcW w:w="1248" w:type="pct"/>
            <w:shd w:val="clear" w:color="auto" w:fill="auto"/>
            <w:vAlign w:val="center"/>
          </w:tcPr>
          <w:p w14:paraId="639437BD" w14:textId="5F1854A1" w:rsidR="00233EFB" w:rsidRPr="00781112" w:rsidRDefault="00233EFB" w:rsidP="00BA3DBE">
            <w:pPr>
              <w:jc w:val="center"/>
              <w:rPr>
                <w:rFonts w:cs="Arial"/>
                <w:color w:val="000000" w:themeColor="text1"/>
                <w:szCs w:val="16"/>
              </w:rPr>
            </w:pPr>
            <w:r w:rsidRPr="00781112">
              <w:rPr>
                <w:rFonts w:cs="Arial"/>
                <w:color w:val="000000" w:themeColor="text1"/>
                <w:szCs w:val="16"/>
              </w:rPr>
              <w:t>Target</w:t>
            </w:r>
          </w:p>
        </w:tc>
        <w:tc>
          <w:tcPr>
            <w:tcW w:w="1250" w:type="pct"/>
            <w:shd w:val="clear" w:color="auto" w:fill="auto"/>
            <w:vAlign w:val="center"/>
          </w:tcPr>
          <w:p w14:paraId="482B43E6" w14:textId="62FCF10C" w:rsidR="00233EFB" w:rsidRPr="00781112" w:rsidRDefault="00233EFB" w:rsidP="00D0796B">
            <w:pPr>
              <w:jc w:val="center"/>
              <w:rPr>
                <w:rFonts w:cs="Arial"/>
                <w:color w:val="000000" w:themeColor="text1"/>
                <w:szCs w:val="16"/>
              </w:rPr>
            </w:pPr>
            <w:r w:rsidRPr="00781112">
              <w:rPr>
                <w:rFonts w:cs="Arial"/>
                <w:color w:val="000000" w:themeColor="text1"/>
                <w:szCs w:val="16"/>
              </w:rPr>
              <w:t>0%</w:t>
            </w:r>
          </w:p>
        </w:tc>
        <w:tc>
          <w:tcPr>
            <w:tcW w:w="1251" w:type="pct"/>
          </w:tcPr>
          <w:p w14:paraId="6ED6CF52" w14:textId="07C8F82B" w:rsidR="00233EFB" w:rsidRPr="00781112" w:rsidRDefault="00233EFB" w:rsidP="00D0796B">
            <w:pPr>
              <w:jc w:val="center"/>
              <w:rPr>
                <w:rFonts w:cs="Arial"/>
                <w:color w:val="000000" w:themeColor="text1"/>
                <w:szCs w:val="16"/>
              </w:rPr>
            </w:pPr>
            <w:r w:rsidRPr="00781112">
              <w:rPr>
                <w:color w:val="000000" w:themeColor="text1"/>
                <w:szCs w:val="16"/>
              </w:rPr>
              <w:t>0%</w:t>
            </w:r>
          </w:p>
        </w:tc>
        <w:tc>
          <w:tcPr>
            <w:tcW w:w="1250" w:type="pct"/>
          </w:tcPr>
          <w:p w14:paraId="41DC7F3D" w14:textId="129F7B75" w:rsidR="00233EFB" w:rsidRPr="00781112" w:rsidRDefault="00233EFB" w:rsidP="00D0796B">
            <w:pPr>
              <w:jc w:val="center"/>
              <w:rPr>
                <w:rFonts w:cs="Arial"/>
                <w:color w:val="000000" w:themeColor="text1"/>
                <w:szCs w:val="16"/>
              </w:rPr>
            </w:pPr>
            <w:r w:rsidRPr="00781112">
              <w:rPr>
                <w:color w:val="000000" w:themeColor="text1"/>
                <w:szCs w:val="16"/>
              </w:rPr>
              <w:t>0%</w:t>
            </w:r>
          </w:p>
        </w:tc>
      </w:tr>
    </w:tbl>
    <w:p w14:paraId="52F4815B" w14:textId="77777777" w:rsidR="00BA687C" w:rsidRPr="00781112" w:rsidRDefault="00BA687C" w:rsidP="004369B2">
      <w:pPr>
        <w:rPr>
          <w:color w:val="000000" w:themeColor="text1"/>
        </w:rPr>
      </w:pPr>
    </w:p>
    <w:p w14:paraId="7CAE922F" w14:textId="74881553" w:rsidR="005A3C12" w:rsidRPr="00781112" w:rsidRDefault="0047313F">
      <w:pPr>
        <w:rPr>
          <w:b/>
          <w:color w:val="000000" w:themeColor="text1"/>
        </w:rPr>
      </w:pPr>
      <w:r>
        <w:rPr>
          <w:b/>
          <w:color w:val="000000" w:themeColor="text1"/>
        </w:rPr>
        <w:t>FFY 2023 SPP/APR Data</w:t>
      </w:r>
    </w:p>
    <w:p w14:paraId="2910402D" w14:textId="579385FD" w:rsidR="00C2395D" w:rsidRPr="00781112" w:rsidRDefault="00C2395D">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51881593" w14:textId="15FAF06D" w:rsidR="00C2395D" w:rsidRPr="00781112" w:rsidRDefault="00C2395D">
      <w:pPr>
        <w:rPr>
          <w:rFonts w:cs="Arial"/>
          <w:color w:val="000000" w:themeColor="text1"/>
          <w:szCs w:val="16"/>
        </w:rPr>
      </w:pPr>
      <w:bookmarkStart w:id="59" w:name="_Hlk20258880"/>
      <w:r w:rsidRPr="00781112">
        <w:rPr>
          <w:rFonts w:cs="Arial"/>
          <w:color w:val="000000" w:themeColor="text1"/>
          <w:szCs w:val="16"/>
        </w:rPr>
        <w:t>YES</w:t>
      </w:r>
    </w:p>
    <w:bookmarkEnd w:id="59"/>
    <w:p w14:paraId="68C2343A" w14:textId="52DDFC94" w:rsidR="00C2395D" w:rsidRPr="00781112" w:rsidRDefault="00C2395D">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0B319A04" w14:textId="0BE2333F" w:rsidR="00C2395D" w:rsidRPr="00781112" w:rsidRDefault="00C2395D">
      <w:pPr>
        <w:rPr>
          <w:rFonts w:cs="Arial"/>
          <w:color w:val="000000" w:themeColor="text1"/>
          <w:szCs w:val="16"/>
        </w:rPr>
      </w:pPr>
      <w:r w:rsidRPr="00781112">
        <w:rPr>
          <w:rFonts w:cs="Arial"/>
          <w:color w:val="000000" w:themeColor="text1"/>
          <w:szCs w:val="16"/>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0CFFYAPRDATA"/>
      </w:tblPr>
      <w:tblGrid>
        <w:gridCol w:w="1488"/>
        <w:gridCol w:w="1488"/>
        <w:gridCol w:w="1720"/>
        <w:gridCol w:w="1073"/>
        <w:gridCol w:w="1638"/>
        <w:gridCol w:w="958"/>
        <w:gridCol w:w="1233"/>
        <w:gridCol w:w="1192"/>
      </w:tblGrid>
      <w:tr w:rsidR="00206A65" w:rsidRPr="00781112" w14:paraId="46B7EEE9" w14:textId="299BDFCD" w:rsidTr="002B4D97">
        <w:trPr>
          <w:trHeight w:val="354"/>
        </w:trPr>
        <w:tc>
          <w:tcPr>
            <w:tcW w:w="556" w:type="pct"/>
            <w:shd w:val="clear" w:color="auto" w:fill="auto"/>
            <w:vAlign w:val="bottom"/>
          </w:tcPr>
          <w:p w14:paraId="0E28349C" w14:textId="44D96017"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w:t>
            </w:r>
          </w:p>
        </w:tc>
        <w:tc>
          <w:tcPr>
            <w:tcW w:w="583" w:type="pct"/>
            <w:shd w:val="clear" w:color="auto" w:fill="auto"/>
            <w:vAlign w:val="bottom"/>
          </w:tcPr>
          <w:p w14:paraId="3776FC0B" w14:textId="62483782"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 that is the result of inappropriate identification</w:t>
            </w:r>
          </w:p>
        </w:tc>
        <w:tc>
          <w:tcPr>
            <w:tcW w:w="837" w:type="pct"/>
            <w:shd w:val="clear" w:color="auto" w:fill="auto"/>
            <w:vAlign w:val="bottom"/>
          </w:tcPr>
          <w:p w14:paraId="355E2973" w14:textId="5007428A"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37" w:type="pct"/>
            <w:shd w:val="clear" w:color="auto" w:fill="auto"/>
            <w:vAlign w:val="bottom"/>
          </w:tcPr>
          <w:p w14:paraId="7466F790" w14:textId="23A6FF39" w:rsidR="00206A65" w:rsidRPr="00CC1061" w:rsidRDefault="00206A65" w:rsidP="00206A65">
            <w:pPr>
              <w:jc w:val="center"/>
              <w:rPr>
                <w:b/>
                <w:bCs/>
                <w:color w:val="000000" w:themeColor="text1"/>
              </w:rPr>
            </w:pPr>
            <w:r w:rsidRPr="00CC1061">
              <w:rPr>
                <w:b/>
                <w:bCs/>
              </w:rPr>
              <w:t>FFY 2022 Data</w:t>
            </w:r>
          </w:p>
        </w:tc>
        <w:tc>
          <w:tcPr>
            <w:tcW w:w="799" w:type="pct"/>
            <w:shd w:val="clear" w:color="auto" w:fill="auto"/>
            <w:vAlign w:val="bottom"/>
          </w:tcPr>
          <w:p w14:paraId="72475F3B" w14:textId="589A011A" w:rsidR="00206A65" w:rsidRPr="00CC1061" w:rsidRDefault="00206A65" w:rsidP="00206A65">
            <w:pPr>
              <w:jc w:val="center"/>
              <w:rPr>
                <w:b/>
                <w:bCs/>
                <w:color w:val="000000" w:themeColor="text1"/>
              </w:rPr>
            </w:pPr>
            <w:r w:rsidRPr="00CC1061">
              <w:rPr>
                <w:b/>
                <w:bCs/>
              </w:rPr>
              <w:t>FFY 2023 Target</w:t>
            </w:r>
          </w:p>
        </w:tc>
        <w:tc>
          <w:tcPr>
            <w:tcW w:w="484" w:type="pct"/>
            <w:shd w:val="clear" w:color="auto" w:fill="auto"/>
            <w:vAlign w:val="bottom"/>
          </w:tcPr>
          <w:p w14:paraId="71FC938A" w14:textId="272922A8" w:rsidR="00206A65" w:rsidRPr="00CC1061" w:rsidRDefault="00206A65" w:rsidP="00206A65">
            <w:pPr>
              <w:jc w:val="center"/>
              <w:rPr>
                <w:b/>
                <w:bCs/>
                <w:color w:val="000000" w:themeColor="text1"/>
              </w:rPr>
            </w:pPr>
            <w:r w:rsidRPr="00CC1061">
              <w:rPr>
                <w:b/>
                <w:bCs/>
              </w:rPr>
              <w:t>FFY 2023 Data</w:t>
            </w:r>
          </w:p>
        </w:tc>
        <w:tc>
          <w:tcPr>
            <w:tcW w:w="611" w:type="pct"/>
            <w:shd w:val="clear" w:color="auto" w:fill="auto"/>
            <w:vAlign w:val="bottom"/>
          </w:tcPr>
          <w:p w14:paraId="3412B11F" w14:textId="60F985B5" w:rsidR="00206A65" w:rsidRPr="00781112" w:rsidRDefault="00206A65" w:rsidP="00206A65">
            <w:pPr>
              <w:jc w:val="center"/>
              <w:rPr>
                <w:b/>
                <w:color w:val="000000" w:themeColor="text1"/>
              </w:rPr>
            </w:pPr>
            <w:r w:rsidRPr="00781112">
              <w:rPr>
                <w:b/>
                <w:color w:val="000000" w:themeColor="text1"/>
              </w:rPr>
              <w:t>Status</w:t>
            </w:r>
          </w:p>
        </w:tc>
        <w:tc>
          <w:tcPr>
            <w:tcW w:w="592" w:type="pct"/>
            <w:shd w:val="clear" w:color="auto" w:fill="auto"/>
            <w:vAlign w:val="bottom"/>
          </w:tcPr>
          <w:p w14:paraId="5BE578EA" w14:textId="42655681"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15B9A5E7" w14:textId="77777777" w:rsidTr="002B4D97">
        <w:tblPrEx>
          <w:jc w:val="center"/>
        </w:tblPrEx>
        <w:trPr>
          <w:trHeight w:val="361"/>
          <w:jc w:val="center"/>
        </w:trPr>
        <w:tc>
          <w:tcPr>
            <w:tcW w:w="556" w:type="pct"/>
            <w:shd w:val="clear" w:color="auto" w:fill="auto"/>
            <w:vAlign w:val="center"/>
          </w:tcPr>
          <w:p w14:paraId="4E60E5C8" w14:textId="6324B6DD" w:rsidR="00832807"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583" w:type="pct"/>
            <w:shd w:val="clear" w:color="auto" w:fill="auto"/>
            <w:vAlign w:val="center"/>
          </w:tcPr>
          <w:p w14:paraId="765C1600" w14:textId="09979D5F" w:rsidR="00832807" w:rsidRPr="00781112" w:rsidRDefault="002B7490">
            <w:pPr>
              <w:jc w:val="center"/>
              <w:rPr>
                <w:rFonts w:cs="Arial"/>
                <w:color w:val="000000" w:themeColor="text1"/>
                <w:szCs w:val="16"/>
              </w:rPr>
            </w:pPr>
            <w:r w:rsidRPr="00781112">
              <w:rPr>
                <w:rFonts w:cs="Arial"/>
                <w:color w:val="000000" w:themeColor="text1"/>
                <w:szCs w:val="16"/>
              </w:rPr>
              <w:t>0</w:t>
            </w:r>
          </w:p>
        </w:tc>
        <w:tc>
          <w:tcPr>
            <w:tcW w:w="837" w:type="pct"/>
            <w:shd w:val="clear" w:color="auto" w:fill="auto"/>
          </w:tcPr>
          <w:p w14:paraId="2F5939A9" w14:textId="0BB9A6FC" w:rsidR="00832807" w:rsidRPr="00781112" w:rsidRDefault="002B7490">
            <w:pPr>
              <w:jc w:val="center"/>
              <w:rPr>
                <w:rFonts w:cs="Arial"/>
                <w:color w:val="000000" w:themeColor="text1"/>
                <w:szCs w:val="16"/>
              </w:rPr>
            </w:pPr>
            <w:r w:rsidRPr="00781112">
              <w:rPr>
                <w:rFonts w:cs="Arial"/>
                <w:color w:val="000000" w:themeColor="text1"/>
                <w:szCs w:val="16"/>
              </w:rPr>
              <w:t>59</w:t>
            </w:r>
          </w:p>
        </w:tc>
        <w:tc>
          <w:tcPr>
            <w:tcW w:w="537" w:type="pct"/>
            <w:shd w:val="clear" w:color="auto" w:fill="auto"/>
          </w:tcPr>
          <w:p w14:paraId="0D05C70A" w14:textId="18F3C221"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799" w:type="pct"/>
            <w:shd w:val="clear" w:color="auto" w:fill="auto"/>
          </w:tcPr>
          <w:p w14:paraId="31B1786A" w14:textId="1C0FB493" w:rsidR="00832807" w:rsidRPr="00781112" w:rsidRDefault="009C65E9">
            <w:pPr>
              <w:jc w:val="center"/>
              <w:rPr>
                <w:rFonts w:cs="Arial"/>
                <w:color w:val="000000" w:themeColor="text1"/>
                <w:szCs w:val="16"/>
              </w:rPr>
            </w:pPr>
            <w:r w:rsidRPr="00781112">
              <w:rPr>
                <w:rFonts w:cs="Arial"/>
                <w:color w:val="000000" w:themeColor="text1"/>
                <w:szCs w:val="16"/>
              </w:rPr>
              <w:t>0%</w:t>
            </w:r>
          </w:p>
        </w:tc>
        <w:tc>
          <w:tcPr>
            <w:tcW w:w="484" w:type="pct"/>
            <w:shd w:val="clear" w:color="auto" w:fill="auto"/>
          </w:tcPr>
          <w:p w14:paraId="006553AD" w14:textId="5CF8CF00"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611" w:type="pct"/>
            <w:shd w:val="clear" w:color="auto" w:fill="auto"/>
          </w:tcPr>
          <w:p w14:paraId="4A47CD2B" w14:textId="7BEFFB19" w:rsidR="00832807" w:rsidRPr="00781112" w:rsidRDefault="002B7490">
            <w:pPr>
              <w:jc w:val="center"/>
              <w:rPr>
                <w:rFonts w:cs="Arial"/>
                <w:color w:val="000000" w:themeColor="text1"/>
                <w:szCs w:val="16"/>
              </w:rPr>
            </w:pPr>
            <w:r w:rsidRPr="00781112">
              <w:rPr>
                <w:rFonts w:cs="Arial"/>
                <w:color w:val="000000" w:themeColor="text1"/>
                <w:szCs w:val="16"/>
              </w:rPr>
              <w:t>Met target</w:t>
            </w:r>
          </w:p>
        </w:tc>
        <w:tc>
          <w:tcPr>
            <w:tcW w:w="592" w:type="pct"/>
            <w:shd w:val="clear" w:color="auto" w:fill="auto"/>
          </w:tcPr>
          <w:p w14:paraId="3F96C2BD" w14:textId="2A9BD6CA" w:rsidR="00832807" w:rsidRPr="00781112" w:rsidRDefault="002B7490">
            <w:pPr>
              <w:jc w:val="center"/>
              <w:rPr>
                <w:rFonts w:cs="Arial"/>
                <w:color w:val="000000" w:themeColor="text1"/>
                <w:szCs w:val="16"/>
              </w:rPr>
            </w:pPr>
            <w:r w:rsidRPr="00781112">
              <w:rPr>
                <w:rFonts w:cs="Arial"/>
                <w:color w:val="000000" w:themeColor="text1"/>
                <w:szCs w:val="16"/>
              </w:rPr>
              <w:t>No Slippage</w:t>
            </w:r>
          </w:p>
        </w:tc>
      </w:tr>
    </w:tbl>
    <w:p w14:paraId="59BA2CEF" w14:textId="4C507427" w:rsidR="00590296" w:rsidRPr="00781112" w:rsidRDefault="00A479A0" w:rsidP="00B6413B">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590ED0F" w14:textId="7DC32C1D" w:rsidR="00590296" w:rsidRPr="00781112" w:rsidRDefault="00590296" w:rsidP="00B6413B">
      <w:pPr>
        <w:rPr>
          <w:rFonts w:cs="Arial"/>
          <w:color w:val="000000" w:themeColor="text1"/>
          <w:szCs w:val="16"/>
        </w:rPr>
      </w:pPr>
      <w:r w:rsidRPr="00781112">
        <w:rPr>
          <w:rFonts w:cs="Arial"/>
          <w:color w:val="000000" w:themeColor="text1"/>
          <w:szCs w:val="16"/>
        </w:rPr>
        <w:t>YES</w:t>
      </w:r>
    </w:p>
    <w:p w14:paraId="6EC83BB6" w14:textId="70234332" w:rsidR="0057259D" w:rsidRPr="00781112" w:rsidRDefault="0057259D"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5C0E7099" w14:textId="60F75C08" w:rsidR="00481536" w:rsidRPr="00781112" w:rsidRDefault="002B7490" w:rsidP="003817C0">
      <w:pPr>
        <w:rPr>
          <w:rFonts w:cs="Arial"/>
          <w:color w:val="000000" w:themeColor="text1"/>
          <w:szCs w:val="16"/>
        </w:rPr>
      </w:pPr>
      <w:r w:rsidRPr="00781112">
        <w:rPr>
          <w:rFonts w:cs="Arial"/>
          <w:color w:val="000000" w:themeColor="text1"/>
          <w:szCs w:val="16"/>
        </w:rPr>
        <w:t>“DISPROPORTIONATE REPRESENTATION” DEFINITION</w:t>
      </w:r>
      <w:r w:rsidRPr="00781112">
        <w:rPr>
          <w:rFonts w:cs="Arial"/>
          <w:color w:val="000000" w:themeColor="text1"/>
          <w:szCs w:val="16"/>
        </w:rPr>
        <w:br/>
      </w:r>
      <w:r w:rsidRPr="00781112">
        <w:rPr>
          <w:rFonts w:cs="Arial"/>
          <w:color w:val="000000" w:themeColor="text1"/>
          <w:szCs w:val="16"/>
        </w:rPr>
        <w:br/>
        <w:t xml:space="preserve">WVDE/OSE defines "disproportionate representation" as a risk ratio of 3.0 or greater (overrepresentation) for any given year (i.e., every one year). When disproportionate representation is identified in an LEA, WVDE/OSE determines whether the disproportionate representation is the result of inappropriate identification by reviewing policies, practices, and procedures as submitted by the LEA. Data for each LEA are analyzed for all seven racial/ethnic groups and the six required disability categories. </w:t>
      </w:r>
      <w:r w:rsidRPr="00781112">
        <w:rPr>
          <w:rFonts w:cs="Arial"/>
          <w:color w:val="000000" w:themeColor="text1"/>
          <w:szCs w:val="16"/>
        </w:rPr>
        <w:br/>
      </w:r>
      <w:r w:rsidRPr="00781112">
        <w:rPr>
          <w:rFonts w:cs="Arial"/>
          <w:color w:val="000000" w:themeColor="text1"/>
          <w:szCs w:val="16"/>
        </w:rPr>
        <w:br/>
        <w:t>CALCULATING “DISPROPORTIONATE REPRESENTATION”</w:t>
      </w:r>
      <w:r w:rsidRPr="00781112">
        <w:rPr>
          <w:rFonts w:cs="Arial"/>
          <w:color w:val="000000" w:themeColor="text1"/>
          <w:szCs w:val="16"/>
        </w:rPr>
        <w:br/>
      </w:r>
      <w:r w:rsidRPr="00781112">
        <w:rPr>
          <w:rFonts w:cs="Arial"/>
          <w:color w:val="000000" w:themeColor="text1"/>
          <w:szCs w:val="16"/>
        </w:rPr>
        <w:br/>
        <w:t>WVDE/OSE calculates a risk ratio for each of the seven racial/ethnic categories in each of the six required disability categories within each LEA using data from the SY 2023-24 FS002 Children with Disabilities (IDEA) School Age file, and data from the SY 2023-24 FS052 Membership file of students in grades K through 12. To be included in the analysis, an LEA must have at least 10 students of the specific racial/ethnic group in one or more of the particular disability categories (cell size) and at least 30 students in overall enrollment (n-size) within the same racial/ethnic group. The group's risk is then compared to either the LEA or state risk for all other students. For the LEA comparison group to be used, it must also meet the minimum cell (10) and n (30) sizes within its "all other" racial/ethnic category; otherwise, the statewide comparison group risk is used.</w:t>
      </w:r>
    </w:p>
    <w:p w14:paraId="469A27F6" w14:textId="13AEF7C8" w:rsidR="0057259D" w:rsidRPr="00781112" w:rsidRDefault="0057259D" w:rsidP="004369B2">
      <w:pPr>
        <w:rPr>
          <w:b/>
          <w:color w:val="000000" w:themeColor="text1"/>
        </w:rPr>
      </w:pPr>
      <w:r w:rsidRPr="00781112">
        <w:rPr>
          <w:b/>
          <w:color w:val="000000" w:themeColor="text1"/>
        </w:rPr>
        <w:t>Describe how the State made its annual determination as to whether the disproportionate overrepresentation it identified of racial and ethnic groups in specific disability categories was the result of inappropriate identification.</w:t>
      </w:r>
    </w:p>
    <w:p w14:paraId="37B23307" w14:textId="467F2F39" w:rsidR="00481536" w:rsidRPr="00781112" w:rsidRDefault="002B7490" w:rsidP="003817C0">
      <w:pPr>
        <w:rPr>
          <w:rFonts w:cs="Arial"/>
          <w:color w:val="000000" w:themeColor="text1"/>
          <w:szCs w:val="16"/>
        </w:rPr>
      </w:pPr>
      <w:r w:rsidRPr="00781112">
        <w:rPr>
          <w:rFonts w:cs="Arial"/>
          <w:color w:val="000000" w:themeColor="text1"/>
          <w:szCs w:val="16"/>
        </w:rPr>
        <w:t>There was no disproportionate representation of racial and ethnic groups in specific disability categories identified.</w:t>
      </w:r>
    </w:p>
    <w:p w14:paraId="1FCF1BF3" w14:textId="77777777" w:rsidR="00DF1529" w:rsidRPr="00781112" w:rsidRDefault="00DF1529" w:rsidP="00DF1529">
      <w:pPr>
        <w:rPr>
          <w:rFonts w:cs="Arial"/>
          <w:b/>
          <w:color w:val="000000" w:themeColor="text1"/>
          <w:szCs w:val="16"/>
        </w:rPr>
      </w:pPr>
      <w:bookmarkStart w:id="60" w:name="_Toc381956338"/>
      <w:bookmarkStart w:id="61" w:name="_Toc384383352"/>
      <w:bookmarkStart w:id="62" w:name="_Toc392159320"/>
      <w:r w:rsidRPr="00781112">
        <w:rPr>
          <w:rFonts w:cs="Arial"/>
          <w:b/>
          <w:color w:val="000000" w:themeColor="text1"/>
          <w:szCs w:val="16"/>
        </w:rPr>
        <w:t>Provide additional information about this indicator (optional)</w:t>
      </w:r>
    </w:p>
    <w:p w14:paraId="6A3194C2" w14:textId="40939986" w:rsidR="00481536" w:rsidRPr="00781112" w:rsidRDefault="002B7490" w:rsidP="007D435F">
      <w:pPr>
        <w:rPr>
          <w:rFonts w:cs="Arial"/>
          <w:color w:val="000000" w:themeColor="text1"/>
          <w:szCs w:val="16"/>
        </w:rPr>
      </w:pPr>
      <w:r w:rsidRPr="00781112">
        <w:rPr>
          <w:rFonts w:cs="Arial"/>
          <w:color w:val="000000" w:themeColor="text1"/>
          <w:szCs w:val="16"/>
        </w:rPr>
        <w:t>All LEAs are eligible for inclusion in the analysis with the exception of the state-operated WV Schools for the Deaf and Blind, and WV Schools for Diversion and Transition (institutional education programs across the state). Given the specialized nature of these LEAs, they are excluded from the analysis as they do not identify students for special education services.</w:t>
      </w:r>
    </w:p>
    <w:p w14:paraId="6268B372" w14:textId="4303E10A"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10PFFYNCFINDINGS"/>
      </w:tblPr>
      <w:tblGrid>
        <w:gridCol w:w="2650"/>
        <w:gridCol w:w="2780"/>
        <w:gridCol w:w="2656"/>
        <w:gridCol w:w="2704"/>
      </w:tblGrid>
      <w:tr w:rsidR="005C29F8" w:rsidRPr="00781112" w14:paraId="56588706" w14:textId="77777777" w:rsidTr="0033429D">
        <w:trPr>
          <w:trHeight w:val="389"/>
          <w:tblHeader/>
        </w:trPr>
        <w:tc>
          <w:tcPr>
            <w:tcW w:w="1228" w:type="pct"/>
            <w:shd w:val="clear" w:color="auto" w:fill="auto"/>
            <w:vAlign w:val="bottom"/>
          </w:tcPr>
          <w:p w14:paraId="65B8FFC5"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05391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79BBE35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380C990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C6EB489" w14:textId="77777777" w:rsidTr="00690A61">
        <w:tc>
          <w:tcPr>
            <w:tcW w:w="1228" w:type="pct"/>
            <w:shd w:val="clear" w:color="auto" w:fill="auto"/>
          </w:tcPr>
          <w:p w14:paraId="1D40E253" w14:textId="63B8E0E2"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5D374844" w14:textId="5622CFF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2CDC48CC" w14:textId="2F00947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9E189C3" w14:textId="39CA8E23"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60BB42FC" w14:textId="74C33FE4"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10BPPFFYNCFINDINGS"/>
      </w:tblPr>
      <w:tblGrid>
        <w:gridCol w:w="1890"/>
        <w:gridCol w:w="3332"/>
        <w:gridCol w:w="2743"/>
        <w:gridCol w:w="2825"/>
      </w:tblGrid>
      <w:tr w:rsidR="005C29F8" w:rsidRPr="00781112" w14:paraId="730926F0" w14:textId="77777777" w:rsidTr="00BD26DC">
        <w:trPr>
          <w:tblHeader/>
        </w:trPr>
        <w:tc>
          <w:tcPr>
            <w:tcW w:w="876" w:type="pct"/>
            <w:shd w:val="clear" w:color="auto" w:fill="auto"/>
            <w:vAlign w:val="bottom"/>
          </w:tcPr>
          <w:p w14:paraId="0B05B92F" w14:textId="50A415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544" w:type="pct"/>
            <w:shd w:val="clear" w:color="auto" w:fill="auto"/>
            <w:vAlign w:val="bottom"/>
          </w:tcPr>
          <w:p w14:paraId="759DE84F" w14:textId="017705F1"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271" w:type="pct"/>
            <w:shd w:val="clear" w:color="auto" w:fill="auto"/>
            <w:vAlign w:val="bottom"/>
          </w:tcPr>
          <w:p w14:paraId="45E60D4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9" w:type="pct"/>
            <w:shd w:val="clear" w:color="auto" w:fill="auto"/>
            <w:vAlign w:val="bottom"/>
          </w:tcPr>
          <w:p w14:paraId="2598D3F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7C292A1" w14:textId="77777777" w:rsidTr="00BD26DC">
        <w:tc>
          <w:tcPr>
            <w:tcW w:w="876" w:type="pct"/>
            <w:shd w:val="clear" w:color="auto" w:fill="auto"/>
          </w:tcPr>
          <w:p w14:paraId="4127AE76" w14:textId="36C06893" w:rsidR="009A755E" w:rsidRPr="00781112" w:rsidRDefault="009A755E" w:rsidP="00A018D4">
            <w:pPr>
              <w:jc w:val="center"/>
              <w:rPr>
                <w:rFonts w:cs="Arial"/>
                <w:color w:val="000000" w:themeColor="text1"/>
                <w:szCs w:val="16"/>
              </w:rPr>
            </w:pPr>
          </w:p>
        </w:tc>
        <w:tc>
          <w:tcPr>
            <w:tcW w:w="1544" w:type="pct"/>
            <w:shd w:val="clear" w:color="auto" w:fill="auto"/>
          </w:tcPr>
          <w:p w14:paraId="2A5CC6A6" w14:textId="3962DD57" w:rsidR="009A755E" w:rsidRPr="00781112" w:rsidRDefault="009A755E">
            <w:pPr>
              <w:jc w:val="center"/>
              <w:rPr>
                <w:rFonts w:cs="Arial"/>
                <w:noProof/>
                <w:color w:val="000000" w:themeColor="text1"/>
                <w:szCs w:val="16"/>
              </w:rPr>
            </w:pPr>
          </w:p>
        </w:tc>
        <w:tc>
          <w:tcPr>
            <w:tcW w:w="1271" w:type="pct"/>
            <w:shd w:val="clear" w:color="auto" w:fill="auto"/>
          </w:tcPr>
          <w:p w14:paraId="443DA9B8" w14:textId="5BA02353" w:rsidR="009A755E" w:rsidRPr="00781112" w:rsidRDefault="009A755E">
            <w:pPr>
              <w:jc w:val="center"/>
              <w:rPr>
                <w:rFonts w:cs="Arial"/>
                <w:noProof/>
                <w:color w:val="000000" w:themeColor="text1"/>
                <w:szCs w:val="16"/>
              </w:rPr>
            </w:pPr>
          </w:p>
        </w:tc>
        <w:tc>
          <w:tcPr>
            <w:tcW w:w="1309" w:type="pct"/>
            <w:shd w:val="clear" w:color="auto" w:fill="auto"/>
          </w:tcPr>
          <w:p w14:paraId="0CA4C267" w14:textId="5E5F97F2" w:rsidR="009A755E" w:rsidRPr="00781112" w:rsidRDefault="009A755E">
            <w:pPr>
              <w:jc w:val="center"/>
              <w:rPr>
                <w:rFonts w:cs="Arial"/>
                <w:noProof/>
                <w:color w:val="000000" w:themeColor="text1"/>
                <w:szCs w:val="16"/>
              </w:rPr>
            </w:pPr>
          </w:p>
        </w:tc>
      </w:tr>
      <w:tr w:rsidR="005C29F8" w:rsidRPr="00781112" w14:paraId="21AB92FA" w14:textId="77777777" w:rsidTr="00BD26DC">
        <w:tc>
          <w:tcPr>
            <w:tcW w:w="876" w:type="pct"/>
            <w:shd w:val="clear" w:color="auto" w:fill="auto"/>
          </w:tcPr>
          <w:p w14:paraId="6E800094" w14:textId="1F782081" w:rsidR="009A755E" w:rsidRPr="00781112" w:rsidRDefault="009A755E" w:rsidP="00A018D4">
            <w:pPr>
              <w:jc w:val="center"/>
              <w:rPr>
                <w:rFonts w:cs="Arial"/>
                <w:color w:val="000000" w:themeColor="text1"/>
                <w:szCs w:val="16"/>
              </w:rPr>
            </w:pPr>
          </w:p>
        </w:tc>
        <w:tc>
          <w:tcPr>
            <w:tcW w:w="1544" w:type="pct"/>
            <w:shd w:val="clear" w:color="auto" w:fill="auto"/>
          </w:tcPr>
          <w:p w14:paraId="3FA322A7" w14:textId="2543A74B" w:rsidR="009A755E" w:rsidRPr="00781112" w:rsidRDefault="009A755E">
            <w:pPr>
              <w:jc w:val="center"/>
              <w:rPr>
                <w:rFonts w:cs="Arial"/>
                <w:noProof/>
                <w:color w:val="000000" w:themeColor="text1"/>
                <w:szCs w:val="16"/>
              </w:rPr>
            </w:pPr>
          </w:p>
        </w:tc>
        <w:tc>
          <w:tcPr>
            <w:tcW w:w="1271" w:type="pct"/>
            <w:shd w:val="clear" w:color="auto" w:fill="auto"/>
          </w:tcPr>
          <w:p w14:paraId="7075484B" w14:textId="56719905" w:rsidR="009A755E" w:rsidRPr="00781112" w:rsidRDefault="009A755E">
            <w:pPr>
              <w:jc w:val="center"/>
              <w:rPr>
                <w:rFonts w:cs="Arial"/>
                <w:noProof/>
                <w:color w:val="000000" w:themeColor="text1"/>
                <w:szCs w:val="16"/>
              </w:rPr>
            </w:pPr>
          </w:p>
        </w:tc>
        <w:tc>
          <w:tcPr>
            <w:tcW w:w="1309" w:type="pct"/>
            <w:shd w:val="clear" w:color="auto" w:fill="auto"/>
          </w:tcPr>
          <w:p w14:paraId="5E63471A" w14:textId="5230E0AF" w:rsidR="009A755E" w:rsidRPr="00781112" w:rsidRDefault="009A755E">
            <w:pPr>
              <w:jc w:val="center"/>
              <w:rPr>
                <w:rFonts w:cs="Arial"/>
                <w:noProof/>
                <w:color w:val="000000" w:themeColor="text1"/>
                <w:szCs w:val="16"/>
              </w:rPr>
            </w:pPr>
          </w:p>
        </w:tc>
      </w:tr>
      <w:tr w:rsidR="005C29F8" w:rsidRPr="00781112" w14:paraId="57ACE7BC" w14:textId="77777777" w:rsidTr="00BD26DC">
        <w:tc>
          <w:tcPr>
            <w:tcW w:w="876" w:type="pct"/>
            <w:shd w:val="clear" w:color="auto" w:fill="auto"/>
          </w:tcPr>
          <w:p w14:paraId="4E325530" w14:textId="03DA8FEF" w:rsidR="009A755E" w:rsidRPr="00781112" w:rsidRDefault="009A755E" w:rsidP="00A018D4">
            <w:pPr>
              <w:jc w:val="center"/>
              <w:rPr>
                <w:rFonts w:cs="Arial"/>
                <w:color w:val="000000" w:themeColor="text1"/>
                <w:szCs w:val="16"/>
              </w:rPr>
            </w:pPr>
          </w:p>
        </w:tc>
        <w:tc>
          <w:tcPr>
            <w:tcW w:w="1544" w:type="pct"/>
            <w:shd w:val="clear" w:color="auto" w:fill="auto"/>
          </w:tcPr>
          <w:p w14:paraId="7BFB0081" w14:textId="12B35F6B" w:rsidR="009A755E" w:rsidRPr="00781112" w:rsidRDefault="009A755E">
            <w:pPr>
              <w:jc w:val="center"/>
              <w:rPr>
                <w:rFonts w:cs="Arial"/>
                <w:noProof/>
                <w:color w:val="000000" w:themeColor="text1"/>
                <w:szCs w:val="16"/>
              </w:rPr>
            </w:pPr>
          </w:p>
        </w:tc>
        <w:tc>
          <w:tcPr>
            <w:tcW w:w="1271" w:type="pct"/>
            <w:shd w:val="clear" w:color="auto" w:fill="auto"/>
          </w:tcPr>
          <w:p w14:paraId="674F4E8B" w14:textId="257F6F9E" w:rsidR="009A755E" w:rsidRPr="00781112" w:rsidRDefault="009A755E">
            <w:pPr>
              <w:jc w:val="center"/>
              <w:rPr>
                <w:rFonts w:cs="Arial"/>
                <w:noProof/>
                <w:color w:val="000000" w:themeColor="text1"/>
                <w:szCs w:val="16"/>
              </w:rPr>
            </w:pPr>
          </w:p>
        </w:tc>
        <w:tc>
          <w:tcPr>
            <w:tcW w:w="1309" w:type="pct"/>
            <w:shd w:val="clear" w:color="auto" w:fill="auto"/>
          </w:tcPr>
          <w:p w14:paraId="68852A19" w14:textId="65403F00" w:rsidR="009A755E" w:rsidRPr="00781112" w:rsidRDefault="009A755E">
            <w:pPr>
              <w:jc w:val="center"/>
              <w:rPr>
                <w:rFonts w:cs="Arial"/>
                <w:noProof/>
                <w:color w:val="000000" w:themeColor="text1"/>
                <w:szCs w:val="16"/>
              </w:rPr>
            </w:pPr>
          </w:p>
        </w:tc>
      </w:tr>
      <w:tr w:rsidR="00BD26DC" w:rsidRPr="00781112" w14:paraId="64582DB8" w14:textId="77777777" w:rsidTr="00BD26DC">
        <w:tc>
          <w:tcPr>
            <w:tcW w:w="876" w:type="pct"/>
            <w:shd w:val="clear" w:color="auto" w:fill="auto"/>
          </w:tcPr>
          <w:p w14:paraId="32592256" w14:textId="3B313C7D" w:rsidR="00BD26DC" w:rsidRPr="00781112" w:rsidRDefault="00BD26DC" w:rsidP="00BD26DC">
            <w:pPr>
              <w:jc w:val="center"/>
              <w:rPr>
                <w:rFonts w:cs="Arial"/>
                <w:color w:val="000000" w:themeColor="text1"/>
                <w:szCs w:val="16"/>
              </w:rPr>
            </w:pPr>
          </w:p>
        </w:tc>
        <w:tc>
          <w:tcPr>
            <w:tcW w:w="1544" w:type="pct"/>
            <w:shd w:val="clear" w:color="auto" w:fill="auto"/>
          </w:tcPr>
          <w:p w14:paraId="208707CC" w14:textId="30B27EFB" w:rsidR="00BD26DC" w:rsidRPr="00781112" w:rsidRDefault="00BD26DC" w:rsidP="00BD26DC">
            <w:pPr>
              <w:jc w:val="center"/>
              <w:rPr>
                <w:rFonts w:cs="Arial"/>
                <w:color w:val="000000" w:themeColor="text1"/>
                <w:szCs w:val="16"/>
              </w:rPr>
            </w:pPr>
          </w:p>
        </w:tc>
        <w:tc>
          <w:tcPr>
            <w:tcW w:w="1271" w:type="pct"/>
            <w:shd w:val="clear" w:color="auto" w:fill="auto"/>
          </w:tcPr>
          <w:p w14:paraId="7742ECAE" w14:textId="32CF75EB" w:rsidR="00BD26DC" w:rsidRPr="00781112" w:rsidRDefault="00BD26DC" w:rsidP="00BD26DC">
            <w:pPr>
              <w:jc w:val="center"/>
              <w:rPr>
                <w:rFonts w:cs="Arial"/>
                <w:color w:val="000000" w:themeColor="text1"/>
                <w:szCs w:val="16"/>
              </w:rPr>
            </w:pPr>
          </w:p>
        </w:tc>
        <w:tc>
          <w:tcPr>
            <w:tcW w:w="1309" w:type="pct"/>
            <w:shd w:val="clear" w:color="auto" w:fill="auto"/>
          </w:tcPr>
          <w:p w14:paraId="5D7ECBAA" w14:textId="4F3CE826" w:rsidR="00BD26DC" w:rsidRPr="00781112" w:rsidRDefault="00BD26DC" w:rsidP="00BD26DC">
            <w:pPr>
              <w:jc w:val="center"/>
              <w:rPr>
                <w:rFonts w:cs="Arial"/>
                <w:color w:val="000000" w:themeColor="text1"/>
                <w:szCs w:val="16"/>
              </w:rPr>
            </w:pPr>
          </w:p>
        </w:tc>
      </w:tr>
      <w:tr w:rsidR="00BD26DC" w:rsidRPr="00781112" w14:paraId="09F5081B" w14:textId="77777777" w:rsidTr="00BD26DC">
        <w:tc>
          <w:tcPr>
            <w:tcW w:w="876" w:type="pct"/>
            <w:shd w:val="clear" w:color="auto" w:fill="auto"/>
          </w:tcPr>
          <w:p w14:paraId="7F0790E2" w14:textId="44868A49" w:rsidR="00BD26DC" w:rsidRPr="00781112" w:rsidRDefault="00BD26DC" w:rsidP="00BD26DC">
            <w:pPr>
              <w:jc w:val="center"/>
              <w:rPr>
                <w:rFonts w:cs="Arial"/>
                <w:color w:val="000000" w:themeColor="text1"/>
                <w:szCs w:val="16"/>
              </w:rPr>
            </w:pPr>
          </w:p>
        </w:tc>
        <w:tc>
          <w:tcPr>
            <w:tcW w:w="1544" w:type="pct"/>
            <w:shd w:val="clear" w:color="auto" w:fill="auto"/>
          </w:tcPr>
          <w:p w14:paraId="604E28D5" w14:textId="62E5C7BB" w:rsidR="00BD26DC" w:rsidRPr="00781112" w:rsidRDefault="00BD26DC" w:rsidP="00BD26DC">
            <w:pPr>
              <w:jc w:val="center"/>
              <w:rPr>
                <w:rFonts w:cs="Arial"/>
                <w:color w:val="000000" w:themeColor="text1"/>
                <w:szCs w:val="16"/>
              </w:rPr>
            </w:pPr>
          </w:p>
        </w:tc>
        <w:tc>
          <w:tcPr>
            <w:tcW w:w="1271" w:type="pct"/>
            <w:shd w:val="clear" w:color="auto" w:fill="auto"/>
          </w:tcPr>
          <w:p w14:paraId="3181619A" w14:textId="2221FD22" w:rsidR="00BD26DC" w:rsidRPr="00781112" w:rsidRDefault="00BD26DC" w:rsidP="00BD26DC">
            <w:pPr>
              <w:jc w:val="center"/>
              <w:rPr>
                <w:rFonts w:cs="Arial"/>
                <w:color w:val="000000" w:themeColor="text1"/>
                <w:szCs w:val="16"/>
              </w:rPr>
            </w:pPr>
          </w:p>
        </w:tc>
        <w:tc>
          <w:tcPr>
            <w:tcW w:w="1309" w:type="pct"/>
            <w:shd w:val="clear" w:color="auto" w:fill="auto"/>
          </w:tcPr>
          <w:p w14:paraId="4B8A0BD7" w14:textId="0CF6AEE6" w:rsidR="00BD26DC" w:rsidRPr="00781112" w:rsidRDefault="00BD26DC" w:rsidP="00BD26DC">
            <w:pPr>
              <w:jc w:val="center"/>
              <w:rPr>
                <w:rFonts w:cs="Arial"/>
                <w:color w:val="000000" w:themeColor="text1"/>
                <w:szCs w:val="16"/>
              </w:rPr>
            </w:pPr>
          </w:p>
        </w:tc>
      </w:tr>
    </w:tbl>
    <w:p w14:paraId="53A11FEB" w14:textId="6CFF8254" w:rsidR="004E2151" w:rsidRPr="00781112" w:rsidRDefault="009F64D5" w:rsidP="008645AD">
      <w:pPr>
        <w:pStyle w:val="Heading2"/>
      </w:pPr>
      <w:r w:rsidRPr="00781112">
        <w:t>10</w:t>
      </w:r>
      <w:r w:rsidR="00596F4D" w:rsidRPr="00781112">
        <w:t xml:space="preserve"> </w:t>
      </w:r>
      <w:r w:rsidRPr="00781112">
        <w:t xml:space="preserve">- </w:t>
      </w:r>
      <w:r w:rsidR="004E2151" w:rsidRPr="00781112">
        <w:t>Prior FFY Required Actions</w:t>
      </w:r>
    </w:p>
    <w:p w14:paraId="67525E19" w14:textId="2FAD1162" w:rsidR="004E2151" w:rsidRPr="00781112" w:rsidRDefault="002B7490" w:rsidP="004E2151">
      <w:pPr>
        <w:rPr>
          <w:rFonts w:cs="Arial"/>
          <w:color w:val="000000" w:themeColor="text1"/>
          <w:szCs w:val="16"/>
        </w:rPr>
      </w:pPr>
      <w:r w:rsidRPr="00781112">
        <w:rPr>
          <w:rFonts w:cs="Arial"/>
          <w:color w:val="000000" w:themeColor="text1"/>
          <w:szCs w:val="16"/>
        </w:rPr>
        <w:t>None</w:t>
      </w:r>
    </w:p>
    <w:p w14:paraId="7C7C5568" w14:textId="77777777" w:rsidR="009F69E7" w:rsidRPr="00781112" w:rsidRDefault="009F69E7" w:rsidP="004E2151">
      <w:pPr>
        <w:rPr>
          <w:rFonts w:cs="Arial"/>
          <w:color w:val="000000" w:themeColor="text1"/>
          <w:szCs w:val="16"/>
        </w:rPr>
      </w:pPr>
    </w:p>
    <w:p w14:paraId="7C3D22D6" w14:textId="3FC2A3F5" w:rsidR="004E2151" w:rsidRPr="00781112" w:rsidRDefault="004E2151" w:rsidP="004E2151">
      <w:pPr>
        <w:rPr>
          <w:rFonts w:cs="Arial"/>
          <w:color w:val="000000" w:themeColor="text1"/>
          <w:szCs w:val="16"/>
        </w:rPr>
      </w:pPr>
    </w:p>
    <w:p w14:paraId="024AE3FE" w14:textId="2137BFB6" w:rsidR="007F5071" w:rsidRPr="00781112" w:rsidRDefault="008B2598" w:rsidP="008645AD">
      <w:pPr>
        <w:pStyle w:val="Heading2"/>
      </w:pPr>
      <w:r w:rsidRPr="00781112">
        <w:t>10 - OSEP Response</w:t>
      </w:r>
    </w:p>
    <w:p w14:paraId="4384A342" w14:textId="2981C3D3" w:rsidR="00481536" w:rsidRPr="00781112" w:rsidRDefault="00481536" w:rsidP="00212954">
      <w:pPr>
        <w:rPr>
          <w:rFonts w:cs="Arial"/>
          <w:color w:val="000000" w:themeColor="text1"/>
          <w:szCs w:val="16"/>
        </w:rPr>
      </w:pPr>
    </w:p>
    <w:p w14:paraId="36F60250" w14:textId="56BA36D9" w:rsidR="007F5071" w:rsidRPr="00781112" w:rsidRDefault="007C1BCF" w:rsidP="008645AD">
      <w:pPr>
        <w:pStyle w:val="Heading2"/>
      </w:pPr>
      <w:r w:rsidRPr="00781112">
        <w:t xml:space="preserve">10 - </w:t>
      </w:r>
      <w:r w:rsidR="007F5071" w:rsidRPr="00781112">
        <w:t>Required Actions</w:t>
      </w:r>
    </w:p>
    <w:p w14:paraId="12C0EBBF" w14:textId="69C4D7D0" w:rsidR="00481536" w:rsidRPr="00781112" w:rsidRDefault="00481536" w:rsidP="00212954">
      <w:pPr>
        <w:rPr>
          <w:rFonts w:cs="Arial"/>
          <w:color w:val="000000" w:themeColor="text1"/>
          <w:szCs w:val="16"/>
        </w:rPr>
      </w:pPr>
    </w:p>
    <w:p w14:paraId="2B0C5DE2"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F067DF" w14:textId="45BAD1B8" w:rsidR="00D03701" w:rsidRPr="00781112" w:rsidRDefault="00D03701" w:rsidP="000444E2">
      <w:pPr>
        <w:pStyle w:val="Heading1"/>
        <w:rPr>
          <w:color w:val="000000" w:themeColor="text1"/>
          <w:sz w:val="22"/>
        </w:rPr>
      </w:pPr>
      <w:r w:rsidRPr="00781112">
        <w:rPr>
          <w:color w:val="000000" w:themeColor="text1"/>
          <w:sz w:val="22"/>
        </w:rPr>
        <w:lastRenderedPageBreak/>
        <w:t>Indicator 11: Child Find</w:t>
      </w:r>
      <w:bookmarkEnd w:id="60"/>
      <w:bookmarkEnd w:id="61"/>
      <w:bookmarkEnd w:id="62"/>
    </w:p>
    <w:p w14:paraId="4F5D642D" w14:textId="17D375FD" w:rsidR="00E119B0" w:rsidRPr="002C274F" w:rsidRDefault="00E119B0" w:rsidP="002C274F">
      <w:pPr>
        <w:rPr>
          <w:b/>
          <w:bCs/>
          <w:sz w:val="20"/>
          <w:szCs w:val="20"/>
        </w:rPr>
      </w:pPr>
      <w:bookmarkStart w:id="63" w:name="_Toc384383353"/>
      <w:bookmarkStart w:id="64" w:name="_Toc392159321"/>
      <w:r w:rsidRPr="002C274F">
        <w:rPr>
          <w:b/>
          <w:bCs/>
          <w:sz w:val="20"/>
          <w:szCs w:val="20"/>
        </w:rPr>
        <w:t>Instructions and Measurement</w:t>
      </w:r>
    </w:p>
    <w:p w14:paraId="4ECD8CEF" w14:textId="094F874E" w:rsidR="001F3A65" w:rsidRPr="00781112" w:rsidRDefault="001F3A65" w:rsidP="00832807">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Child Find</w:t>
      </w:r>
    </w:p>
    <w:p w14:paraId="56D17CB3" w14:textId="77777777" w:rsidR="003356F1" w:rsidRPr="00781112" w:rsidRDefault="001F3A65" w:rsidP="00832807">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who were evaluated within 60 days of receiving parental consent for initial evaluation or, if the State establishes a timeframe within which the evaluation must be conducted, within that timeframe. </w:t>
      </w:r>
    </w:p>
    <w:p w14:paraId="3EA48C22" w14:textId="29F5D3F7" w:rsidR="001F3A65" w:rsidRPr="00781112" w:rsidRDefault="001F3A65" w:rsidP="00832807">
      <w:pPr>
        <w:rPr>
          <w:rFonts w:cs="Arial"/>
          <w:color w:val="000000" w:themeColor="text1"/>
          <w:szCs w:val="16"/>
        </w:rPr>
      </w:pPr>
      <w:r w:rsidRPr="00781112">
        <w:rPr>
          <w:rFonts w:cs="Arial"/>
          <w:color w:val="000000" w:themeColor="text1"/>
          <w:szCs w:val="16"/>
        </w:rPr>
        <w:t>(20 U.S.C. 1416(a)(3)(B))</w:t>
      </w:r>
    </w:p>
    <w:p w14:paraId="3DA9D44A" w14:textId="77777777" w:rsidR="003356F1" w:rsidRPr="00781112" w:rsidRDefault="003356F1" w:rsidP="004369B2">
      <w:pPr>
        <w:rPr>
          <w:color w:val="000000" w:themeColor="text1"/>
        </w:rPr>
      </w:pPr>
      <w:r w:rsidRPr="00781112">
        <w:rPr>
          <w:b/>
          <w:color w:val="000000" w:themeColor="text1"/>
        </w:rPr>
        <w:t>Data Source</w:t>
      </w:r>
    </w:p>
    <w:p w14:paraId="3741FEFD" w14:textId="2D50FC3E" w:rsidR="003356F1" w:rsidRPr="00781112" w:rsidRDefault="003356F1"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 and must be based on actual, not an average, number of days. Indicate if the State has established a timeline and, if so, what is the State’s timeline for initial evaluations.</w:t>
      </w:r>
    </w:p>
    <w:p w14:paraId="79DFFD28" w14:textId="77777777" w:rsidR="003356F1" w:rsidRPr="00781112" w:rsidRDefault="003356F1" w:rsidP="004369B2">
      <w:pPr>
        <w:rPr>
          <w:color w:val="000000" w:themeColor="text1"/>
        </w:rPr>
      </w:pPr>
      <w:r w:rsidRPr="00781112">
        <w:rPr>
          <w:b/>
          <w:color w:val="000000" w:themeColor="text1"/>
        </w:rPr>
        <w:t>Measurement</w:t>
      </w:r>
    </w:p>
    <w:p w14:paraId="6421FFFB" w14:textId="6BB4E0C2"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 of children for whom parental consent to evaluate was received.</w:t>
      </w:r>
    </w:p>
    <w:p w14:paraId="07661B9A" w14:textId="43097164"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 of children whose evaluations were completed within 60 days (or State-established timeline).</w:t>
      </w:r>
    </w:p>
    <w:p w14:paraId="733D8722" w14:textId="77777777" w:rsidR="003356F1" w:rsidRPr="00781112" w:rsidRDefault="003356F1" w:rsidP="006A01BD">
      <w:pPr>
        <w:spacing w:before="0" w:after="210"/>
        <w:ind w:left="72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Indicate the range of days beyond the timeline when the evaluation was completed and any reasons for the delays.</w:t>
      </w:r>
    </w:p>
    <w:p w14:paraId="1A76194B" w14:textId="382D2A54" w:rsidR="003356F1" w:rsidRPr="00781112" w:rsidRDefault="003356F1" w:rsidP="006A01BD">
      <w:pPr>
        <w:spacing w:before="0" w:after="210"/>
        <w:ind w:firstLine="720"/>
        <w:rPr>
          <w:rFonts w:eastAsia="Times New Roman" w:cs="Arial"/>
          <w:color w:val="000000" w:themeColor="text1"/>
          <w:szCs w:val="16"/>
        </w:rPr>
      </w:pPr>
      <w:r w:rsidRPr="00781112">
        <w:rPr>
          <w:rFonts w:eastAsia="Times New Roman" w:cs="Arial"/>
          <w:color w:val="000000" w:themeColor="text1"/>
          <w:szCs w:val="16"/>
        </w:rPr>
        <w:t>Percent = [(b) divided by (a)] times 100.</w:t>
      </w:r>
    </w:p>
    <w:p w14:paraId="5F28023C" w14:textId="77777777" w:rsidR="003356F1" w:rsidRPr="00781112" w:rsidRDefault="003356F1" w:rsidP="004369B2">
      <w:pPr>
        <w:rPr>
          <w:color w:val="000000" w:themeColor="text1"/>
        </w:rPr>
      </w:pPr>
      <w:r w:rsidRPr="00781112">
        <w:rPr>
          <w:b/>
          <w:color w:val="000000" w:themeColor="text1"/>
        </w:rPr>
        <w:t>Instructions</w:t>
      </w:r>
    </w:p>
    <w:p w14:paraId="3DD8C135" w14:textId="77777777" w:rsidR="003356F1" w:rsidRPr="00781112" w:rsidRDefault="003356F1"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3F78D968" w14:textId="77777777" w:rsidR="003356F1" w:rsidRPr="00781112" w:rsidRDefault="003356F1"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1A394BBE" w14:textId="77777777" w:rsidR="003356F1" w:rsidRPr="00781112" w:rsidRDefault="003356F1" w:rsidP="00286BDF">
      <w:pPr>
        <w:rPr>
          <w:rFonts w:cs="Arial"/>
          <w:color w:val="000000" w:themeColor="text1"/>
          <w:szCs w:val="16"/>
        </w:rPr>
      </w:pPr>
      <w:r w:rsidRPr="00781112">
        <w:rPr>
          <w:rFonts w:cs="Arial"/>
          <w:color w:val="000000" w:themeColor="text1"/>
          <w:szCs w:val="16"/>
        </w:rPr>
        <w:t>Note that under 34 CFR §300.301(d), the timeframe set for initial evaluation does not apply to a public agency if: (1) the parent of a child repeatedly fails or refuses to produce the child for the evaluation; or (2) a child enrolls in a school of another public agency after the timeframe for initial evaluations has begun, and prior to a determination by the child’s previous public agency as to whether the child is a child with a disability. States should not report these exceptions in either the numerator (b) or denominator (a). If the State-established timeframe provides for exceptions through State regulation or policy, describe cases falling within those exceptions and include in b.</w:t>
      </w:r>
    </w:p>
    <w:p w14:paraId="231B6D26" w14:textId="77777777" w:rsidR="003356F1" w:rsidRPr="00781112" w:rsidRDefault="003356F1" w:rsidP="00286BDF">
      <w:pPr>
        <w:rPr>
          <w:rFonts w:cs="Arial"/>
          <w:color w:val="000000" w:themeColor="text1"/>
          <w:szCs w:val="16"/>
        </w:rPr>
      </w:pPr>
      <w:r w:rsidRPr="00781112">
        <w:rPr>
          <w:rFonts w:cs="Arial"/>
          <w:color w:val="000000" w:themeColor="text1"/>
          <w:szCs w:val="16"/>
        </w:rPr>
        <w:t>Targets must be 100%.</w:t>
      </w:r>
    </w:p>
    <w:p w14:paraId="6E371C53" w14:textId="01B44093" w:rsidR="003356F1" w:rsidRPr="00781112" w:rsidRDefault="003356F1"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65" w:name="_Hlk150864333"/>
      <w:r w:rsidR="005F55E8" w:rsidRPr="005F55E8">
        <w:rPr>
          <w:rFonts w:cs="Arial"/>
          <w:color w:val="000000" w:themeColor="text1"/>
          <w:szCs w:val="16"/>
        </w:rPr>
        <w:t>child-specific and regulatory/systemic</w:t>
      </w:r>
      <w:r w:rsidR="005F55E8">
        <w:rPr>
          <w:sz w:val="20"/>
          <w:szCs w:val="14"/>
        </w:rPr>
        <w:t xml:space="preserve"> </w:t>
      </w:r>
      <w:bookmarkEnd w:id="65"/>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53468DF8" w14:textId="5B236136" w:rsidR="003356F1"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3D959517" w14:textId="56706A14" w:rsidR="007B2985" w:rsidRPr="00FE4611" w:rsidRDefault="007B2985" w:rsidP="00286BDF">
      <w:pPr>
        <w:rPr>
          <w:rFonts w:cs="Arial"/>
          <w:szCs w:val="16"/>
        </w:rPr>
      </w:pPr>
      <w:r w:rsidRPr="004605DC">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4CA3F78B" w14:textId="72C271DF" w:rsidR="00DB20BC" w:rsidRPr="00781112" w:rsidRDefault="00C22B92" w:rsidP="00123D76">
      <w:pPr>
        <w:pStyle w:val="Heading2"/>
      </w:pPr>
      <w:bookmarkStart w:id="66" w:name="_Toc384383354"/>
      <w:bookmarkStart w:id="67" w:name="_Toc392159322"/>
      <w:bookmarkEnd w:id="63"/>
      <w:bookmarkEnd w:id="64"/>
      <w:r w:rsidRPr="00781112">
        <w:t>11</w:t>
      </w:r>
      <w:r w:rsidR="00596F4D" w:rsidRPr="00781112">
        <w:t xml:space="preserve"> </w:t>
      </w:r>
      <w:r w:rsidRPr="00781112">
        <w:t xml:space="preserve">- </w:t>
      </w:r>
      <w:r w:rsidR="00DB20BC" w:rsidRPr="00781112">
        <w:t>Indicator Data</w:t>
      </w:r>
    </w:p>
    <w:p w14:paraId="7C465821" w14:textId="6E27EB07" w:rsidR="00B6413B" w:rsidRPr="00781112" w:rsidRDefault="00B6413B"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1BASELINEDATA"/>
      </w:tblPr>
      <w:tblGrid>
        <w:gridCol w:w="1797"/>
        <w:gridCol w:w="1798"/>
      </w:tblGrid>
      <w:tr w:rsidR="00126B45" w:rsidRPr="00781112" w14:paraId="1E9ECD4B" w14:textId="77777777" w:rsidTr="00123D76">
        <w:trPr>
          <w:trHeight w:val="311"/>
          <w:tblHeader/>
        </w:trPr>
        <w:tc>
          <w:tcPr>
            <w:tcW w:w="1797" w:type="dxa"/>
          </w:tcPr>
          <w:p w14:paraId="7AF55935" w14:textId="77777777" w:rsidR="00126B45" w:rsidRPr="00781112" w:rsidRDefault="00126B45" w:rsidP="00123D76">
            <w:pPr>
              <w:jc w:val="center"/>
              <w:rPr>
                <w:b/>
                <w:color w:val="000000" w:themeColor="text1"/>
              </w:rPr>
            </w:pPr>
            <w:r w:rsidRPr="00781112">
              <w:rPr>
                <w:rFonts w:cs="Arial"/>
                <w:b/>
                <w:color w:val="000000" w:themeColor="text1"/>
                <w:szCs w:val="16"/>
              </w:rPr>
              <w:t>Baseline Year</w:t>
            </w:r>
          </w:p>
        </w:tc>
        <w:tc>
          <w:tcPr>
            <w:tcW w:w="1798" w:type="dxa"/>
          </w:tcPr>
          <w:p w14:paraId="316C30F4" w14:textId="77777777" w:rsidR="00126B45" w:rsidRPr="00781112" w:rsidRDefault="00126B45" w:rsidP="00123D76">
            <w:pPr>
              <w:jc w:val="center"/>
              <w:rPr>
                <w:b/>
                <w:color w:val="000000" w:themeColor="text1"/>
              </w:rPr>
            </w:pPr>
            <w:r w:rsidRPr="00781112">
              <w:rPr>
                <w:b/>
                <w:color w:val="000000" w:themeColor="text1"/>
              </w:rPr>
              <w:t>Baseline Data</w:t>
            </w:r>
          </w:p>
        </w:tc>
      </w:tr>
      <w:tr w:rsidR="00126B45" w:rsidRPr="00781112" w14:paraId="1CE17451" w14:textId="77777777" w:rsidTr="00123D76">
        <w:trPr>
          <w:trHeight w:val="311"/>
        </w:trPr>
        <w:tc>
          <w:tcPr>
            <w:tcW w:w="1797" w:type="dxa"/>
            <w:vAlign w:val="center"/>
          </w:tcPr>
          <w:p w14:paraId="4D36891E" w14:textId="227D3313" w:rsidR="00126B45" w:rsidRPr="00781112" w:rsidRDefault="00126B45" w:rsidP="00123D76">
            <w:pPr>
              <w:jc w:val="center"/>
              <w:rPr>
                <w:bCs/>
                <w:color w:val="000000" w:themeColor="text1"/>
              </w:rPr>
            </w:pPr>
            <w:r w:rsidRPr="00781112">
              <w:rPr>
                <w:bCs/>
                <w:color w:val="000000" w:themeColor="text1"/>
              </w:rPr>
              <w:t>2019</w:t>
            </w:r>
          </w:p>
        </w:tc>
        <w:tc>
          <w:tcPr>
            <w:tcW w:w="1798" w:type="dxa"/>
            <w:vAlign w:val="center"/>
          </w:tcPr>
          <w:p w14:paraId="403719B1" w14:textId="522EF75C" w:rsidR="00126B45" w:rsidRPr="00781112" w:rsidRDefault="00126B45" w:rsidP="00123D76">
            <w:pPr>
              <w:jc w:val="center"/>
              <w:rPr>
                <w:bCs/>
                <w:color w:val="000000" w:themeColor="text1"/>
              </w:rPr>
            </w:pPr>
            <w:r w:rsidRPr="00781112">
              <w:rPr>
                <w:bCs/>
                <w:color w:val="000000" w:themeColor="text1"/>
              </w:rPr>
              <w:t>98.62%</w:t>
            </w:r>
          </w:p>
        </w:tc>
      </w:tr>
    </w:tbl>
    <w:p w14:paraId="0C706E5F" w14:textId="77777777" w:rsidR="00126B45" w:rsidRPr="00781112" w:rsidRDefault="00126B4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1HISTDATA"/>
      </w:tblPr>
      <w:tblGrid>
        <w:gridCol w:w="1798"/>
        <w:gridCol w:w="1798"/>
        <w:gridCol w:w="1798"/>
        <w:gridCol w:w="1798"/>
        <w:gridCol w:w="1798"/>
        <w:gridCol w:w="1800"/>
      </w:tblGrid>
      <w:tr w:rsidR="005C29F8" w:rsidRPr="00781112" w14:paraId="185735BC" w14:textId="77777777" w:rsidTr="005F2FF9">
        <w:trPr>
          <w:trHeight w:val="350"/>
        </w:trPr>
        <w:tc>
          <w:tcPr>
            <w:tcW w:w="833" w:type="pct"/>
            <w:tcBorders>
              <w:bottom w:val="single" w:sz="4" w:space="0" w:color="auto"/>
            </w:tcBorders>
            <w:shd w:val="clear" w:color="auto" w:fill="auto"/>
          </w:tcPr>
          <w:p w14:paraId="40BFC57F" w14:textId="77777777" w:rsidR="00B6413B" w:rsidRPr="00781112" w:rsidRDefault="00B6413B"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80872C1" w14:textId="09E6591B" w:rsidR="00B6413B"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172712E2" w14:textId="17CB7B21" w:rsidR="00B6413B"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510C277D" w14:textId="7361F007" w:rsidR="00B6413B"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5A53D9E0" w14:textId="2FECDD8F" w:rsidR="00B6413B" w:rsidRPr="00781112" w:rsidRDefault="002B7490" w:rsidP="00B6413B">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5DDA3CB1" w14:textId="7CA07026" w:rsidR="00B6413B" w:rsidRPr="00781112" w:rsidRDefault="002B7490" w:rsidP="00B6413B">
            <w:pPr>
              <w:jc w:val="center"/>
              <w:rPr>
                <w:rFonts w:cs="Arial"/>
                <w:b/>
                <w:color w:val="000000" w:themeColor="text1"/>
                <w:szCs w:val="16"/>
              </w:rPr>
            </w:pPr>
            <w:r w:rsidRPr="00781112">
              <w:rPr>
                <w:rFonts w:cs="Arial"/>
                <w:b/>
                <w:color w:val="000000" w:themeColor="text1"/>
                <w:szCs w:val="16"/>
              </w:rPr>
              <w:t>2022</w:t>
            </w:r>
          </w:p>
        </w:tc>
      </w:tr>
      <w:tr w:rsidR="005C29F8" w:rsidRPr="00781112" w14:paraId="1D8C5E85" w14:textId="77777777" w:rsidTr="005F2FF9">
        <w:trPr>
          <w:trHeight w:val="357"/>
        </w:trPr>
        <w:tc>
          <w:tcPr>
            <w:tcW w:w="833" w:type="pct"/>
            <w:shd w:val="clear" w:color="auto" w:fill="auto"/>
          </w:tcPr>
          <w:p w14:paraId="64B52232" w14:textId="1F81B17C" w:rsidR="00B6413B" w:rsidRPr="00781112" w:rsidRDefault="00B6413B"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13EDBB26" w14:textId="03929D2F"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2315242" w14:textId="2AA4BC03"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592D8352" w14:textId="0CCD91D0"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213B65B" w14:textId="455FA06B"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0947AB89" w14:textId="009A0A22" w:rsidR="00B6413B" w:rsidRPr="00781112" w:rsidRDefault="00B16A26">
            <w:pPr>
              <w:jc w:val="center"/>
              <w:rPr>
                <w:rFonts w:cs="Arial"/>
                <w:color w:val="000000" w:themeColor="text1"/>
                <w:szCs w:val="16"/>
              </w:rPr>
            </w:pPr>
            <w:r w:rsidRPr="00781112">
              <w:rPr>
                <w:rFonts w:cs="Arial"/>
                <w:color w:val="000000" w:themeColor="text1"/>
                <w:szCs w:val="16"/>
              </w:rPr>
              <w:t>100%</w:t>
            </w:r>
          </w:p>
        </w:tc>
      </w:tr>
      <w:tr w:rsidR="005C29F8" w:rsidRPr="00781112" w14:paraId="034A91A9" w14:textId="77777777" w:rsidTr="005F2FF9">
        <w:trPr>
          <w:trHeight w:val="85"/>
        </w:trPr>
        <w:tc>
          <w:tcPr>
            <w:tcW w:w="833" w:type="pct"/>
            <w:shd w:val="clear" w:color="auto" w:fill="auto"/>
          </w:tcPr>
          <w:p w14:paraId="2D12CD30" w14:textId="77777777" w:rsidR="00B6413B" w:rsidRPr="00781112" w:rsidRDefault="00B6413B"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45567F1B" w14:textId="15BD6387" w:rsidR="00B6413B" w:rsidRPr="00781112" w:rsidRDefault="002B7490" w:rsidP="00A018D4">
            <w:pPr>
              <w:jc w:val="center"/>
              <w:rPr>
                <w:rFonts w:cs="Arial"/>
                <w:color w:val="000000" w:themeColor="text1"/>
                <w:szCs w:val="16"/>
              </w:rPr>
            </w:pPr>
            <w:r w:rsidRPr="00781112">
              <w:rPr>
                <w:rFonts w:cs="Arial"/>
                <w:color w:val="000000" w:themeColor="text1"/>
                <w:szCs w:val="16"/>
              </w:rPr>
              <w:t>96.70%</w:t>
            </w:r>
          </w:p>
        </w:tc>
        <w:tc>
          <w:tcPr>
            <w:tcW w:w="833" w:type="pct"/>
            <w:shd w:val="clear" w:color="auto" w:fill="auto"/>
          </w:tcPr>
          <w:p w14:paraId="22571264" w14:textId="18DEE061" w:rsidR="00B6413B" w:rsidRPr="00781112" w:rsidRDefault="002B7490" w:rsidP="00A018D4">
            <w:pPr>
              <w:jc w:val="center"/>
              <w:rPr>
                <w:rFonts w:cs="Arial"/>
                <w:color w:val="000000" w:themeColor="text1"/>
                <w:szCs w:val="16"/>
              </w:rPr>
            </w:pPr>
            <w:r w:rsidRPr="00781112">
              <w:rPr>
                <w:rFonts w:cs="Arial"/>
                <w:color w:val="000000" w:themeColor="text1"/>
                <w:szCs w:val="16"/>
              </w:rPr>
              <w:t>98.62%</w:t>
            </w:r>
          </w:p>
        </w:tc>
        <w:tc>
          <w:tcPr>
            <w:tcW w:w="833" w:type="pct"/>
            <w:tcBorders>
              <w:bottom w:val="single" w:sz="4" w:space="0" w:color="auto"/>
            </w:tcBorders>
            <w:shd w:val="clear" w:color="auto" w:fill="auto"/>
            <w:vAlign w:val="center"/>
          </w:tcPr>
          <w:p w14:paraId="0169492B" w14:textId="35C25712" w:rsidR="00B6413B" w:rsidRPr="00781112" w:rsidRDefault="002B7490" w:rsidP="00A018D4">
            <w:pPr>
              <w:jc w:val="center"/>
              <w:rPr>
                <w:rFonts w:cs="Arial"/>
                <w:color w:val="000000" w:themeColor="text1"/>
                <w:szCs w:val="16"/>
              </w:rPr>
            </w:pPr>
            <w:r w:rsidRPr="00781112">
              <w:rPr>
                <w:rFonts w:cs="Arial"/>
                <w:color w:val="000000" w:themeColor="text1"/>
                <w:szCs w:val="16"/>
              </w:rPr>
              <w:t>96.46%</w:t>
            </w:r>
          </w:p>
        </w:tc>
        <w:tc>
          <w:tcPr>
            <w:tcW w:w="833" w:type="pct"/>
            <w:tcBorders>
              <w:bottom w:val="single" w:sz="4" w:space="0" w:color="auto"/>
            </w:tcBorders>
            <w:shd w:val="clear" w:color="auto" w:fill="auto"/>
            <w:vAlign w:val="center"/>
          </w:tcPr>
          <w:p w14:paraId="3F28AAFF" w14:textId="54CE0344" w:rsidR="00B6413B" w:rsidRPr="00781112" w:rsidRDefault="002B7490" w:rsidP="00A018D4">
            <w:pPr>
              <w:jc w:val="center"/>
              <w:rPr>
                <w:rFonts w:cs="Arial"/>
                <w:color w:val="000000" w:themeColor="text1"/>
                <w:szCs w:val="16"/>
              </w:rPr>
            </w:pPr>
            <w:r w:rsidRPr="00781112">
              <w:rPr>
                <w:rFonts w:cs="Arial"/>
                <w:color w:val="000000" w:themeColor="text1"/>
                <w:szCs w:val="16"/>
              </w:rPr>
              <w:t>97.02%</w:t>
            </w:r>
          </w:p>
        </w:tc>
        <w:tc>
          <w:tcPr>
            <w:tcW w:w="834" w:type="pct"/>
            <w:tcBorders>
              <w:bottom w:val="single" w:sz="4" w:space="0" w:color="auto"/>
            </w:tcBorders>
            <w:shd w:val="clear" w:color="auto" w:fill="auto"/>
            <w:vAlign w:val="center"/>
          </w:tcPr>
          <w:p w14:paraId="1634D135" w14:textId="4B1B8A56" w:rsidR="00B6413B" w:rsidRPr="00781112" w:rsidRDefault="002B7490" w:rsidP="00A018D4">
            <w:pPr>
              <w:jc w:val="center"/>
              <w:rPr>
                <w:rFonts w:cs="Arial"/>
                <w:color w:val="000000" w:themeColor="text1"/>
                <w:szCs w:val="16"/>
              </w:rPr>
            </w:pPr>
            <w:r w:rsidRPr="00781112">
              <w:rPr>
                <w:rFonts w:cs="Arial"/>
                <w:color w:val="000000" w:themeColor="text1"/>
                <w:szCs w:val="16"/>
              </w:rPr>
              <w:t>95.71%</w:t>
            </w:r>
          </w:p>
        </w:tc>
      </w:tr>
    </w:tbl>
    <w:p w14:paraId="4B68E2EB" w14:textId="77777777" w:rsidR="00DE2E22" w:rsidRPr="00781112" w:rsidRDefault="00DE2E22" w:rsidP="004369B2">
      <w:pPr>
        <w:rPr>
          <w:color w:val="000000" w:themeColor="text1"/>
        </w:rPr>
      </w:pPr>
    </w:p>
    <w:p w14:paraId="665BBDF2" w14:textId="3C595D9B" w:rsidR="007A3964" w:rsidRPr="00781112" w:rsidRDefault="007A3964" w:rsidP="004369B2">
      <w:pPr>
        <w:rPr>
          <w:color w:val="000000" w:themeColor="text1"/>
        </w:rPr>
      </w:pPr>
      <w:r w:rsidRPr="00781112">
        <w:rPr>
          <w:b/>
          <w:color w:val="000000" w:themeColor="text1"/>
        </w:rPr>
        <w:t>Targets</w:t>
      </w:r>
    </w:p>
    <w:tbl>
      <w:tblPr>
        <w:tblW w:w="3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TARGETS"/>
      </w:tblPr>
      <w:tblGrid>
        <w:gridCol w:w="679"/>
        <w:gridCol w:w="2397"/>
        <w:gridCol w:w="2570"/>
        <w:gridCol w:w="2570"/>
      </w:tblGrid>
      <w:tr w:rsidR="007F76DD" w:rsidRPr="00781112" w14:paraId="76DFECC2" w14:textId="07DDD47D" w:rsidTr="007F76DD">
        <w:trPr>
          <w:trHeight w:val="460"/>
        </w:trPr>
        <w:tc>
          <w:tcPr>
            <w:tcW w:w="406" w:type="pct"/>
            <w:tcBorders>
              <w:bottom w:val="single" w:sz="4" w:space="0" w:color="auto"/>
            </w:tcBorders>
            <w:shd w:val="clear" w:color="auto" w:fill="auto"/>
          </w:tcPr>
          <w:p w14:paraId="6892E70C" w14:textId="77777777" w:rsidR="007F76DD" w:rsidRPr="00781112" w:rsidRDefault="007F76DD" w:rsidP="00487DD1">
            <w:pPr>
              <w:jc w:val="center"/>
              <w:rPr>
                <w:b/>
                <w:color w:val="000000" w:themeColor="text1"/>
              </w:rPr>
            </w:pPr>
            <w:r w:rsidRPr="00781112">
              <w:rPr>
                <w:b/>
                <w:color w:val="000000" w:themeColor="text1"/>
              </w:rPr>
              <w:t>FFY</w:t>
            </w:r>
          </w:p>
        </w:tc>
        <w:tc>
          <w:tcPr>
            <w:tcW w:w="1461" w:type="pct"/>
            <w:shd w:val="clear" w:color="auto" w:fill="auto"/>
          </w:tcPr>
          <w:p w14:paraId="66B6940B" w14:textId="77777777" w:rsidR="007F76DD" w:rsidRPr="00781112" w:rsidRDefault="007F76DD" w:rsidP="00487DD1">
            <w:pPr>
              <w:jc w:val="center"/>
              <w:rPr>
                <w:b/>
                <w:color w:val="000000" w:themeColor="text1"/>
              </w:rPr>
            </w:pPr>
            <w:r w:rsidRPr="00781112">
              <w:rPr>
                <w:b/>
                <w:color w:val="000000" w:themeColor="text1"/>
              </w:rPr>
              <w:t>2023</w:t>
            </w:r>
          </w:p>
        </w:tc>
        <w:tc>
          <w:tcPr>
            <w:tcW w:w="1566" w:type="pct"/>
          </w:tcPr>
          <w:p w14:paraId="642D6D44" w14:textId="2A5BD9E4" w:rsidR="007F76DD" w:rsidRPr="00781112" w:rsidRDefault="007F76DD" w:rsidP="00487DD1">
            <w:pPr>
              <w:jc w:val="center"/>
              <w:rPr>
                <w:b/>
                <w:color w:val="000000" w:themeColor="text1"/>
              </w:rPr>
            </w:pPr>
            <w:r w:rsidRPr="00781112">
              <w:rPr>
                <w:rFonts w:cs="Arial"/>
                <w:b/>
                <w:color w:val="000000" w:themeColor="text1"/>
                <w:szCs w:val="16"/>
              </w:rPr>
              <w:t>2024</w:t>
            </w:r>
          </w:p>
        </w:tc>
        <w:tc>
          <w:tcPr>
            <w:tcW w:w="1566" w:type="pct"/>
          </w:tcPr>
          <w:p w14:paraId="3DC5C0D5" w14:textId="20C2B807" w:rsidR="007F76DD" w:rsidRPr="00781112" w:rsidRDefault="007F76DD" w:rsidP="00487DD1">
            <w:pPr>
              <w:jc w:val="center"/>
              <w:rPr>
                <w:b/>
                <w:color w:val="000000" w:themeColor="text1"/>
              </w:rPr>
            </w:pPr>
            <w:r w:rsidRPr="00781112">
              <w:rPr>
                <w:rFonts w:cs="Arial"/>
                <w:b/>
                <w:color w:val="000000" w:themeColor="text1"/>
                <w:szCs w:val="16"/>
              </w:rPr>
              <w:t>2025</w:t>
            </w:r>
          </w:p>
        </w:tc>
      </w:tr>
      <w:tr w:rsidR="007F76DD" w:rsidRPr="00781112" w14:paraId="3EC10007" w14:textId="1FF3F876" w:rsidTr="007F76DD">
        <w:trPr>
          <w:trHeight w:val="469"/>
        </w:trPr>
        <w:tc>
          <w:tcPr>
            <w:tcW w:w="406" w:type="pct"/>
            <w:shd w:val="clear" w:color="auto" w:fill="auto"/>
            <w:vAlign w:val="center"/>
          </w:tcPr>
          <w:p w14:paraId="078AD14E" w14:textId="4163BE23" w:rsidR="007F76DD" w:rsidRPr="00781112" w:rsidRDefault="007F76DD" w:rsidP="00BA3DBE">
            <w:pPr>
              <w:jc w:val="center"/>
              <w:rPr>
                <w:rFonts w:cs="Arial"/>
                <w:color w:val="000000" w:themeColor="text1"/>
                <w:szCs w:val="16"/>
              </w:rPr>
            </w:pPr>
            <w:r w:rsidRPr="00781112">
              <w:rPr>
                <w:rFonts w:cs="Arial"/>
                <w:color w:val="000000" w:themeColor="text1"/>
                <w:szCs w:val="16"/>
              </w:rPr>
              <w:t>Target</w:t>
            </w:r>
          </w:p>
        </w:tc>
        <w:tc>
          <w:tcPr>
            <w:tcW w:w="1461" w:type="pct"/>
            <w:shd w:val="clear" w:color="auto" w:fill="auto"/>
            <w:vAlign w:val="center"/>
          </w:tcPr>
          <w:p w14:paraId="738C5681" w14:textId="308364FD" w:rsidR="007F76DD" w:rsidRPr="00781112" w:rsidRDefault="007F76DD" w:rsidP="00487DD1">
            <w:pPr>
              <w:jc w:val="center"/>
              <w:rPr>
                <w:rFonts w:cs="Arial"/>
                <w:color w:val="000000" w:themeColor="text1"/>
                <w:szCs w:val="16"/>
              </w:rPr>
            </w:pPr>
            <w:r w:rsidRPr="00781112">
              <w:rPr>
                <w:rFonts w:cs="Arial"/>
                <w:color w:val="000000" w:themeColor="text1"/>
                <w:szCs w:val="16"/>
              </w:rPr>
              <w:t>100%</w:t>
            </w:r>
          </w:p>
        </w:tc>
        <w:tc>
          <w:tcPr>
            <w:tcW w:w="1566" w:type="pct"/>
          </w:tcPr>
          <w:p w14:paraId="6D8F87FA" w14:textId="469699AF" w:rsidR="007F76DD" w:rsidRPr="00781112" w:rsidRDefault="007F76DD" w:rsidP="00487DD1">
            <w:pPr>
              <w:jc w:val="center"/>
              <w:rPr>
                <w:rFonts w:cs="Arial"/>
                <w:color w:val="000000" w:themeColor="text1"/>
                <w:szCs w:val="16"/>
              </w:rPr>
            </w:pPr>
            <w:r w:rsidRPr="00781112">
              <w:rPr>
                <w:color w:val="000000" w:themeColor="text1"/>
                <w:szCs w:val="16"/>
              </w:rPr>
              <w:t>100%</w:t>
            </w:r>
          </w:p>
        </w:tc>
        <w:tc>
          <w:tcPr>
            <w:tcW w:w="1566" w:type="pct"/>
          </w:tcPr>
          <w:p w14:paraId="36607C1B" w14:textId="54CF66D1" w:rsidR="007F76DD" w:rsidRPr="00781112" w:rsidRDefault="007F76DD" w:rsidP="00487DD1">
            <w:pPr>
              <w:jc w:val="center"/>
              <w:rPr>
                <w:rFonts w:cs="Arial"/>
                <w:color w:val="000000" w:themeColor="text1"/>
                <w:szCs w:val="16"/>
              </w:rPr>
            </w:pPr>
            <w:r w:rsidRPr="00781112">
              <w:rPr>
                <w:color w:val="000000" w:themeColor="text1"/>
                <w:szCs w:val="16"/>
              </w:rPr>
              <w:t>100%</w:t>
            </w:r>
          </w:p>
        </w:tc>
      </w:tr>
    </w:tbl>
    <w:p w14:paraId="5CBD7BB2" w14:textId="77777777" w:rsidR="00DE2E22" w:rsidRPr="00781112" w:rsidRDefault="00DE2E22" w:rsidP="004369B2">
      <w:pPr>
        <w:rPr>
          <w:color w:val="000000" w:themeColor="text1"/>
        </w:rPr>
      </w:pPr>
    </w:p>
    <w:bookmarkEnd w:id="66"/>
    <w:bookmarkEnd w:id="67"/>
    <w:p w14:paraId="3FAEB3AB" w14:textId="77553BF1" w:rsidR="00D03701" w:rsidRPr="00781112" w:rsidRDefault="0047313F" w:rsidP="004369B2">
      <w:pPr>
        <w:rPr>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CFFYAPRDATA"/>
      </w:tblPr>
      <w:tblGrid>
        <w:gridCol w:w="1462"/>
        <w:gridCol w:w="1363"/>
        <w:gridCol w:w="1407"/>
        <w:gridCol w:w="2123"/>
        <w:gridCol w:w="1265"/>
        <w:gridCol w:w="1612"/>
        <w:gridCol w:w="1558"/>
      </w:tblGrid>
      <w:tr w:rsidR="00B1652C" w:rsidRPr="00781112" w14:paraId="4D51CA61" w14:textId="77777777" w:rsidTr="008227D4">
        <w:trPr>
          <w:trHeight w:val="357"/>
          <w:tblHeader/>
        </w:trPr>
        <w:tc>
          <w:tcPr>
            <w:tcW w:w="677" w:type="pct"/>
            <w:shd w:val="clear" w:color="auto" w:fill="auto"/>
            <w:vAlign w:val="bottom"/>
          </w:tcPr>
          <w:p w14:paraId="2C2F907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(a) Number of children for whom parental consent to evaluate was received</w:t>
            </w:r>
          </w:p>
        </w:tc>
        <w:tc>
          <w:tcPr>
            <w:tcW w:w="631" w:type="pct"/>
            <w:shd w:val="clear" w:color="auto" w:fill="auto"/>
            <w:vAlign w:val="bottom"/>
          </w:tcPr>
          <w:p w14:paraId="37C63445"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(b) Number of children whose evaluations were completed within 60 days (or State-established timeline)</w:t>
            </w:r>
          </w:p>
        </w:tc>
        <w:tc>
          <w:tcPr>
            <w:tcW w:w="652" w:type="pct"/>
            <w:shd w:val="clear" w:color="auto" w:fill="auto"/>
            <w:vAlign w:val="bottom"/>
          </w:tcPr>
          <w:p w14:paraId="0F3587FA" w14:textId="1BE978E6" w:rsidR="00B1652C" w:rsidRPr="00CC1061" w:rsidRDefault="00B1652C" w:rsidP="00B1652C">
            <w:pPr>
              <w:jc w:val="center"/>
              <w:rPr>
                <w:rFonts w:cs="Arial"/>
                <w:b/>
                <w:bCs/>
                <w:color w:val="000000" w:themeColor="text1"/>
                <w:szCs w:val="16"/>
              </w:rPr>
            </w:pPr>
            <w:r w:rsidRPr="00CC1061">
              <w:rPr>
                <w:b/>
                <w:bCs/>
              </w:rPr>
              <w:t>FFY 2022 Data</w:t>
            </w:r>
          </w:p>
        </w:tc>
        <w:tc>
          <w:tcPr>
            <w:tcW w:w="984" w:type="pct"/>
            <w:shd w:val="clear" w:color="auto" w:fill="auto"/>
            <w:vAlign w:val="bottom"/>
          </w:tcPr>
          <w:p w14:paraId="46349806" w14:textId="66CFDC34" w:rsidR="00B1652C" w:rsidRPr="00CC1061" w:rsidRDefault="00B1652C" w:rsidP="00B1652C">
            <w:pPr>
              <w:jc w:val="center"/>
              <w:rPr>
                <w:rFonts w:cs="Arial"/>
                <w:b/>
                <w:bCs/>
                <w:color w:val="000000" w:themeColor="text1"/>
                <w:szCs w:val="16"/>
              </w:rPr>
            </w:pPr>
            <w:r w:rsidRPr="00CC1061">
              <w:rPr>
                <w:b/>
                <w:bCs/>
              </w:rPr>
              <w:t>FFY 2023 Target</w:t>
            </w:r>
          </w:p>
        </w:tc>
        <w:tc>
          <w:tcPr>
            <w:tcW w:w="586" w:type="pct"/>
            <w:shd w:val="clear" w:color="auto" w:fill="auto"/>
            <w:vAlign w:val="bottom"/>
          </w:tcPr>
          <w:p w14:paraId="789B0350" w14:textId="4F3FB020" w:rsidR="00B1652C" w:rsidRPr="00CC1061" w:rsidRDefault="00B1652C" w:rsidP="00B1652C">
            <w:pPr>
              <w:jc w:val="center"/>
              <w:rPr>
                <w:rFonts w:cs="Arial"/>
                <w:b/>
                <w:bCs/>
                <w:color w:val="000000" w:themeColor="text1"/>
                <w:szCs w:val="16"/>
              </w:rPr>
            </w:pPr>
            <w:r w:rsidRPr="00CC1061">
              <w:rPr>
                <w:b/>
                <w:bCs/>
              </w:rPr>
              <w:t>FFY 2023 Data</w:t>
            </w:r>
          </w:p>
        </w:tc>
        <w:tc>
          <w:tcPr>
            <w:tcW w:w="747" w:type="pct"/>
            <w:shd w:val="clear" w:color="auto" w:fill="auto"/>
            <w:vAlign w:val="bottom"/>
          </w:tcPr>
          <w:p w14:paraId="1F8A5D0B" w14:textId="1CA25A33"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22" w:type="pct"/>
            <w:shd w:val="clear" w:color="auto" w:fill="auto"/>
            <w:vAlign w:val="bottom"/>
          </w:tcPr>
          <w:p w14:paraId="072F67FA" w14:textId="0AF25FE9"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601FAE62" w14:textId="77777777" w:rsidTr="008227D4">
        <w:tblPrEx>
          <w:jc w:val="center"/>
        </w:tblPrEx>
        <w:trPr>
          <w:trHeight w:val="361"/>
          <w:jc w:val="center"/>
        </w:trPr>
        <w:tc>
          <w:tcPr>
            <w:tcW w:w="677" w:type="pct"/>
            <w:shd w:val="clear" w:color="auto" w:fill="auto"/>
            <w:vAlign w:val="center"/>
          </w:tcPr>
          <w:p w14:paraId="40E44618" w14:textId="45B3AEC4" w:rsidR="00227DE4" w:rsidRPr="00781112" w:rsidRDefault="002B7490" w:rsidP="004369B2">
            <w:pPr>
              <w:jc w:val="center"/>
              <w:rPr>
                <w:rFonts w:cs="Arial"/>
                <w:color w:val="000000" w:themeColor="text1"/>
                <w:szCs w:val="16"/>
              </w:rPr>
            </w:pPr>
            <w:r w:rsidRPr="00781112">
              <w:rPr>
                <w:rFonts w:cs="Arial"/>
                <w:color w:val="000000" w:themeColor="text1"/>
                <w:szCs w:val="16"/>
              </w:rPr>
              <w:t>10,038</w:t>
            </w:r>
          </w:p>
        </w:tc>
        <w:tc>
          <w:tcPr>
            <w:tcW w:w="631" w:type="pct"/>
            <w:shd w:val="clear" w:color="auto" w:fill="auto"/>
          </w:tcPr>
          <w:p w14:paraId="12D46373" w14:textId="70B5728E" w:rsidR="00227DE4" w:rsidRPr="00781112" w:rsidRDefault="002B7490" w:rsidP="004369B2">
            <w:pPr>
              <w:jc w:val="center"/>
              <w:rPr>
                <w:rFonts w:cs="Arial"/>
                <w:color w:val="000000" w:themeColor="text1"/>
                <w:szCs w:val="16"/>
              </w:rPr>
            </w:pPr>
            <w:r w:rsidRPr="00781112">
              <w:rPr>
                <w:rFonts w:cs="Arial"/>
                <w:color w:val="000000" w:themeColor="text1"/>
                <w:szCs w:val="16"/>
              </w:rPr>
              <w:t>9,960</w:t>
            </w:r>
          </w:p>
        </w:tc>
        <w:tc>
          <w:tcPr>
            <w:tcW w:w="652" w:type="pct"/>
            <w:shd w:val="clear" w:color="auto" w:fill="auto"/>
          </w:tcPr>
          <w:p w14:paraId="78F7DC6F" w14:textId="0C25E273" w:rsidR="00227DE4" w:rsidRPr="00781112" w:rsidRDefault="002B7490" w:rsidP="004369B2">
            <w:pPr>
              <w:jc w:val="center"/>
              <w:rPr>
                <w:rFonts w:cs="Arial"/>
                <w:color w:val="000000" w:themeColor="text1"/>
                <w:szCs w:val="16"/>
              </w:rPr>
            </w:pPr>
            <w:r w:rsidRPr="00781112">
              <w:rPr>
                <w:rFonts w:cs="Arial"/>
                <w:color w:val="000000" w:themeColor="text1"/>
                <w:szCs w:val="16"/>
              </w:rPr>
              <w:t>95.71%</w:t>
            </w:r>
          </w:p>
        </w:tc>
        <w:tc>
          <w:tcPr>
            <w:tcW w:w="984" w:type="pct"/>
            <w:shd w:val="clear" w:color="auto" w:fill="auto"/>
          </w:tcPr>
          <w:p w14:paraId="57D08E3A" w14:textId="02A6843C" w:rsidR="00227DE4"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86" w:type="pct"/>
            <w:shd w:val="clear" w:color="auto" w:fill="auto"/>
          </w:tcPr>
          <w:p w14:paraId="76ED234E" w14:textId="0761C4C5" w:rsidR="00227DE4" w:rsidRPr="00781112" w:rsidRDefault="002B7490" w:rsidP="004369B2">
            <w:pPr>
              <w:jc w:val="center"/>
              <w:rPr>
                <w:rFonts w:cs="Arial"/>
                <w:color w:val="000000" w:themeColor="text1"/>
                <w:szCs w:val="16"/>
              </w:rPr>
            </w:pPr>
            <w:r w:rsidRPr="00781112">
              <w:rPr>
                <w:rFonts w:cs="Arial"/>
                <w:color w:val="000000" w:themeColor="text1"/>
                <w:szCs w:val="16"/>
              </w:rPr>
              <w:t>99.22%</w:t>
            </w:r>
          </w:p>
        </w:tc>
        <w:tc>
          <w:tcPr>
            <w:tcW w:w="747" w:type="pct"/>
            <w:shd w:val="clear" w:color="auto" w:fill="auto"/>
          </w:tcPr>
          <w:p w14:paraId="0270582F" w14:textId="73E1CA33" w:rsidR="00227DE4"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22" w:type="pct"/>
            <w:shd w:val="clear" w:color="auto" w:fill="auto"/>
          </w:tcPr>
          <w:p w14:paraId="2AF3A578" w14:textId="64369F07" w:rsidR="00227DE4"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0FCD0E7" w14:textId="5068539E" w:rsidR="00596F83" w:rsidRPr="00781112" w:rsidRDefault="00596F83" w:rsidP="007D435F">
      <w:pPr>
        <w:rPr>
          <w:rFonts w:cs="Arial"/>
          <w:b/>
          <w:color w:val="000000" w:themeColor="text1"/>
          <w:szCs w:val="16"/>
        </w:rPr>
      </w:pPr>
      <w:r w:rsidRPr="00781112">
        <w:rPr>
          <w:rFonts w:cs="Arial"/>
          <w:b/>
          <w:color w:val="000000" w:themeColor="text1"/>
          <w:szCs w:val="16"/>
        </w:rPr>
        <w:t>Number of children included in (a) but not included in (b)</w:t>
      </w:r>
    </w:p>
    <w:p w14:paraId="500E5C8C" w14:textId="708E8E06" w:rsidR="00596F83" w:rsidRPr="00781112" w:rsidRDefault="00596F83" w:rsidP="007D435F">
      <w:pPr>
        <w:rPr>
          <w:rFonts w:cs="Arial"/>
          <w:color w:val="000000" w:themeColor="text1"/>
          <w:szCs w:val="16"/>
        </w:rPr>
      </w:pPr>
      <w:r w:rsidRPr="00781112">
        <w:rPr>
          <w:rFonts w:cs="Arial"/>
          <w:color w:val="000000" w:themeColor="text1"/>
          <w:szCs w:val="16"/>
        </w:rPr>
        <w:t>78</w:t>
      </w:r>
    </w:p>
    <w:p w14:paraId="59300647" w14:textId="301BC4BA" w:rsidR="00E418E6" w:rsidRPr="00781112" w:rsidRDefault="00481536" w:rsidP="006A01BD">
      <w:pPr>
        <w:rPr>
          <w:b/>
          <w:color w:val="000000" w:themeColor="text1"/>
        </w:rPr>
      </w:pPr>
      <w:r w:rsidRPr="00781112">
        <w:rPr>
          <w:b/>
          <w:color w:val="000000" w:themeColor="text1"/>
        </w:rPr>
        <w:t>Account for children included in (a) but not included in (b). Indicate the range of days beyond the timeline when the evaluation was completed and any reasons for the delays.</w:t>
      </w:r>
    </w:p>
    <w:p w14:paraId="7FF7A4DA" w14:textId="602A3FE9" w:rsidR="00481536" w:rsidRPr="00781112" w:rsidRDefault="002B7490" w:rsidP="006A01BD">
      <w:pPr>
        <w:rPr>
          <w:color w:val="000000" w:themeColor="text1"/>
        </w:rPr>
      </w:pPr>
      <w:r w:rsidRPr="00781112">
        <w:rPr>
          <w:color w:val="000000" w:themeColor="text1"/>
        </w:rPr>
        <w:t>The range of days beyond West Virginia’s 80 calendar-day timeline when the evaluations were completed was 1- 127 days.</w:t>
      </w:r>
      <w:r w:rsidRPr="00781112">
        <w:rPr>
          <w:color w:val="000000" w:themeColor="text1"/>
        </w:rPr>
        <w:br/>
      </w:r>
      <w:r w:rsidRPr="00781112">
        <w:rPr>
          <w:color w:val="000000" w:themeColor="text1"/>
        </w:rPr>
        <w:br/>
        <w:t>A breakdown of the number and reasons for the 78 delayed evaluations follows:</w:t>
      </w:r>
      <w:r w:rsidRPr="00781112">
        <w:rPr>
          <w:color w:val="000000" w:themeColor="text1"/>
        </w:rPr>
        <w:br/>
      </w:r>
      <w:r w:rsidRPr="00781112">
        <w:rPr>
          <w:color w:val="000000" w:themeColor="text1"/>
        </w:rPr>
        <w:br/>
        <w:t>3 — Eligibility committee reconvened at parent request to consider additional evaluations</w:t>
      </w:r>
      <w:r w:rsidRPr="00781112">
        <w:rPr>
          <w:color w:val="000000" w:themeColor="text1"/>
        </w:rPr>
        <w:br/>
        <w:t>6 — Excessive student absences</w:t>
      </w:r>
      <w:r w:rsidRPr="00781112">
        <w:rPr>
          <w:color w:val="000000" w:themeColor="text1"/>
        </w:rPr>
        <w:br/>
        <w:t>19 — Eligibility committee meeting exceeded timelines due to documented parent request for rescheduling</w:t>
      </w:r>
      <w:r w:rsidRPr="00781112">
        <w:rPr>
          <w:color w:val="000000" w:themeColor="text1"/>
        </w:rPr>
        <w:br/>
        <w:t>50 — District error</w:t>
      </w:r>
    </w:p>
    <w:p w14:paraId="4FE2B83B" w14:textId="50CDAD1F" w:rsidR="00596F83" w:rsidRPr="00781112" w:rsidRDefault="00596F83" w:rsidP="00596F83">
      <w:pPr>
        <w:rPr>
          <w:rFonts w:cs="Arial"/>
          <w:b/>
          <w:color w:val="000000" w:themeColor="text1"/>
          <w:szCs w:val="16"/>
        </w:rPr>
      </w:pPr>
      <w:r w:rsidRPr="00781112">
        <w:rPr>
          <w:rFonts w:cs="Arial"/>
          <w:b/>
          <w:color w:val="000000" w:themeColor="text1"/>
          <w:szCs w:val="16"/>
        </w:rPr>
        <w:t>Indicate the evaluation timeline used:</w:t>
      </w:r>
    </w:p>
    <w:p w14:paraId="7D77618A" w14:textId="3A3B87A2" w:rsidR="00596F83" w:rsidRPr="00781112" w:rsidRDefault="00596F83" w:rsidP="004369B2">
      <w:pPr>
        <w:rPr>
          <w:rFonts w:cs="Arial"/>
          <w:color w:val="000000" w:themeColor="text1"/>
          <w:szCs w:val="16"/>
        </w:rPr>
      </w:pPr>
      <w:r w:rsidRPr="00781112">
        <w:rPr>
          <w:rFonts w:cs="Arial"/>
          <w:color w:val="000000" w:themeColor="text1"/>
          <w:szCs w:val="16"/>
        </w:rPr>
        <w:t>The State established a timeline within which the evaluation must be conducted</w:t>
      </w:r>
    </w:p>
    <w:p w14:paraId="7D54DFB3" w14:textId="4948BCA9" w:rsidR="00E418E6" w:rsidRPr="00781112" w:rsidRDefault="00481536" w:rsidP="001011BB">
      <w:pPr>
        <w:tabs>
          <w:tab w:val="left" w:pos="751"/>
        </w:tabs>
        <w:rPr>
          <w:rFonts w:cs="Arial"/>
          <w:b/>
          <w:color w:val="000000" w:themeColor="text1"/>
          <w:szCs w:val="16"/>
        </w:rPr>
      </w:pPr>
      <w:r w:rsidRPr="00781112">
        <w:rPr>
          <w:rFonts w:cs="Arial"/>
          <w:b/>
          <w:color w:val="000000" w:themeColor="text1"/>
          <w:szCs w:val="16"/>
        </w:rPr>
        <w:t>What is the State’s timeline for initial evaluations? If the State-established timeframe provides for exceptions through State regulation or policy, describe cases falling within those exceptions and include in (b).</w:t>
      </w:r>
    </w:p>
    <w:p w14:paraId="396060FF" w14:textId="37C040FE" w:rsidR="00481536" w:rsidRPr="00781112" w:rsidRDefault="002B7490" w:rsidP="001011BB">
      <w:pPr>
        <w:tabs>
          <w:tab w:val="left" w:pos="751"/>
        </w:tabs>
        <w:rPr>
          <w:rFonts w:cs="Arial"/>
          <w:color w:val="000000" w:themeColor="text1"/>
          <w:szCs w:val="16"/>
        </w:rPr>
      </w:pPr>
      <w:r w:rsidRPr="00781112">
        <w:rPr>
          <w:rFonts w:cs="Arial"/>
          <w:color w:val="000000" w:themeColor="text1"/>
          <w:szCs w:val="16"/>
        </w:rPr>
        <w:t xml:space="preserve">WVBE Policy 2419 establishes a timeline of 80 calendar days by which initial evaluations must be completed. </w:t>
      </w:r>
      <w:r w:rsidRPr="00781112">
        <w:rPr>
          <w:rFonts w:cs="Arial"/>
          <w:color w:val="000000" w:themeColor="text1"/>
          <w:szCs w:val="16"/>
        </w:rPr>
        <w:br/>
      </w:r>
      <w:r w:rsidRPr="00781112">
        <w:rPr>
          <w:rFonts w:cs="Arial"/>
          <w:color w:val="000000" w:themeColor="text1"/>
          <w:szCs w:val="16"/>
        </w:rPr>
        <w:br/>
        <w:t xml:space="preserve">WVBE Policy 2419 includes the following exceptions to the 80-day timeline: </w:t>
      </w:r>
      <w:r w:rsidRPr="00781112">
        <w:rPr>
          <w:rFonts w:cs="Arial"/>
          <w:color w:val="000000" w:themeColor="text1"/>
          <w:szCs w:val="16"/>
        </w:rPr>
        <w:br/>
        <w:t>1. LEAs are closed due to circumstances resulting in a state of emergency determined by the Governor of West Virginia.</w:t>
      </w:r>
      <w:r w:rsidRPr="00781112">
        <w:rPr>
          <w:rFonts w:cs="Arial"/>
          <w:color w:val="000000" w:themeColor="text1"/>
          <w:szCs w:val="16"/>
        </w:rPr>
        <w:br/>
        <w:t xml:space="preserve">2. LEAs are closed due to weather conditions determined by the LEA Superintendent, and no remote learning options are required. </w:t>
      </w:r>
      <w:r w:rsidRPr="00781112">
        <w:rPr>
          <w:rFonts w:cs="Arial"/>
          <w:color w:val="000000" w:themeColor="text1"/>
          <w:szCs w:val="16"/>
        </w:rPr>
        <w:br/>
        <w:t xml:space="preserve">3. Summer break. </w:t>
      </w:r>
      <w:r w:rsidRPr="00781112">
        <w:rPr>
          <w:rFonts w:cs="Arial"/>
          <w:color w:val="000000" w:themeColor="text1"/>
          <w:szCs w:val="16"/>
        </w:rPr>
        <w:br/>
      </w:r>
      <w:r w:rsidRPr="00781112">
        <w:rPr>
          <w:rFonts w:cs="Arial"/>
          <w:color w:val="000000" w:themeColor="text1"/>
          <w:szCs w:val="16"/>
        </w:rPr>
        <w:br/>
        <w:t>In such cases, the timelines are extended directly proportional to the duration of any state of emergency, weather conditions, or summer break.</w:t>
      </w:r>
    </w:p>
    <w:p w14:paraId="7B602C87" w14:textId="77777777" w:rsidR="00596F83" w:rsidRPr="00781112" w:rsidRDefault="00030B45">
      <w:pPr>
        <w:rPr>
          <w:b/>
          <w:color w:val="000000" w:themeColor="text1"/>
        </w:rPr>
      </w:pPr>
      <w:r w:rsidRPr="00781112">
        <w:rPr>
          <w:b/>
          <w:color w:val="000000" w:themeColor="text1"/>
        </w:rPr>
        <w:t xml:space="preserve">What is the source of the data provided for this indicator? </w:t>
      </w:r>
    </w:p>
    <w:p w14:paraId="6EC5182D" w14:textId="7DE4D103" w:rsidR="00030B45" w:rsidRPr="00781112" w:rsidRDefault="002B7490" w:rsidP="004369B2">
      <w:pPr>
        <w:rPr>
          <w:iCs/>
          <w:color w:val="000000" w:themeColor="text1"/>
        </w:rPr>
      </w:pPr>
      <w:r w:rsidRPr="00781112">
        <w:rPr>
          <w:iCs/>
          <w:color w:val="000000" w:themeColor="text1"/>
        </w:rPr>
        <w:t>State database that includes data for the entire reporting year</w:t>
      </w:r>
    </w:p>
    <w:p w14:paraId="5C41E868" w14:textId="77777777" w:rsidR="00030B45" w:rsidRPr="00781112" w:rsidRDefault="00030B45"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41D2EA17" w14:textId="243E2564" w:rsidR="00326C0B" w:rsidRPr="00781112" w:rsidRDefault="002B7490" w:rsidP="00030B45">
      <w:pPr>
        <w:rPr>
          <w:rFonts w:cs="Arial"/>
          <w:color w:val="000000" w:themeColor="text1"/>
          <w:szCs w:val="16"/>
        </w:rPr>
      </w:pPr>
      <w:r w:rsidRPr="00781112">
        <w:rPr>
          <w:rFonts w:cs="Arial"/>
          <w:color w:val="000000" w:themeColor="text1"/>
          <w:szCs w:val="16"/>
        </w:rPr>
        <w:t xml:space="preserve">All LEAs are required to enter initial evaluation data into the West Virginia Education Informational System (WVEIS), including the referral date, date consent was received, eligibility determination date, eligibility status, primary exceptionality (if eligible), and late reason code (if applicable). The eligibility due dates are auto-calculated after the consent date is entered. </w:t>
      </w:r>
      <w:r w:rsidRPr="00781112">
        <w:rPr>
          <w:rFonts w:cs="Arial"/>
          <w:color w:val="000000" w:themeColor="text1"/>
          <w:szCs w:val="16"/>
        </w:rPr>
        <w:br/>
      </w:r>
      <w:r w:rsidRPr="00781112">
        <w:rPr>
          <w:rFonts w:cs="Arial"/>
          <w:color w:val="000000" w:themeColor="text1"/>
          <w:szCs w:val="16"/>
        </w:rPr>
        <w:br/>
        <w:t xml:space="preserve">The Initial Evaluation (INI.EVAL) application within WVEIS summarizes live Child Find data for each LEA and includes several types of custom reports the SEA and LEA can use for monitoring and review. Each LEA reviews initial evaluation data and submits three (3) progress reports through the INI.EVAL application in December, March, and June of each school year. The submitted progress reports are reviewed by SEA staff and feedback is provided to LEAs as appropriate regarding any concerns or missing data. </w:t>
      </w:r>
      <w:r w:rsidRPr="00781112">
        <w:rPr>
          <w:rFonts w:cs="Arial"/>
          <w:color w:val="000000" w:themeColor="text1"/>
          <w:szCs w:val="16"/>
        </w:rPr>
        <w:br/>
      </w:r>
      <w:r w:rsidRPr="00781112">
        <w:rPr>
          <w:rFonts w:cs="Arial"/>
          <w:color w:val="000000" w:themeColor="text1"/>
          <w:szCs w:val="16"/>
        </w:rPr>
        <w:br/>
        <w:t>Each LEA reviews and submits a final report for the previous school year that contains student-level data for initial evaluation consents received from July 1st through June 30th and is submitted for the appropriate SPP/APR reporting period.</w:t>
      </w:r>
    </w:p>
    <w:p w14:paraId="4F981BFF" w14:textId="77777777" w:rsidR="00C86164" w:rsidRPr="00781112" w:rsidRDefault="00C86164" w:rsidP="00C86164">
      <w:pPr>
        <w:rPr>
          <w:rFonts w:cs="Arial"/>
          <w:b/>
          <w:color w:val="000000" w:themeColor="text1"/>
          <w:szCs w:val="16"/>
        </w:rPr>
      </w:pPr>
      <w:bookmarkStart w:id="68" w:name="_Toc381956339"/>
      <w:bookmarkStart w:id="69" w:name="_Toc384383357"/>
      <w:bookmarkStart w:id="70" w:name="_Toc392159325"/>
      <w:r w:rsidRPr="00781112">
        <w:rPr>
          <w:rFonts w:cs="Arial"/>
          <w:b/>
          <w:color w:val="000000" w:themeColor="text1"/>
          <w:szCs w:val="16"/>
        </w:rPr>
        <w:t>Provide additional information about this indicator (optional)</w:t>
      </w:r>
    </w:p>
    <w:p w14:paraId="4D7330D9" w14:textId="5E39C58C" w:rsidR="00326C0B" w:rsidRPr="00781112" w:rsidRDefault="002B7490" w:rsidP="007D435F">
      <w:pPr>
        <w:rPr>
          <w:rFonts w:cs="Arial"/>
          <w:color w:val="000000" w:themeColor="text1"/>
          <w:szCs w:val="16"/>
        </w:rPr>
      </w:pPr>
      <w:r w:rsidRPr="00781112">
        <w:rPr>
          <w:rFonts w:cs="Arial"/>
          <w:color w:val="000000" w:themeColor="text1"/>
          <w:szCs w:val="16"/>
        </w:rPr>
        <w:t xml:space="preserve">Of the twenty-four (24) LEAs who did not achieve 100% compliance with the child find timeline requirements, thirteen (13) LEAs had only one (1) evaluation each that was completed outside of the established timeline. In summary, 54.2% of the LEAs fell short of the Indicator 11 target by one (1) student each. </w:t>
      </w:r>
    </w:p>
    <w:p w14:paraId="3221D503" w14:textId="43CA4FBA"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11PFFYNCFINDINGS"/>
      </w:tblPr>
      <w:tblGrid>
        <w:gridCol w:w="2650"/>
        <w:gridCol w:w="2780"/>
        <w:gridCol w:w="2656"/>
        <w:gridCol w:w="2704"/>
      </w:tblGrid>
      <w:tr w:rsidR="005C29F8" w:rsidRPr="00781112" w14:paraId="19F31341" w14:textId="77777777" w:rsidTr="008227D4">
        <w:trPr>
          <w:trHeight w:val="389"/>
          <w:tblHeader/>
        </w:trPr>
        <w:tc>
          <w:tcPr>
            <w:tcW w:w="1228" w:type="pct"/>
            <w:shd w:val="clear" w:color="auto" w:fill="auto"/>
            <w:vAlign w:val="bottom"/>
          </w:tcPr>
          <w:p w14:paraId="56F59E5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27C8700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4F7EC97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E04671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A7D6F00" w14:textId="77777777" w:rsidTr="008227D4">
        <w:tc>
          <w:tcPr>
            <w:tcW w:w="1228" w:type="pct"/>
            <w:shd w:val="clear" w:color="auto" w:fill="auto"/>
          </w:tcPr>
          <w:p w14:paraId="1D3665CE" w14:textId="31AA2004" w:rsidR="009A755E" w:rsidRPr="00781112" w:rsidRDefault="002B7490" w:rsidP="00A018D4">
            <w:pPr>
              <w:jc w:val="center"/>
              <w:rPr>
                <w:rFonts w:cs="Arial"/>
                <w:color w:val="000000" w:themeColor="text1"/>
                <w:szCs w:val="16"/>
              </w:rPr>
            </w:pPr>
            <w:r w:rsidRPr="00781112">
              <w:rPr>
                <w:rFonts w:cs="Arial"/>
                <w:color w:val="000000" w:themeColor="text1"/>
                <w:szCs w:val="16"/>
              </w:rPr>
              <w:t>29</w:t>
            </w:r>
          </w:p>
        </w:tc>
        <w:tc>
          <w:tcPr>
            <w:tcW w:w="1288" w:type="pct"/>
            <w:shd w:val="clear" w:color="auto" w:fill="auto"/>
          </w:tcPr>
          <w:p w14:paraId="4AEC445C" w14:textId="6396B491" w:rsidR="009A755E" w:rsidRPr="00781112" w:rsidRDefault="002B7490" w:rsidP="00A018D4">
            <w:pPr>
              <w:jc w:val="center"/>
              <w:rPr>
                <w:rFonts w:cs="Arial"/>
                <w:color w:val="000000" w:themeColor="text1"/>
                <w:szCs w:val="16"/>
              </w:rPr>
            </w:pPr>
            <w:r w:rsidRPr="00781112">
              <w:rPr>
                <w:rFonts w:cs="Arial"/>
                <w:color w:val="000000" w:themeColor="text1"/>
                <w:szCs w:val="16"/>
              </w:rPr>
              <w:t>29</w:t>
            </w:r>
          </w:p>
        </w:tc>
        <w:tc>
          <w:tcPr>
            <w:tcW w:w="1231" w:type="pct"/>
            <w:shd w:val="clear" w:color="auto" w:fill="auto"/>
          </w:tcPr>
          <w:p w14:paraId="650763EC" w14:textId="5B71F402"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67914127" w14:textId="0865F5F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9183A2D" w14:textId="436161EB" w:rsidR="009A755E" w:rsidRPr="00781112" w:rsidRDefault="00450F98" w:rsidP="004369B2">
      <w:pPr>
        <w:rPr>
          <w:color w:val="000000" w:themeColor="text1"/>
        </w:rPr>
      </w:pPr>
      <w:r>
        <w:rPr>
          <w:b/>
          <w:color w:val="000000" w:themeColor="text1"/>
        </w:rPr>
        <w:t>FFY 2022 Findings of Noncompliance Verified as Corrected</w:t>
      </w:r>
    </w:p>
    <w:p w14:paraId="417CAEC2" w14:textId="31AFF48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61965D8E" w14:textId="42E8D356" w:rsidR="00326C0B" w:rsidRPr="00781112" w:rsidRDefault="002B7490" w:rsidP="009A755E">
      <w:pPr>
        <w:rPr>
          <w:rFonts w:cs="Arial"/>
          <w:color w:val="000000" w:themeColor="text1"/>
          <w:szCs w:val="16"/>
        </w:rPr>
      </w:pPr>
      <w:r w:rsidRPr="00781112">
        <w:rPr>
          <w:rFonts w:cs="Arial"/>
          <w:color w:val="000000" w:themeColor="text1"/>
          <w:szCs w:val="16"/>
        </w:rPr>
        <w:t xml:space="preserve">Subsequent reviews of updated data for each of the twenty-nine (29) LEAs identified with noncompliance were conducted through quarterly monitoring using the statewide initial evaluation application in WVEIS. Technical assistance and feedback were provided to each LEA after the quarterly reviews of updated data. WVDE/OSE verified that each of the twenty-nine (29) LEAs is correctly implementing the specific regulatory requirements consistent with OSEP QA 23-01. Specifically, each LEA achieved 100 percent compliance regarding timelines for initial evaluations for a minimum of 90 consecutive days. WVDE/OSE provided written notification to each LEA that the findings of noncompliance had been corrected. </w:t>
      </w:r>
    </w:p>
    <w:p w14:paraId="51512AE8" w14:textId="4644521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1D2403D9" w14:textId="1E0996F1" w:rsidR="00326C0B" w:rsidRPr="00781112" w:rsidRDefault="002B7490" w:rsidP="009A755E">
      <w:pPr>
        <w:rPr>
          <w:rFonts w:cs="Arial"/>
          <w:color w:val="000000" w:themeColor="text1"/>
          <w:szCs w:val="16"/>
        </w:rPr>
      </w:pPr>
      <w:r w:rsidRPr="00781112">
        <w:rPr>
          <w:rFonts w:cs="Arial"/>
          <w:color w:val="000000" w:themeColor="text1"/>
          <w:szCs w:val="16"/>
        </w:rPr>
        <w:lastRenderedPageBreak/>
        <w:t>WVDE/OSE verified through a review of updated data collected through WVEIS that, although late, each of the 460 individual cases of child-specific noncompliance for initial evaluations was corrected. Verification of corrections included reviewing evidence that each initial evaluation was completed prior to the end of the school year, unless the student was no longer within the jurisdiction of the LEA, consistent with OSEP QA 23-01.</w:t>
      </w:r>
    </w:p>
    <w:p w14:paraId="47B6C111" w14:textId="77777777" w:rsidR="008227D4" w:rsidRPr="00781112" w:rsidRDefault="008227D4" w:rsidP="004369B2">
      <w:pPr>
        <w:rPr>
          <w:color w:val="000000" w:themeColor="text1"/>
        </w:rPr>
      </w:pPr>
    </w:p>
    <w:p w14:paraId="3D219E0E" w14:textId="4B31479F"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11PPFFYNCFINDINGS"/>
      </w:tblPr>
      <w:tblGrid>
        <w:gridCol w:w="2132"/>
        <w:gridCol w:w="3153"/>
        <w:gridCol w:w="2842"/>
        <w:gridCol w:w="2663"/>
      </w:tblGrid>
      <w:tr w:rsidR="005C29F8" w:rsidRPr="00781112" w14:paraId="24C0CC8B" w14:textId="77777777" w:rsidTr="003968A6">
        <w:trPr>
          <w:tblHeader/>
        </w:trPr>
        <w:tc>
          <w:tcPr>
            <w:tcW w:w="988" w:type="pct"/>
            <w:shd w:val="clear" w:color="auto" w:fill="auto"/>
            <w:vAlign w:val="bottom"/>
          </w:tcPr>
          <w:p w14:paraId="4DB94990" w14:textId="41E221B0"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58480848" w14:textId="3C958544"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17" w:type="pct"/>
            <w:shd w:val="clear" w:color="auto" w:fill="auto"/>
            <w:vAlign w:val="bottom"/>
          </w:tcPr>
          <w:p w14:paraId="5E728C5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6B7FE6A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D9969AD" w14:textId="77777777" w:rsidTr="003968A6">
        <w:tc>
          <w:tcPr>
            <w:tcW w:w="988" w:type="pct"/>
            <w:shd w:val="clear" w:color="auto" w:fill="auto"/>
          </w:tcPr>
          <w:p w14:paraId="1373C0BF" w14:textId="5ED00762" w:rsidR="009A755E" w:rsidRPr="00781112" w:rsidRDefault="002B7490" w:rsidP="00A018D4">
            <w:pPr>
              <w:jc w:val="center"/>
              <w:rPr>
                <w:rFonts w:cs="Arial"/>
                <w:color w:val="000000" w:themeColor="text1"/>
                <w:szCs w:val="16"/>
              </w:rPr>
            </w:pPr>
            <w:r w:rsidRPr="00781112">
              <w:rPr>
                <w:rFonts w:cs="Arial"/>
                <w:color w:val="000000" w:themeColor="text1"/>
                <w:szCs w:val="16"/>
              </w:rPr>
              <w:t>FFY 2021</w:t>
            </w:r>
          </w:p>
        </w:tc>
        <w:tc>
          <w:tcPr>
            <w:tcW w:w="1461" w:type="pct"/>
            <w:shd w:val="clear" w:color="auto" w:fill="auto"/>
          </w:tcPr>
          <w:p w14:paraId="5AB62777" w14:textId="29B5602C" w:rsidR="009A755E" w:rsidRPr="00781112" w:rsidRDefault="002B7490">
            <w:pPr>
              <w:jc w:val="center"/>
              <w:rPr>
                <w:rFonts w:cs="Arial"/>
                <w:noProof/>
                <w:color w:val="000000" w:themeColor="text1"/>
                <w:szCs w:val="16"/>
              </w:rPr>
            </w:pPr>
            <w:r w:rsidRPr="00781112">
              <w:rPr>
                <w:rFonts w:cs="Arial"/>
                <w:color w:val="000000" w:themeColor="text1"/>
                <w:szCs w:val="16"/>
              </w:rPr>
              <w:t>1</w:t>
            </w:r>
          </w:p>
        </w:tc>
        <w:tc>
          <w:tcPr>
            <w:tcW w:w="1317" w:type="pct"/>
            <w:shd w:val="clear" w:color="auto" w:fill="auto"/>
          </w:tcPr>
          <w:p w14:paraId="1914F665" w14:textId="53788CBE" w:rsidR="009A755E" w:rsidRPr="00781112" w:rsidRDefault="002B7490">
            <w:pPr>
              <w:jc w:val="center"/>
              <w:rPr>
                <w:rFonts w:cs="Arial"/>
                <w:noProof/>
                <w:color w:val="000000" w:themeColor="text1"/>
                <w:szCs w:val="16"/>
              </w:rPr>
            </w:pPr>
            <w:r w:rsidRPr="00781112">
              <w:rPr>
                <w:rFonts w:cs="Arial"/>
                <w:color w:val="000000" w:themeColor="text1"/>
                <w:szCs w:val="16"/>
              </w:rPr>
              <w:t>1</w:t>
            </w:r>
          </w:p>
        </w:tc>
        <w:tc>
          <w:tcPr>
            <w:tcW w:w="1234" w:type="pct"/>
            <w:shd w:val="clear" w:color="auto" w:fill="auto"/>
          </w:tcPr>
          <w:p w14:paraId="543D4553" w14:textId="411E0F5D" w:rsidR="009A755E" w:rsidRPr="00781112" w:rsidRDefault="002B7490">
            <w:pPr>
              <w:jc w:val="center"/>
              <w:rPr>
                <w:rFonts w:cs="Arial"/>
                <w:noProof/>
                <w:color w:val="000000" w:themeColor="text1"/>
                <w:szCs w:val="16"/>
              </w:rPr>
            </w:pPr>
            <w:r w:rsidRPr="00781112">
              <w:rPr>
                <w:rFonts w:cs="Arial"/>
                <w:color w:val="000000" w:themeColor="text1"/>
                <w:szCs w:val="16"/>
              </w:rPr>
              <w:t>0</w:t>
            </w:r>
          </w:p>
        </w:tc>
      </w:tr>
      <w:tr w:rsidR="005C29F8" w:rsidRPr="00781112" w14:paraId="1816F3D1" w14:textId="77777777" w:rsidTr="003968A6">
        <w:tc>
          <w:tcPr>
            <w:tcW w:w="988" w:type="pct"/>
            <w:shd w:val="clear" w:color="auto" w:fill="auto"/>
          </w:tcPr>
          <w:p w14:paraId="1177FA9A" w14:textId="73A2A90B" w:rsidR="009A755E" w:rsidRPr="00781112" w:rsidRDefault="00596F83" w:rsidP="00A018D4">
            <w:pPr>
              <w:jc w:val="center"/>
              <w:rPr>
                <w:rFonts w:cs="Arial"/>
                <w:color w:val="000000" w:themeColor="text1"/>
                <w:szCs w:val="16"/>
              </w:rPr>
            </w:pPr>
            <w:r w:rsidRPr="00781112">
              <w:rPr>
                <w:rFonts w:cs="Arial"/>
                <w:color w:val="000000" w:themeColor="text1"/>
                <w:szCs w:val="16"/>
              </w:rPr>
              <w:t>FFY 2020</w:t>
            </w:r>
          </w:p>
        </w:tc>
        <w:tc>
          <w:tcPr>
            <w:tcW w:w="1461" w:type="pct"/>
            <w:shd w:val="clear" w:color="auto" w:fill="auto"/>
          </w:tcPr>
          <w:p w14:paraId="42D596E0" w14:textId="4BE898FD" w:rsidR="009A755E" w:rsidRPr="00781112" w:rsidRDefault="00596F83">
            <w:pPr>
              <w:jc w:val="center"/>
              <w:rPr>
                <w:rFonts w:cs="Arial"/>
                <w:noProof/>
                <w:color w:val="000000" w:themeColor="text1"/>
                <w:szCs w:val="16"/>
              </w:rPr>
            </w:pPr>
            <w:r w:rsidRPr="00781112">
              <w:rPr>
                <w:rFonts w:cs="Arial"/>
                <w:color w:val="000000" w:themeColor="text1"/>
                <w:szCs w:val="16"/>
              </w:rPr>
              <w:t>1</w:t>
            </w:r>
          </w:p>
        </w:tc>
        <w:tc>
          <w:tcPr>
            <w:tcW w:w="1317" w:type="pct"/>
            <w:shd w:val="clear" w:color="auto" w:fill="auto"/>
          </w:tcPr>
          <w:p w14:paraId="1709DA4E" w14:textId="03D6E40F" w:rsidR="009A755E" w:rsidRPr="00781112" w:rsidRDefault="002B7490">
            <w:pPr>
              <w:jc w:val="center"/>
              <w:rPr>
                <w:rFonts w:cs="Arial"/>
                <w:noProof/>
                <w:color w:val="000000" w:themeColor="text1"/>
                <w:szCs w:val="16"/>
              </w:rPr>
            </w:pPr>
            <w:r w:rsidRPr="00781112">
              <w:rPr>
                <w:rFonts w:cs="Arial"/>
                <w:color w:val="000000" w:themeColor="text1"/>
                <w:szCs w:val="16"/>
              </w:rPr>
              <w:t>1</w:t>
            </w:r>
          </w:p>
        </w:tc>
        <w:tc>
          <w:tcPr>
            <w:tcW w:w="1234" w:type="pct"/>
            <w:shd w:val="clear" w:color="auto" w:fill="auto"/>
          </w:tcPr>
          <w:p w14:paraId="7008AE63" w14:textId="0E87CC18" w:rsidR="009A755E" w:rsidRPr="00781112" w:rsidRDefault="002B7490">
            <w:pPr>
              <w:jc w:val="center"/>
              <w:rPr>
                <w:rFonts w:cs="Arial"/>
                <w:noProof/>
                <w:color w:val="000000" w:themeColor="text1"/>
                <w:szCs w:val="16"/>
              </w:rPr>
            </w:pPr>
            <w:r w:rsidRPr="00781112">
              <w:rPr>
                <w:rFonts w:cs="Arial"/>
                <w:color w:val="000000" w:themeColor="text1"/>
                <w:szCs w:val="16"/>
              </w:rPr>
              <w:t>0</w:t>
            </w:r>
          </w:p>
        </w:tc>
      </w:tr>
      <w:tr w:rsidR="005C29F8" w:rsidRPr="00781112" w14:paraId="6B4A8AF5" w14:textId="77777777" w:rsidTr="003968A6">
        <w:tc>
          <w:tcPr>
            <w:tcW w:w="988" w:type="pct"/>
            <w:shd w:val="clear" w:color="auto" w:fill="auto"/>
          </w:tcPr>
          <w:p w14:paraId="43946979" w14:textId="506054A6" w:rsidR="009A755E" w:rsidRPr="00781112" w:rsidRDefault="009A755E" w:rsidP="00A018D4">
            <w:pPr>
              <w:jc w:val="center"/>
              <w:rPr>
                <w:rFonts w:cs="Arial"/>
                <w:color w:val="000000" w:themeColor="text1"/>
                <w:szCs w:val="16"/>
              </w:rPr>
            </w:pPr>
          </w:p>
        </w:tc>
        <w:tc>
          <w:tcPr>
            <w:tcW w:w="1461" w:type="pct"/>
            <w:shd w:val="clear" w:color="auto" w:fill="auto"/>
          </w:tcPr>
          <w:p w14:paraId="2F9F2AEA" w14:textId="4F1403DB" w:rsidR="009A755E" w:rsidRPr="00781112" w:rsidRDefault="009A755E">
            <w:pPr>
              <w:jc w:val="center"/>
              <w:rPr>
                <w:rFonts w:cs="Arial"/>
                <w:noProof/>
                <w:color w:val="000000" w:themeColor="text1"/>
                <w:szCs w:val="16"/>
              </w:rPr>
            </w:pPr>
          </w:p>
        </w:tc>
        <w:tc>
          <w:tcPr>
            <w:tcW w:w="1317" w:type="pct"/>
            <w:shd w:val="clear" w:color="auto" w:fill="auto"/>
          </w:tcPr>
          <w:p w14:paraId="083E1253" w14:textId="465F1687" w:rsidR="009A755E" w:rsidRPr="00781112" w:rsidRDefault="009A755E">
            <w:pPr>
              <w:jc w:val="center"/>
              <w:rPr>
                <w:rFonts w:cs="Arial"/>
                <w:noProof/>
                <w:color w:val="000000" w:themeColor="text1"/>
                <w:szCs w:val="16"/>
              </w:rPr>
            </w:pPr>
          </w:p>
        </w:tc>
        <w:tc>
          <w:tcPr>
            <w:tcW w:w="1234" w:type="pct"/>
            <w:shd w:val="clear" w:color="auto" w:fill="auto"/>
          </w:tcPr>
          <w:p w14:paraId="5051C049" w14:textId="54F55515" w:rsidR="009A755E" w:rsidRPr="00781112" w:rsidRDefault="009A755E">
            <w:pPr>
              <w:jc w:val="center"/>
              <w:rPr>
                <w:rFonts w:cs="Arial"/>
                <w:noProof/>
                <w:color w:val="000000" w:themeColor="text1"/>
                <w:szCs w:val="16"/>
              </w:rPr>
            </w:pPr>
          </w:p>
        </w:tc>
      </w:tr>
      <w:tr w:rsidR="009A0A1A" w:rsidRPr="00781112" w14:paraId="326044C9" w14:textId="77777777" w:rsidTr="003968A6">
        <w:tc>
          <w:tcPr>
            <w:tcW w:w="988" w:type="pct"/>
            <w:shd w:val="clear" w:color="auto" w:fill="auto"/>
          </w:tcPr>
          <w:p w14:paraId="4BA2A9AB" w14:textId="600C6311" w:rsidR="009A0A1A" w:rsidRPr="00781112" w:rsidRDefault="009A0A1A" w:rsidP="009A0A1A">
            <w:pPr>
              <w:jc w:val="center"/>
              <w:rPr>
                <w:rFonts w:cs="Arial"/>
                <w:color w:val="000000" w:themeColor="text1"/>
                <w:szCs w:val="16"/>
              </w:rPr>
            </w:pPr>
          </w:p>
        </w:tc>
        <w:tc>
          <w:tcPr>
            <w:tcW w:w="1461" w:type="pct"/>
            <w:shd w:val="clear" w:color="auto" w:fill="auto"/>
          </w:tcPr>
          <w:p w14:paraId="3A53DE5D" w14:textId="1B675A3C" w:rsidR="009A0A1A" w:rsidRPr="00781112" w:rsidRDefault="009A0A1A" w:rsidP="009A0A1A">
            <w:pPr>
              <w:jc w:val="center"/>
              <w:rPr>
                <w:rFonts w:cs="Arial"/>
                <w:color w:val="000000" w:themeColor="text1"/>
                <w:szCs w:val="16"/>
              </w:rPr>
            </w:pPr>
          </w:p>
        </w:tc>
        <w:tc>
          <w:tcPr>
            <w:tcW w:w="1317" w:type="pct"/>
            <w:shd w:val="clear" w:color="auto" w:fill="auto"/>
          </w:tcPr>
          <w:p w14:paraId="3E865613" w14:textId="390526A2" w:rsidR="009A0A1A" w:rsidRPr="00781112" w:rsidRDefault="009A0A1A" w:rsidP="009A0A1A">
            <w:pPr>
              <w:jc w:val="center"/>
              <w:rPr>
                <w:rFonts w:cs="Arial"/>
                <w:color w:val="000000" w:themeColor="text1"/>
                <w:szCs w:val="16"/>
              </w:rPr>
            </w:pPr>
          </w:p>
        </w:tc>
        <w:tc>
          <w:tcPr>
            <w:tcW w:w="1234" w:type="pct"/>
            <w:shd w:val="clear" w:color="auto" w:fill="auto"/>
          </w:tcPr>
          <w:p w14:paraId="42A0EAE6" w14:textId="26C893D7" w:rsidR="009A0A1A" w:rsidRPr="00781112" w:rsidRDefault="009A0A1A" w:rsidP="009A0A1A">
            <w:pPr>
              <w:jc w:val="center"/>
              <w:rPr>
                <w:rFonts w:cs="Arial"/>
                <w:color w:val="000000" w:themeColor="text1"/>
                <w:szCs w:val="16"/>
              </w:rPr>
            </w:pPr>
          </w:p>
        </w:tc>
      </w:tr>
      <w:tr w:rsidR="009A0A1A" w:rsidRPr="00781112" w14:paraId="1C2753A1" w14:textId="77777777" w:rsidTr="003968A6">
        <w:tc>
          <w:tcPr>
            <w:tcW w:w="988" w:type="pct"/>
            <w:shd w:val="clear" w:color="auto" w:fill="auto"/>
          </w:tcPr>
          <w:p w14:paraId="36D3903A" w14:textId="2B275116" w:rsidR="009A0A1A" w:rsidRPr="00781112" w:rsidRDefault="009A0A1A" w:rsidP="009A0A1A">
            <w:pPr>
              <w:jc w:val="center"/>
              <w:rPr>
                <w:rFonts w:cs="Arial"/>
                <w:color w:val="000000" w:themeColor="text1"/>
                <w:szCs w:val="16"/>
              </w:rPr>
            </w:pPr>
          </w:p>
        </w:tc>
        <w:tc>
          <w:tcPr>
            <w:tcW w:w="1461" w:type="pct"/>
            <w:shd w:val="clear" w:color="auto" w:fill="auto"/>
          </w:tcPr>
          <w:p w14:paraId="6D50DE81" w14:textId="31EC2B0E" w:rsidR="009A0A1A" w:rsidRPr="00781112" w:rsidRDefault="009A0A1A" w:rsidP="009A0A1A">
            <w:pPr>
              <w:jc w:val="center"/>
              <w:rPr>
                <w:rFonts w:cs="Arial"/>
                <w:color w:val="000000" w:themeColor="text1"/>
                <w:szCs w:val="16"/>
              </w:rPr>
            </w:pPr>
          </w:p>
        </w:tc>
        <w:tc>
          <w:tcPr>
            <w:tcW w:w="1317" w:type="pct"/>
            <w:shd w:val="clear" w:color="auto" w:fill="auto"/>
          </w:tcPr>
          <w:p w14:paraId="5274E81C" w14:textId="6539CB22" w:rsidR="009A0A1A" w:rsidRPr="00781112" w:rsidRDefault="009A0A1A" w:rsidP="009A0A1A">
            <w:pPr>
              <w:jc w:val="center"/>
              <w:rPr>
                <w:rFonts w:cs="Arial"/>
                <w:color w:val="000000" w:themeColor="text1"/>
                <w:szCs w:val="16"/>
              </w:rPr>
            </w:pPr>
          </w:p>
        </w:tc>
        <w:tc>
          <w:tcPr>
            <w:tcW w:w="1234" w:type="pct"/>
            <w:shd w:val="clear" w:color="auto" w:fill="auto"/>
          </w:tcPr>
          <w:p w14:paraId="69F94DB7" w14:textId="3F25747D" w:rsidR="009A0A1A" w:rsidRPr="00781112" w:rsidRDefault="009A0A1A" w:rsidP="009A0A1A">
            <w:pPr>
              <w:jc w:val="center"/>
              <w:rPr>
                <w:rFonts w:cs="Arial"/>
                <w:color w:val="000000" w:themeColor="text1"/>
                <w:szCs w:val="16"/>
              </w:rPr>
            </w:pPr>
          </w:p>
        </w:tc>
      </w:tr>
    </w:tbl>
    <w:p w14:paraId="0ED1B1B5" w14:textId="6853D71E" w:rsidR="009A221D" w:rsidRPr="00781112" w:rsidRDefault="009A221D" w:rsidP="004369B2">
      <w:pPr>
        <w:rPr>
          <w:rFonts w:cs="Arial"/>
          <w:b/>
          <w:bCs/>
          <w:color w:val="000000" w:themeColor="text1"/>
          <w:szCs w:val="16"/>
        </w:rPr>
      </w:pPr>
      <w:r w:rsidRPr="00781112">
        <w:rPr>
          <w:rFonts w:cs="Arial"/>
          <w:b/>
          <w:bCs/>
          <w:color w:val="000000" w:themeColor="text1"/>
          <w:szCs w:val="16"/>
        </w:rPr>
        <w:t>FFY 2021</w:t>
      </w:r>
    </w:p>
    <w:p w14:paraId="25C1BC10" w14:textId="12C6C3A0" w:rsidR="009A755E" w:rsidRPr="00781112" w:rsidRDefault="009A755E" w:rsidP="004369B2">
      <w:pPr>
        <w:rPr>
          <w:color w:val="000000" w:themeColor="text1"/>
        </w:rPr>
      </w:pPr>
      <w:r w:rsidRPr="00781112">
        <w:rPr>
          <w:b/>
          <w:color w:val="000000" w:themeColor="text1"/>
        </w:rPr>
        <w:t>Findings of Noncompliance Verified as Corrected</w:t>
      </w:r>
    </w:p>
    <w:p w14:paraId="14586A63" w14:textId="460DC4B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470A5E59" w14:textId="6E4B93E2" w:rsidR="00326C0B" w:rsidRPr="00781112" w:rsidRDefault="002B7490" w:rsidP="009A755E">
      <w:pPr>
        <w:rPr>
          <w:rFonts w:cs="Arial"/>
          <w:color w:val="000000" w:themeColor="text1"/>
          <w:szCs w:val="16"/>
        </w:rPr>
      </w:pPr>
      <w:r w:rsidRPr="00781112">
        <w:rPr>
          <w:rFonts w:cs="Arial"/>
          <w:color w:val="000000" w:themeColor="text1"/>
          <w:szCs w:val="16"/>
        </w:rPr>
        <w:t>Following the written notification of noncompliance issued in SY 2022-23 to the one (1) LEA with longstanding noncompliance, which included the OSEP-required target, compliance criteria, a mandatory corrective action plan, and best practice recommendations, WVDE/OSE took additional steps to address longstanding noncompliance regarding Indicator 11.</w:t>
      </w:r>
      <w:r w:rsidRPr="00781112">
        <w:rPr>
          <w:rFonts w:cs="Arial"/>
          <w:color w:val="000000" w:themeColor="text1"/>
          <w:szCs w:val="16"/>
        </w:rPr>
        <w:br/>
      </w:r>
      <w:r w:rsidRPr="00781112">
        <w:rPr>
          <w:rFonts w:cs="Arial"/>
          <w:color w:val="000000" w:themeColor="text1"/>
          <w:szCs w:val="16"/>
        </w:rPr>
        <w:br/>
        <w:t>In SY 2023-24, LEA staff involved in the pre-referral process were required to attend WVDE/OSE training on the initial evaluation process. The LEA was also subject to an on-site focused monitoring visit, as well as a collaborative root cause analysis and needs assessment facilitated by WVDE/OSE staff.</w:t>
      </w:r>
      <w:r w:rsidRPr="00781112">
        <w:rPr>
          <w:rFonts w:cs="Arial"/>
          <w:color w:val="000000" w:themeColor="text1"/>
          <w:szCs w:val="16"/>
        </w:rPr>
        <w:br/>
      </w:r>
      <w:r w:rsidRPr="00781112">
        <w:rPr>
          <w:rFonts w:cs="Arial"/>
          <w:color w:val="000000" w:themeColor="text1"/>
          <w:szCs w:val="16"/>
        </w:rPr>
        <w:br/>
        <w:t xml:space="preserve">After providing ample time for the LEA to implement the corrective action plan, WVDE/OSE conducted a review of updated data, consistent with OSEP QA 23-01, and verified that the LEA achieved 100% compliance with initial evaluation timelines for at least 90 consecutive days. WVDE/OSE sent written notification to the LEA confirming that the finding of noncompliance had been corrected. This LEA also managed to achieve 100% compliance with all initial evaluation timelines throughout SY 2023-24. </w:t>
      </w:r>
    </w:p>
    <w:p w14:paraId="1F4C53D6" w14:textId="19404A71"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4D6CFCBF" w14:textId="034DF97C" w:rsidR="00596F83" w:rsidRPr="00781112" w:rsidRDefault="00596F83" w:rsidP="009A755E">
      <w:pPr>
        <w:rPr>
          <w:rFonts w:cs="Arial"/>
          <w:color w:val="000000" w:themeColor="text1"/>
          <w:szCs w:val="16"/>
        </w:rPr>
      </w:pPr>
      <w:r w:rsidRPr="00781112">
        <w:rPr>
          <w:rFonts w:cs="Arial"/>
          <w:color w:val="000000" w:themeColor="text1"/>
          <w:szCs w:val="16"/>
        </w:rPr>
        <w:t>WVDE/OSE verified through a review of updated data collected through WVEIS that, although late, each individual case of child-specific noncompliance for initial evaluations previously identified within the one (1) LEA had been corrected. Verification of corrections included reviewing evidence that each initial evaluation was completed prior to the end of the school year, unless the student was no longer within the jurisdiction of the LEA, consistent with OSEP QA 23-01. Each of these individual cases of child-specific noncompliance were reported as corrected in WV’s FFY 2022 SPP/APR; however, the LEA had not yet demonstrated correct implementation of the regulatory requirements prior to its submission.</w:t>
      </w:r>
    </w:p>
    <w:p w14:paraId="08634A47" w14:textId="0468EE5A" w:rsidR="009A221D" w:rsidRPr="00781112" w:rsidRDefault="009A221D" w:rsidP="009A221D">
      <w:pPr>
        <w:rPr>
          <w:rFonts w:cs="Arial"/>
          <w:b/>
          <w:bCs/>
          <w:color w:val="000000" w:themeColor="text1"/>
          <w:szCs w:val="16"/>
        </w:rPr>
      </w:pPr>
      <w:r w:rsidRPr="00781112">
        <w:rPr>
          <w:rFonts w:cs="Arial"/>
          <w:b/>
          <w:bCs/>
          <w:color w:val="000000" w:themeColor="text1"/>
          <w:szCs w:val="16"/>
        </w:rPr>
        <w:t>FFY 2020</w:t>
      </w:r>
    </w:p>
    <w:p w14:paraId="13EA08E3" w14:textId="60D8D7D4" w:rsidR="009A755E" w:rsidRPr="00781112" w:rsidRDefault="009A755E" w:rsidP="004369B2">
      <w:pPr>
        <w:rPr>
          <w:color w:val="000000" w:themeColor="text1"/>
        </w:rPr>
      </w:pPr>
      <w:r w:rsidRPr="00781112">
        <w:rPr>
          <w:b/>
          <w:color w:val="000000" w:themeColor="text1"/>
        </w:rPr>
        <w:t>Findings of Noncompliance Verified as Corrected</w:t>
      </w:r>
    </w:p>
    <w:p w14:paraId="1463A5DD" w14:textId="5274A019"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0FCB1F5A" w14:textId="4276DF9C" w:rsidR="00596F83" w:rsidRPr="00781112" w:rsidRDefault="00596F83" w:rsidP="00596F83">
      <w:pPr>
        <w:rPr>
          <w:rFonts w:cs="Arial"/>
          <w:color w:val="000000" w:themeColor="text1"/>
          <w:szCs w:val="16"/>
        </w:rPr>
      </w:pPr>
      <w:r w:rsidRPr="00781112">
        <w:rPr>
          <w:rFonts w:cs="Arial"/>
          <w:color w:val="000000" w:themeColor="text1"/>
          <w:szCs w:val="16"/>
        </w:rPr>
        <w:t>The remaining uncorrected finding of noncompliance identified in FFY 2021 and FFY 2020 was from the same source (i.e., LEA), as the initial finding had not been verified as corrected. The description of how WVDE/OSE verified that the LEA is correctly implementing the regulatory requirements is the same as described above under “FFY 2021 Findings of Noncompliance Verified as Corrected,” and is as follows:</w:t>
      </w:r>
      <w:r w:rsidRPr="00781112">
        <w:rPr>
          <w:rFonts w:cs="Arial"/>
          <w:color w:val="000000" w:themeColor="text1"/>
          <w:szCs w:val="16"/>
        </w:rPr>
        <w:br/>
      </w:r>
      <w:r w:rsidRPr="00781112">
        <w:rPr>
          <w:rFonts w:cs="Arial"/>
          <w:color w:val="000000" w:themeColor="text1"/>
          <w:szCs w:val="16"/>
        </w:rPr>
        <w:br/>
        <w:t>“Following the written notification of noncompliance issued in SY 2022-23 to the one (1) LEA with longstanding noncompliance, which included the OSEP-required target, compliance criteria, a mandatory corrective action plan, and best practice recommendations, WVDE/OSE took additional steps to address longstanding noncompliance regarding Indicator 11.</w:t>
      </w:r>
      <w:r w:rsidRPr="00781112">
        <w:rPr>
          <w:rFonts w:cs="Arial"/>
          <w:color w:val="000000" w:themeColor="text1"/>
          <w:szCs w:val="16"/>
        </w:rPr>
        <w:br/>
      </w:r>
      <w:r w:rsidRPr="00781112">
        <w:rPr>
          <w:rFonts w:cs="Arial"/>
          <w:color w:val="000000" w:themeColor="text1"/>
          <w:szCs w:val="16"/>
        </w:rPr>
        <w:br/>
        <w:t>In SY 2023-24, LEA staff involved in the pre-referral process were required to attend WVDE/OSE training on the initial evaluation process. The LEA was also subject to an on-site focused monitoring visit, as well as a collaborative root cause analysis and needs assessment facilitated by WVDE/OSE staff.</w:t>
      </w:r>
      <w:r w:rsidRPr="00781112">
        <w:rPr>
          <w:rFonts w:cs="Arial"/>
          <w:color w:val="000000" w:themeColor="text1"/>
          <w:szCs w:val="16"/>
        </w:rPr>
        <w:br/>
      </w:r>
      <w:r w:rsidRPr="00781112">
        <w:rPr>
          <w:rFonts w:cs="Arial"/>
          <w:color w:val="000000" w:themeColor="text1"/>
          <w:szCs w:val="16"/>
        </w:rPr>
        <w:br/>
        <w:t>After providing ample time for the LEA to implement the corrective action plan, WVDE/OSE conducted a review of updated data, consistent with OSEP QA 23-01, and verified that the LEA achieved 100% compliance with initial evaluation timelines for at least 90 consecutive days. WVDE/OSE sent written notification to the LEA confirming that the finding of noncompliance had been corrected. This LEA also managed to achieve 100% compliance with all initial evaluation timelines throughout SY 2023-24.”</w:t>
      </w:r>
    </w:p>
    <w:p w14:paraId="35436354" w14:textId="5F2ED11F"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619A77FA" w14:textId="4B745BDF" w:rsidR="00326C0B" w:rsidRPr="00781112" w:rsidRDefault="002B7490" w:rsidP="009A755E">
      <w:pPr>
        <w:rPr>
          <w:rFonts w:cs="Arial"/>
          <w:color w:val="000000" w:themeColor="text1"/>
          <w:szCs w:val="16"/>
        </w:rPr>
      </w:pPr>
      <w:r w:rsidRPr="00781112">
        <w:rPr>
          <w:rFonts w:cs="Arial"/>
          <w:color w:val="000000" w:themeColor="text1"/>
          <w:szCs w:val="16"/>
        </w:rPr>
        <w:t>The remaining uncorrected finding of noncompliance identified in FFY 2021 and FFY 2020 was from the same source (i.e., LEA), as the initial finding had not been verified as corrected. The description of how WVDE/OSE verified that each individual case of child-specific noncompliance was corrected is the same as described above under “FFY 2021 Findings of Noncompliance Verified as Corrected,” and is as follows:</w:t>
      </w:r>
      <w:r w:rsidRPr="00781112">
        <w:rPr>
          <w:rFonts w:cs="Arial"/>
          <w:color w:val="000000" w:themeColor="text1"/>
          <w:szCs w:val="16"/>
        </w:rPr>
        <w:br/>
      </w:r>
      <w:r w:rsidRPr="00781112">
        <w:rPr>
          <w:rFonts w:cs="Arial"/>
          <w:color w:val="000000" w:themeColor="text1"/>
          <w:szCs w:val="16"/>
        </w:rPr>
        <w:br/>
        <w:t>“WVDE/OSE verified through a review of updated data collected through WVEIS that, although late, each individual case of child-specific noncompliance for initial evaluations previously identified within the one (1) LEA had been corrected. Verification of corrections included reviewing evidence that each initial evaluation was completed prior to the end of the school year, unless the student was no longer within the jurisdiction of the LEA, consistent with OSEP QA 23-01. Each of these individual cases of child-specific noncompliance were reported as corrected in WV’s FFY 2021 SPP/APR; however, the LEA had not yet demonstrated correct implementation of the regulatory requirements prior to its submission.”</w:t>
      </w:r>
    </w:p>
    <w:p w14:paraId="3F4BF14E" w14:textId="77777777" w:rsidR="009A0A1A" w:rsidRPr="00781112" w:rsidRDefault="009A0A1A" w:rsidP="009A755E">
      <w:pPr>
        <w:rPr>
          <w:rFonts w:cs="Arial"/>
          <w:color w:val="000000" w:themeColor="text1"/>
          <w:szCs w:val="16"/>
        </w:rPr>
      </w:pPr>
    </w:p>
    <w:p w14:paraId="6AA9F004" w14:textId="407DFBC2" w:rsidR="004E2151" w:rsidRPr="00781112" w:rsidRDefault="00C22B92" w:rsidP="00123D76">
      <w:pPr>
        <w:pStyle w:val="Heading2"/>
      </w:pPr>
      <w:r w:rsidRPr="00781112">
        <w:t>11</w:t>
      </w:r>
      <w:r w:rsidR="004838A4" w:rsidRPr="00781112">
        <w:t xml:space="preserve"> </w:t>
      </w:r>
      <w:r w:rsidRPr="00781112">
        <w:t xml:space="preserve">- </w:t>
      </w:r>
      <w:r w:rsidR="004E2151" w:rsidRPr="00781112">
        <w:t>Prior FFY Required Actions</w:t>
      </w:r>
    </w:p>
    <w:p w14:paraId="1469B26E" w14:textId="5BCE6CA0" w:rsidR="004E2151" w:rsidRPr="00781112" w:rsidRDefault="002B7490" w:rsidP="004E2151">
      <w:pPr>
        <w:rPr>
          <w:rFonts w:cs="Arial"/>
          <w:color w:val="000000" w:themeColor="text1"/>
          <w:szCs w:val="16"/>
        </w:rPr>
      </w:pPr>
      <w:r w:rsidRPr="00781112">
        <w:rPr>
          <w:rFonts w:cs="Arial"/>
          <w:color w:val="000000" w:themeColor="text1"/>
          <w:szCs w:val="16"/>
        </w:rPr>
        <w:t xml:space="preserve">Because the State reported less than 100% compliance for FFY 2022, the State must report on the status of correction of noncompliance identified in FFY 2022 for this indicator. In addition, the State must demonstrate, in the FFY 2023 SPP/APR, that the remaining uncorrected finding of noncompliance identified in FFY 2021, and the remaining finding of noncompliance identified in FFY 2020 were corrected.  When reporting on the correction of </w:t>
      </w:r>
      <w:r w:rsidRPr="00781112">
        <w:rPr>
          <w:rFonts w:cs="Arial"/>
          <w:color w:val="000000" w:themeColor="text1"/>
          <w:szCs w:val="16"/>
        </w:rPr>
        <w:lastRenderedPageBreak/>
        <w:t xml:space="preserve">noncompliance, the State must report, in the FFY 2023 SPP/APR, that it has verified that each LEA with findings of noncompliance identified in FFY 2022 and each LEA with remaining noncompliance identified in FFY 2021 and FFY 2020 is correctly implementing the specific regulatory requirements (i.e., achieved 100% compliance) based on a review of updated data such as data subsequently collected through on-site monitoring or a State data system; and has corrected each individual case of noncompliance, unless the child is no longer within the jurisdiction of the LEA, consistent with OSEP QA 23-01. In the FFY 2023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2022, although its FFY 2022 data reflect less than 100% compliance, provide an explanation of why the State did not identify any findings of noncompliance in FFY 2022.</w:t>
      </w:r>
    </w:p>
    <w:p w14:paraId="314020BE" w14:textId="77777777" w:rsidR="009F69E7" w:rsidRPr="00781112" w:rsidRDefault="009F69E7" w:rsidP="004E2151">
      <w:pPr>
        <w:rPr>
          <w:rFonts w:cs="Arial"/>
          <w:color w:val="000000" w:themeColor="text1"/>
          <w:szCs w:val="16"/>
        </w:rPr>
      </w:pPr>
    </w:p>
    <w:p w14:paraId="35EEEBCC" w14:textId="4F2647C3" w:rsidR="004E2151" w:rsidRPr="00781112" w:rsidRDefault="007639D7" w:rsidP="004369B2">
      <w:pPr>
        <w:rPr>
          <w:b/>
          <w:color w:val="000000" w:themeColor="text1"/>
        </w:rPr>
      </w:pPr>
      <w:r>
        <w:rPr>
          <w:b/>
          <w:color w:val="000000" w:themeColor="text1"/>
        </w:rPr>
        <w:t>Response to actions required in FFY 2022 SPP/APR</w:t>
      </w:r>
    </w:p>
    <w:p w14:paraId="29D8AFAD" w14:textId="6EBD882C" w:rsidR="004E2151" w:rsidRPr="00781112" w:rsidRDefault="002B7490" w:rsidP="004E2151">
      <w:pPr>
        <w:rPr>
          <w:rFonts w:cs="Arial"/>
          <w:color w:val="000000" w:themeColor="text1"/>
          <w:szCs w:val="16"/>
        </w:rPr>
      </w:pPr>
      <w:r w:rsidRPr="00781112">
        <w:rPr>
          <w:rFonts w:cs="Arial"/>
          <w:color w:val="000000" w:themeColor="text1"/>
          <w:szCs w:val="16"/>
        </w:rPr>
        <w:t>For detailed information on the status of correction of noncompliance identified in FFY 2022, as well as the verification of correction of findings from FFY 2021 and FFY 2020, please refer to the following sections:</w:t>
      </w:r>
      <w:r w:rsidRPr="00781112">
        <w:rPr>
          <w:rFonts w:cs="Arial"/>
          <w:color w:val="000000" w:themeColor="text1"/>
          <w:szCs w:val="16"/>
        </w:rPr>
        <w:br/>
      </w:r>
      <w:r w:rsidRPr="00781112">
        <w:rPr>
          <w:rFonts w:cs="Arial"/>
          <w:color w:val="000000" w:themeColor="text1"/>
          <w:szCs w:val="16"/>
        </w:rPr>
        <w:br/>
        <w:t>— FFY 2022 Findings of Noncompliance Verified as Corrected</w:t>
      </w:r>
      <w:r w:rsidRPr="00781112">
        <w:rPr>
          <w:rFonts w:cs="Arial"/>
          <w:color w:val="000000" w:themeColor="text1"/>
          <w:szCs w:val="16"/>
        </w:rPr>
        <w:br/>
        <w:t>— FFY 2021 Findings of Noncompliance Verified as Corrected</w:t>
      </w:r>
      <w:r w:rsidRPr="00781112">
        <w:rPr>
          <w:rFonts w:cs="Arial"/>
          <w:color w:val="000000" w:themeColor="text1"/>
          <w:szCs w:val="16"/>
        </w:rPr>
        <w:br/>
        <w:t>— FFY 2020 Findings of Noncompliance Verified as Corrected</w:t>
      </w:r>
      <w:r w:rsidRPr="00781112">
        <w:rPr>
          <w:rFonts w:cs="Arial"/>
          <w:color w:val="000000" w:themeColor="text1"/>
          <w:szCs w:val="16"/>
        </w:rPr>
        <w:br/>
      </w:r>
      <w:r w:rsidRPr="00781112">
        <w:rPr>
          <w:rFonts w:cs="Arial"/>
          <w:color w:val="000000" w:themeColor="text1"/>
          <w:szCs w:val="16"/>
        </w:rPr>
        <w:br/>
        <w:t>These sections describe the specific actions taken to verify that each LEA is correctly implementing the regulatory requirements and that each individual case of noncompliance has been corrected, consistent with OSEP QA 23-01.</w:t>
      </w:r>
    </w:p>
    <w:p w14:paraId="1D3AFFE6" w14:textId="5250F151" w:rsidR="007F5071" w:rsidRPr="00781112" w:rsidRDefault="00C22B92" w:rsidP="00123D76">
      <w:pPr>
        <w:pStyle w:val="Heading2"/>
      </w:pPr>
      <w:r w:rsidRPr="00781112">
        <w:t>11 - OSEP Response</w:t>
      </w:r>
    </w:p>
    <w:p w14:paraId="2479DA6D" w14:textId="3DE51C13" w:rsidR="00326C0B" w:rsidRPr="00781112" w:rsidRDefault="00326C0B" w:rsidP="00212954">
      <w:pPr>
        <w:rPr>
          <w:rFonts w:cs="Arial"/>
          <w:color w:val="000000" w:themeColor="text1"/>
          <w:szCs w:val="16"/>
        </w:rPr>
      </w:pPr>
    </w:p>
    <w:p w14:paraId="140652C1" w14:textId="064683E6" w:rsidR="007F5071" w:rsidRPr="00781112" w:rsidRDefault="00C22B92" w:rsidP="00123D76">
      <w:pPr>
        <w:pStyle w:val="Heading2"/>
      </w:pPr>
      <w:r w:rsidRPr="00781112">
        <w:t>11 - Required Actions</w:t>
      </w:r>
    </w:p>
    <w:p w14:paraId="542023B0" w14:textId="425F5FF5" w:rsidR="00326C0B"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LEA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529C4C74"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5C7C90D" w14:textId="1ACF121A" w:rsidR="00D03701" w:rsidRPr="00781112" w:rsidRDefault="00D03701" w:rsidP="000444E2">
      <w:pPr>
        <w:pStyle w:val="Heading1"/>
        <w:rPr>
          <w:color w:val="000000" w:themeColor="text1"/>
          <w:sz w:val="22"/>
        </w:rPr>
      </w:pPr>
      <w:r w:rsidRPr="00781112">
        <w:rPr>
          <w:color w:val="000000" w:themeColor="text1"/>
          <w:sz w:val="22"/>
        </w:rPr>
        <w:lastRenderedPageBreak/>
        <w:t>Indicator 12: Early Childhood Transition</w:t>
      </w:r>
      <w:bookmarkEnd w:id="68"/>
      <w:bookmarkEnd w:id="69"/>
      <w:bookmarkEnd w:id="70"/>
    </w:p>
    <w:p w14:paraId="435B75C0" w14:textId="5FEEFEAC" w:rsidR="00652135" w:rsidRPr="002C274F" w:rsidRDefault="00652135" w:rsidP="002C274F">
      <w:pPr>
        <w:rPr>
          <w:b/>
          <w:bCs/>
          <w:sz w:val="20"/>
          <w:szCs w:val="20"/>
        </w:rPr>
      </w:pPr>
      <w:r w:rsidRPr="002C274F">
        <w:rPr>
          <w:b/>
          <w:bCs/>
          <w:sz w:val="20"/>
          <w:szCs w:val="20"/>
        </w:rPr>
        <w:t>Instructions and Measurement</w:t>
      </w:r>
    </w:p>
    <w:p w14:paraId="6C78EC4F" w14:textId="77777777" w:rsidR="001F3A65" w:rsidRPr="00781112" w:rsidRDefault="001F3A65" w:rsidP="009447A3">
      <w:pPr>
        <w:rPr>
          <w:rFonts w:cs="Arial"/>
          <w:color w:val="000000" w:themeColor="text1"/>
          <w:szCs w:val="16"/>
        </w:rPr>
      </w:pPr>
      <w:bookmarkStart w:id="71" w:name="_Toc384383358"/>
      <w:bookmarkStart w:id="72" w:name="_Toc392159326"/>
      <w:r w:rsidRPr="00781112">
        <w:rPr>
          <w:rFonts w:cs="Arial"/>
          <w:b/>
          <w:color w:val="000000" w:themeColor="text1"/>
          <w:szCs w:val="16"/>
        </w:rPr>
        <w:t>Monitoring Priorit</w:t>
      </w:r>
      <w:r w:rsidRPr="00781112">
        <w:rPr>
          <w:rFonts w:cs="Arial"/>
          <w:color w:val="000000" w:themeColor="text1"/>
          <w:szCs w:val="16"/>
        </w:rPr>
        <w:t>y: Effective General Supervision Part B / Effective Transition</w:t>
      </w:r>
    </w:p>
    <w:p w14:paraId="5BB6E6C8" w14:textId="77777777" w:rsidR="00704E6A"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referred by Part C prior to age 3, who are found eligible for Part B, and who have an IEP developed and implemented by their third birthdays. </w:t>
      </w:r>
    </w:p>
    <w:p w14:paraId="760E84D0" w14:textId="3B0C2366" w:rsidR="001F3A65" w:rsidRPr="00781112" w:rsidRDefault="001F3A65" w:rsidP="009447A3">
      <w:pPr>
        <w:rPr>
          <w:rFonts w:cs="Arial"/>
          <w:color w:val="000000" w:themeColor="text1"/>
          <w:szCs w:val="16"/>
        </w:rPr>
      </w:pPr>
      <w:r w:rsidRPr="00781112">
        <w:rPr>
          <w:rFonts w:cs="Arial"/>
          <w:color w:val="000000" w:themeColor="text1"/>
          <w:szCs w:val="16"/>
        </w:rPr>
        <w:t>(20 U.S.C. 1416(a)(3)(B))</w:t>
      </w:r>
    </w:p>
    <w:p w14:paraId="10C4B518" w14:textId="77777777" w:rsidR="00704E6A" w:rsidRPr="00781112" w:rsidRDefault="00704E6A" w:rsidP="004369B2">
      <w:pPr>
        <w:rPr>
          <w:color w:val="000000" w:themeColor="text1"/>
        </w:rPr>
      </w:pPr>
      <w:r w:rsidRPr="00781112">
        <w:rPr>
          <w:b/>
          <w:color w:val="000000" w:themeColor="text1"/>
        </w:rPr>
        <w:t>Data Source</w:t>
      </w:r>
    </w:p>
    <w:p w14:paraId="65642578" w14:textId="09D10273" w:rsidR="00704E6A" w:rsidRPr="00781112" w:rsidRDefault="00704E6A"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DFE5EEF" w14:textId="77777777" w:rsidR="00704E6A" w:rsidRPr="00781112" w:rsidRDefault="00704E6A" w:rsidP="004369B2">
      <w:pPr>
        <w:rPr>
          <w:color w:val="000000" w:themeColor="text1"/>
        </w:rPr>
      </w:pPr>
      <w:r w:rsidRPr="00781112">
        <w:rPr>
          <w:b/>
          <w:color w:val="000000" w:themeColor="text1"/>
        </w:rPr>
        <w:t>Measurement</w:t>
      </w:r>
    </w:p>
    <w:p w14:paraId="577779AD" w14:textId="51863F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a. # of children who have been served in Part C and referred to Part B for Part B eligibility determination.</w:t>
      </w:r>
    </w:p>
    <w:p w14:paraId="1D83C19C" w14:textId="0381C17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b. # of those referred determined to be NOT eligible and whose eligibility was determined prior to their third birthdays.</w:t>
      </w:r>
    </w:p>
    <w:p w14:paraId="62A73664" w14:textId="3A860D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c. # of those found eligible who have an IEP developed and implemented by their third birthdays.</w:t>
      </w:r>
    </w:p>
    <w:p w14:paraId="43DE876C" w14:textId="58ABBAA9"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d. # of children for whom parent refusal to provide consent caused delays in evaluation or initial services or to whom exceptions under 34 CFR </w:t>
      </w:r>
      <w:r w:rsidRPr="00781112">
        <w:rPr>
          <w:rFonts w:eastAsia="Times New Roman" w:cs="Arial"/>
          <w:color w:val="000000" w:themeColor="text1"/>
          <w:szCs w:val="16"/>
        </w:rPr>
        <w:tab/>
      </w:r>
      <w:r w:rsidR="00704E6A" w:rsidRPr="00781112">
        <w:rPr>
          <w:rFonts w:eastAsia="Times New Roman" w:cs="Arial"/>
          <w:color w:val="000000" w:themeColor="text1"/>
          <w:szCs w:val="16"/>
        </w:rPr>
        <w:t>§300.301(d) applied.</w:t>
      </w:r>
    </w:p>
    <w:p w14:paraId="4AFE260E" w14:textId="6A26A1C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e. # of children determined to be eligible for early intervention services under Part C less than 90 days before their third birthdays.</w:t>
      </w:r>
    </w:p>
    <w:p w14:paraId="1306CF8A" w14:textId="7D69EBBD" w:rsidR="00704E6A" w:rsidRPr="00781112" w:rsidRDefault="00A90E71" w:rsidP="00A90E71">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f. # of children whose parents chose to continue early intervention services beyond the child’s third birthday through a State’s policy under 34 </w:t>
      </w:r>
      <w:r w:rsidRPr="00781112">
        <w:rPr>
          <w:rFonts w:eastAsia="Times New Roman" w:cs="Arial"/>
          <w:color w:val="000000" w:themeColor="text1"/>
          <w:szCs w:val="16"/>
        </w:rPr>
        <w:tab/>
      </w:r>
      <w:r w:rsidR="00704E6A" w:rsidRPr="00781112">
        <w:rPr>
          <w:rFonts w:eastAsia="Times New Roman" w:cs="Arial"/>
          <w:color w:val="000000" w:themeColor="text1"/>
          <w:szCs w:val="16"/>
        </w:rPr>
        <w:t>CFR §303.211 or a similar State option.</w:t>
      </w:r>
    </w:p>
    <w:p w14:paraId="13DB13F0" w14:textId="77777777" w:rsidR="00A90E71" w:rsidRPr="00781112" w:rsidRDefault="00A90E71" w:rsidP="006A01BD">
      <w:pPr>
        <w:spacing w:before="0" w:after="0"/>
        <w:rPr>
          <w:rFonts w:eastAsia="Times New Roman" w:cs="Arial"/>
          <w:color w:val="000000" w:themeColor="text1"/>
          <w:szCs w:val="16"/>
        </w:rPr>
      </w:pPr>
    </w:p>
    <w:p w14:paraId="07549C8E" w14:textId="77777777" w:rsidR="00704E6A" w:rsidRPr="00781112" w:rsidRDefault="00704E6A" w:rsidP="006A01BD">
      <w:pPr>
        <w:spacing w:before="0" w:after="21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c, d, e, or f. Indicate the range of days beyond the third birthday when eligibility was determined and the IEP developed, and the reasons for the delays.</w:t>
      </w:r>
    </w:p>
    <w:p w14:paraId="5406A8A2" w14:textId="2622A063" w:rsidR="00704E6A" w:rsidRPr="00781112" w:rsidRDefault="00704E6A" w:rsidP="009447A3">
      <w:pPr>
        <w:spacing w:before="0" w:after="210"/>
        <w:rPr>
          <w:rFonts w:eastAsia="Times New Roman" w:cs="Arial"/>
          <w:color w:val="000000" w:themeColor="text1"/>
          <w:szCs w:val="16"/>
        </w:rPr>
      </w:pPr>
      <w:r w:rsidRPr="00781112">
        <w:rPr>
          <w:rFonts w:eastAsia="Times New Roman" w:cs="Arial"/>
          <w:color w:val="000000" w:themeColor="text1"/>
          <w:szCs w:val="16"/>
        </w:rPr>
        <w:t>Percent = [(c) divided by (a - b - d - e - f)] times 100.</w:t>
      </w:r>
    </w:p>
    <w:p w14:paraId="568E2452" w14:textId="77777777" w:rsidR="00704E6A" w:rsidRPr="00781112" w:rsidRDefault="00704E6A" w:rsidP="004369B2">
      <w:pPr>
        <w:rPr>
          <w:color w:val="000000" w:themeColor="text1"/>
        </w:rPr>
      </w:pPr>
      <w:r w:rsidRPr="00781112">
        <w:rPr>
          <w:b/>
          <w:color w:val="000000" w:themeColor="text1"/>
        </w:rPr>
        <w:t>Instructions</w:t>
      </w:r>
    </w:p>
    <w:p w14:paraId="26144B56" w14:textId="77777777" w:rsidR="00704E6A" w:rsidRPr="00781112" w:rsidRDefault="00704E6A"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739AF8C8" w14:textId="7B1DF3FC" w:rsidR="00704E6A" w:rsidRPr="00781112" w:rsidRDefault="00704E6A"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216DD8AC" w14:textId="77777777" w:rsidR="001F165D" w:rsidRPr="00781112" w:rsidRDefault="001F165D" w:rsidP="001F165D">
      <w:pPr>
        <w:rPr>
          <w:rFonts w:cs="Arial"/>
          <w:color w:val="000000" w:themeColor="text1"/>
          <w:szCs w:val="16"/>
        </w:rPr>
      </w:pPr>
      <w:r w:rsidRPr="00781112">
        <w:rPr>
          <w:rFonts w:cs="Arial"/>
          <w:color w:val="000000" w:themeColor="text1"/>
          <w:szCs w:val="16"/>
        </w:rPr>
        <w:t>Targets must be 100%.</w:t>
      </w:r>
    </w:p>
    <w:p w14:paraId="1B4708FE" w14:textId="1629AEED" w:rsidR="00704E6A" w:rsidRPr="00781112" w:rsidRDefault="00BA70F9" w:rsidP="00286BDF">
      <w:pPr>
        <w:rPr>
          <w:rFonts w:cs="Arial"/>
          <w:color w:val="000000" w:themeColor="text1"/>
          <w:szCs w:val="16"/>
        </w:rPr>
      </w:pPr>
      <w:r w:rsidRPr="00781112">
        <w:rPr>
          <w:rFonts w:cs="Arial"/>
          <w:color w:val="000000" w:themeColor="text1"/>
          <w:szCs w:val="16"/>
        </w:rPr>
        <w:t>Category f is to be used only by States that have an approved policy for providing parents the option of continuing early intervention services beyond the child’s third birthday under 34 CFR §303.211 or a similar State option.</w:t>
      </w:r>
    </w:p>
    <w:p w14:paraId="5D5B86D4" w14:textId="4725FE4E" w:rsidR="00704E6A" w:rsidRPr="00781112" w:rsidRDefault="00704E6A"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73" w:name="_Hlk150864384"/>
      <w:r w:rsidR="005F55E8" w:rsidRPr="005F55E8">
        <w:rPr>
          <w:rFonts w:cs="Arial"/>
          <w:color w:val="000000" w:themeColor="text1"/>
          <w:szCs w:val="16"/>
        </w:rPr>
        <w:t>child-specific and regulatory/systemic</w:t>
      </w:r>
      <w:r w:rsidR="005F55E8">
        <w:rPr>
          <w:sz w:val="20"/>
          <w:szCs w:val="14"/>
        </w:rPr>
        <w:t xml:space="preserve"> </w:t>
      </w:r>
      <w:bookmarkEnd w:id="73"/>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B505E64" w14:textId="179FD8E1" w:rsidR="00704E6A"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6A39D7E8" w14:textId="77777777" w:rsidR="00655489" w:rsidRPr="00FE4611" w:rsidRDefault="00655489" w:rsidP="00655489">
      <w:pPr>
        <w:rPr>
          <w:rFonts w:cs="Arial"/>
          <w:szCs w:val="16"/>
        </w:rPr>
      </w:pPr>
      <w:r w:rsidRPr="002049C0">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182D7424" w14:textId="77777777" w:rsidR="00655489" w:rsidRPr="00781112" w:rsidRDefault="00655489" w:rsidP="00286BDF">
      <w:pPr>
        <w:rPr>
          <w:rFonts w:cs="Arial"/>
          <w:color w:val="000000" w:themeColor="text1"/>
          <w:szCs w:val="16"/>
        </w:rPr>
      </w:pPr>
    </w:p>
    <w:p w14:paraId="79824C1D" w14:textId="3C301685" w:rsidR="00FE7D29" w:rsidRPr="00781112" w:rsidRDefault="00056350" w:rsidP="00123D76">
      <w:pPr>
        <w:pStyle w:val="Heading2"/>
      </w:pPr>
      <w:bookmarkStart w:id="74" w:name="_Toc384383359"/>
      <w:bookmarkStart w:id="75" w:name="_Toc392159327"/>
      <w:bookmarkEnd w:id="71"/>
      <w:bookmarkEnd w:id="72"/>
      <w:r w:rsidRPr="00781112">
        <w:t>12</w:t>
      </w:r>
      <w:r w:rsidR="004838A4" w:rsidRPr="00781112">
        <w:t xml:space="preserve"> </w:t>
      </w:r>
      <w:r w:rsidRPr="00781112">
        <w:t xml:space="preserve">- </w:t>
      </w:r>
      <w:r w:rsidR="00211617" w:rsidRPr="00781112">
        <w:t>Indicator Data</w:t>
      </w:r>
    </w:p>
    <w:p w14:paraId="0150EC4C" w14:textId="77777777" w:rsidR="0091098C" w:rsidRPr="00781112" w:rsidRDefault="0091098C" w:rsidP="004369B2">
      <w:pPr>
        <w:rPr>
          <w:color w:val="000000" w:themeColor="text1"/>
        </w:rPr>
      </w:pPr>
      <w:r w:rsidRPr="00781112">
        <w:rPr>
          <w:b/>
          <w:color w:val="000000" w:themeColor="text1"/>
        </w:rPr>
        <w:t>Not Applicable</w:t>
      </w:r>
    </w:p>
    <w:p w14:paraId="1844E5CA" w14:textId="6EC3A331" w:rsidR="00A5601C" w:rsidRPr="00781112" w:rsidRDefault="005D604C">
      <w:pPr>
        <w:rPr>
          <w:b/>
          <w:color w:val="000000" w:themeColor="text1"/>
        </w:rPr>
      </w:pPr>
      <w:r w:rsidRPr="00781112">
        <w:rPr>
          <w:b/>
          <w:color w:val="000000" w:themeColor="text1"/>
        </w:rPr>
        <w:t>Select yes if this indicator is not applicable.</w:t>
      </w:r>
    </w:p>
    <w:p w14:paraId="5B7EBB05" w14:textId="76B0BD88" w:rsidR="00043AC9" w:rsidRPr="00781112" w:rsidRDefault="00043AC9" w:rsidP="004369B2">
      <w:pPr>
        <w:rPr>
          <w:rFonts w:cs="Arial"/>
          <w:color w:val="000000" w:themeColor="text1"/>
          <w:szCs w:val="16"/>
        </w:rPr>
      </w:pPr>
      <w:r w:rsidRPr="00781112">
        <w:rPr>
          <w:rFonts w:cs="Arial"/>
          <w:color w:val="000000" w:themeColor="text1"/>
          <w:szCs w:val="16"/>
        </w:rPr>
        <w:t>NO</w:t>
      </w:r>
    </w:p>
    <w:p w14:paraId="0D26312C" w14:textId="77777777" w:rsidR="00C50290" w:rsidRPr="00781112" w:rsidRDefault="00C50290" w:rsidP="004369B2">
      <w:pPr>
        <w:rPr>
          <w:color w:val="000000" w:themeColor="text1"/>
        </w:rPr>
      </w:pPr>
    </w:p>
    <w:p w14:paraId="71DDF5C0" w14:textId="3F9EB38B"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2BASELINEDATA"/>
      </w:tblPr>
      <w:tblGrid>
        <w:gridCol w:w="1797"/>
        <w:gridCol w:w="1798"/>
      </w:tblGrid>
      <w:tr w:rsidR="001875AF" w:rsidRPr="00781112" w14:paraId="056D9953" w14:textId="77777777" w:rsidTr="00123D76">
        <w:trPr>
          <w:trHeight w:val="311"/>
          <w:tblHeader/>
        </w:trPr>
        <w:tc>
          <w:tcPr>
            <w:tcW w:w="1797" w:type="dxa"/>
          </w:tcPr>
          <w:p w14:paraId="3B806594" w14:textId="77777777" w:rsidR="001875AF" w:rsidRPr="00781112" w:rsidRDefault="001875AF" w:rsidP="00123D76">
            <w:pPr>
              <w:jc w:val="center"/>
              <w:rPr>
                <w:b/>
                <w:color w:val="000000" w:themeColor="text1"/>
              </w:rPr>
            </w:pPr>
            <w:r w:rsidRPr="00781112">
              <w:rPr>
                <w:rFonts w:cs="Arial"/>
                <w:b/>
                <w:color w:val="000000" w:themeColor="text1"/>
                <w:szCs w:val="16"/>
              </w:rPr>
              <w:t>Baseline Year</w:t>
            </w:r>
          </w:p>
        </w:tc>
        <w:tc>
          <w:tcPr>
            <w:tcW w:w="1798" w:type="dxa"/>
          </w:tcPr>
          <w:p w14:paraId="47C5AC3E" w14:textId="77777777" w:rsidR="001875AF" w:rsidRPr="00781112" w:rsidRDefault="001875AF" w:rsidP="00123D76">
            <w:pPr>
              <w:jc w:val="center"/>
              <w:rPr>
                <w:b/>
                <w:color w:val="000000" w:themeColor="text1"/>
              </w:rPr>
            </w:pPr>
            <w:r w:rsidRPr="00781112">
              <w:rPr>
                <w:b/>
                <w:color w:val="000000" w:themeColor="text1"/>
              </w:rPr>
              <w:t>Baseline Data</w:t>
            </w:r>
          </w:p>
        </w:tc>
      </w:tr>
      <w:tr w:rsidR="001875AF" w:rsidRPr="00781112" w14:paraId="693B925B" w14:textId="77777777" w:rsidTr="00123D76">
        <w:trPr>
          <w:trHeight w:val="311"/>
        </w:trPr>
        <w:tc>
          <w:tcPr>
            <w:tcW w:w="1797" w:type="dxa"/>
            <w:vAlign w:val="center"/>
          </w:tcPr>
          <w:p w14:paraId="589FAD9D" w14:textId="6C47315C" w:rsidR="001875AF" w:rsidRPr="00781112" w:rsidRDefault="001875AF" w:rsidP="00123D76">
            <w:pPr>
              <w:jc w:val="center"/>
              <w:rPr>
                <w:bCs/>
                <w:color w:val="000000" w:themeColor="text1"/>
              </w:rPr>
            </w:pPr>
            <w:r w:rsidRPr="00781112">
              <w:rPr>
                <w:bCs/>
                <w:color w:val="000000" w:themeColor="text1"/>
              </w:rPr>
              <w:t>2019</w:t>
            </w:r>
          </w:p>
        </w:tc>
        <w:tc>
          <w:tcPr>
            <w:tcW w:w="1798" w:type="dxa"/>
            <w:vAlign w:val="center"/>
          </w:tcPr>
          <w:p w14:paraId="00D43D2D" w14:textId="0C3ED28A" w:rsidR="001875AF" w:rsidRPr="00781112" w:rsidRDefault="001875AF" w:rsidP="00123D76">
            <w:pPr>
              <w:jc w:val="center"/>
              <w:rPr>
                <w:bCs/>
                <w:color w:val="000000" w:themeColor="text1"/>
              </w:rPr>
            </w:pPr>
            <w:r w:rsidRPr="00781112">
              <w:rPr>
                <w:bCs/>
                <w:color w:val="000000" w:themeColor="text1"/>
              </w:rPr>
              <w:t>98.16%</w:t>
            </w:r>
          </w:p>
        </w:tc>
      </w:tr>
    </w:tbl>
    <w:p w14:paraId="465AB33D" w14:textId="77777777" w:rsidR="001875AF" w:rsidRPr="00781112" w:rsidRDefault="001875AF"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HISTDATA"/>
      </w:tblPr>
      <w:tblGrid>
        <w:gridCol w:w="1798"/>
        <w:gridCol w:w="1798"/>
        <w:gridCol w:w="1798"/>
        <w:gridCol w:w="1798"/>
        <w:gridCol w:w="1798"/>
        <w:gridCol w:w="1800"/>
      </w:tblGrid>
      <w:tr w:rsidR="005C29F8" w:rsidRPr="00781112" w14:paraId="641F8356" w14:textId="77777777" w:rsidTr="005F2FF9">
        <w:trPr>
          <w:trHeight w:val="350"/>
        </w:trPr>
        <w:tc>
          <w:tcPr>
            <w:tcW w:w="833" w:type="pct"/>
            <w:tcBorders>
              <w:bottom w:val="single" w:sz="4" w:space="0" w:color="auto"/>
            </w:tcBorders>
            <w:shd w:val="clear" w:color="auto" w:fill="auto"/>
          </w:tcPr>
          <w:bookmarkEnd w:id="74"/>
          <w:bookmarkEnd w:id="75"/>
          <w:p w14:paraId="5D9A28F2"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E21A227" w14:textId="61889525"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6B56B4FE" w14:textId="34D3DC5E"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786A53CE" w14:textId="3A94FF3D"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221DF675" w14:textId="00A1F14E"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72849A47" w14:textId="21327CD6" w:rsidR="009447A3" w:rsidRPr="00781112" w:rsidRDefault="002B7490" w:rsidP="008E31C4">
            <w:pPr>
              <w:jc w:val="center"/>
              <w:rPr>
                <w:rFonts w:cs="Arial"/>
                <w:b/>
                <w:color w:val="000000" w:themeColor="text1"/>
                <w:szCs w:val="16"/>
              </w:rPr>
            </w:pPr>
            <w:r w:rsidRPr="00781112">
              <w:rPr>
                <w:rFonts w:cs="Arial"/>
                <w:b/>
                <w:color w:val="000000" w:themeColor="text1"/>
                <w:szCs w:val="16"/>
              </w:rPr>
              <w:t>2022</w:t>
            </w:r>
          </w:p>
        </w:tc>
      </w:tr>
      <w:tr w:rsidR="005C29F8" w:rsidRPr="00781112" w14:paraId="1A3B7AC8" w14:textId="77777777" w:rsidTr="005F2FF9">
        <w:trPr>
          <w:trHeight w:val="357"/>
        </w:trPr>
        <w:tc>
          <w:tcPr>
            <w:tcW w:w="833" w:type="pct"/>
            <w:shd w:val="clear" w:color="auto" w:fill="auto"/>
          </w:tcPr>
          <w:p w14:paraId="27FE69AA" w14:textId="697900D5"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628560E" w14:textId="0BC4570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47A32E0" w14:textId="064AD14E"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EFE8268" w14:textId="7F4C4E30"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14DDB11E" w14:textId="2D6071C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17E07D81" w14:textId="67F91616"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r>
      <w:tr w:rsidR="005C29F8" w:rsidRPr="00781112" w14:paraId="6BA24638" w14:textId="77777777" w:rsidTr="005F2FF9">
        <w:trPr>
          <w:trHeight w:val="85"/>
        </w:trPr>
        <w:tc>
          <w:tcPr>
            <w:tcW w:w="833" w:type="pct"/>
            <w:shd w:val="clear" w:color="auto" w:fill="auto"/>
          </w:tcPr>
          <w:p w14:paraId="76E217FB"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ABEE368" w14:textId="7DA2F686" w:rsidR="009447A3" w:rsidRPr="00781112" w:rsidRDefault="002B7490" w:rsidP="003A4027">
            <w:pPr>
              <w:jc w:val="center"/>
              <w:rPr>
                <w:rFonts w:cs="Arial"/>
                <w:color w:val="000000" w:themeColor="text1"/>
                <w:szCs w:val="16"/>
              </w:rPr>
            </w:pPr>
            <w:r w:rsidRPr="00781112">
              <w:rPr>
                <w:rFonts w:cs="Arial"/>
                <w:color w:val="000000" w:themeColor="text1"/>
                <w:szCs w:val="16"/>
              </w:rPr>
              <w:t>100.00%</w:t>
            </w:r>
          </w:p>
        </w:tc>
        <w:tc>
          <w:tcPr>
            <w:tcW w:w="833" w:type="pct"/>
            <w:shd w:val="clear" w:color="auto" w:fill="auto"/>
          </w:tcPr>
          <w:p w14:paraId="6826E3EC" w14:textId="5DEFD785" w:rsidR="009447A3" w:rsidRPr="00781112" w:rsidRDefault="002B7490" w:rsidP="003A4027">
            <w:pPr>
              <w:jc w:val="center"/>
              <w:rPr>
                <w:rFonts w:cs="Arial"/>
                <w:color w:val="000000" w:themeColor="text1"/>
                <w:szCs w:val="16"/>
              </w:rPr>
            </w:pPr>
            <w:r w:rsidRPr="00781112">
              <w:rPr>
                <w:rFonts w:cs="Arial"/>
                <w:color w:val="000000" w:themeColor="text1"/>
                <w:szCs w:val="16"/>
              </w:rPr>
              <w:t>98.16%</w:t>
            </w:r>
          </w:p>
        </w:tc>
        <w:tc>
          <w:tcPr>
            <w:tcW w:w="833" w:type="pct"/>
            <w:tcBorders>
              <w:bottom w:val="single" w:sz="4" w:space="0" w:color="auto"/>
            </w:tcBorders>
            <w:shd w:val="clear" w:color="auto" w:fill="auto"/>
            <w:vAlign w:val="center"/>
          </w:tcPr>
          <w:p w14:paraId="3702B817" w14:textId="1114F76E" w:rsidR="009447A3" w:rsidRPr="00781112" w:rsidRDefault="002B7490" w:rsidP="003A4027">
            <w:pPr>
              <w:jc w:val="center"/>
              <w:rPr>
                <w:rFonts w:cs="Arial"/>
                <w:color w:val="000000" w:themeColor="text1"/>
                <w:szCs w:val="16"/>
              </w:rPr>
            </w:pPr>
            <w:r w:rsidRPr="00781112">
              <w:rPr>
                <w:rFonts w:cs="Arial"/>
                <w:color w:val="000000" w:themeColor="text1"/>
                <w:szCs w:val="16"/>
              </w:rPr>
              <w:t>97.86%</w:t>
            </w:r>
          </w:p>
        </w:tc>
        <w:tc>
          <w:tcPr>
            <w:tcW w:w="833" w:type="pct"/>
            <w:tcBorders>
              <w:bottom w:val="single" w:sz="4" w:space="0" w:color="auto"/>
            </w:tcBorders>
            <w:shd w:val="clear" w:color="auto" w:fill="auto"/>
            <w:vAlign w:val="center"/>
          </w:tcPr>
          <w:p w14:paraId="7E5D1EA5" w14:textId="75D6241E" w:rsidR="009447A3" w:rsidRPr="00781112" w:rsidRDefault="002B7490" w:rsidP="003A4027">
            <w:pPr>
              <w:jc w:val="center"/>
              <w:rPr>
                <w:rFonts w:cs="Arial"/>
                <w:color w:val="000000" w:themeColor="text1"/>
                <w:szCs w:val="16"/>
              </w:rPr>
            </w:pPr>
            <w:r w:rsidRPr="00781112">
              <w:rPr>
                <w:rFonts w:cs="Arial"/>
                <w:color w:val="000000" w:themeColor="text1"/>
                <w:szCs w:val="16"/>
              </w:rPr>
              <w:t>98.83%</w:t>
            </w:r>
          </w:p>
        </w:tc>
        <w:tc>
          <w:tcPr>
            <w:tcW w:w="834" w:type="pct"/>
            <w:tcBorders>
              <w:bottom w:val="single" w:sz="4" w:space="0" w:color="auto"/>
            </w:tcBorders>
            <w:shd w:val="clear" w:color="auto" w:fill="auto"/>
            <w:vAlign w:val="center"/>
          </w:tcPr>
          <w:p w14:paraId="556DAD68" w14:textId="7FC0436F" w:rsidR="009447A3" w:rsidRPr="00781112" w:rsidRDefault="002B7490" w:rsidP="003A4027">
            <w:pPr>
              <w:jc w:val="center"/>
              <w:rPr>
                <w:rFonts w:cs="Arial"/>
                <w:color w:val="000000" w:themeColor="text1"/>
                <w:szCs w:val="16"/>
              </w:rPr>
            </w:pPr>
            <w:r w:rsidRPr="00781112">
              <w:rPr>
                <w:rFonts w:cs="Arial"/>
                <w:color w:val="000000" w:themeColor="text1"/>
                <w:szCs w:val="16"/>
              </w:rPr>
              <w:t>98.95%</w:t>
            </w:r>
          </w:p>
        </w:tc>
      </w:tr>
    </w:tbl>
    <w:p w14:paraId="3BDF8559" w14:textId="77777777" w:rsidR="00D82883" w:rsidRPr="00781112" w:rsidRDefault="00D82883" w:rsidP="004369B2">
      <w:pPr>
        <w:rPr>
          <w:color w:val="000000" w:themeColor="text1"/>
        </w:rPr>
      </w:pPr>
    </w:p>
    <w:p w14:paraId="32D6DA70" w14:textId="38C36AA8" w:rsidR="007A3964" w:rsidRPr="00781112" w:rsidRDefault="007A3964" w:rsidP="004369B2">
      <w:pPr>
        <w:rPr>
          <w:color w:val="000000" w:themeColor="text1"/>
        </w:rPr>
      </w:pPr>
      <w:r w:rsidRPr="00781112">
        <w:rPr>
          <w:b/>
          <w:color w:val="000000" w:themeColor="text1"/>
        </w:rPr>
        <w:t>Targets</w:t>
      </w:r>
    </w:p>
    <w:tbl>
      <w:tblPr>
        <w:tblW w:w="3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TARGETS"/>
      </w:tblPr>
      <w:tblGrid>
        <w:gridCol w:w="679"/>
        <w:gridCol w:w="2397"/>
        <w:gridCol w:w="2570"/>
        <w:gridCol w:w="2570"/>
      </w:tblGrid>
      <w:tr w:rsidR="007B2985" w:rsidRPr="00781112" w14:paraId="41D3AE7A" w14:textId="578794F0" w:rsidTr="00FE4611">
        <w:trPr>
          <w:trHeight w:val="328"/>
        </w:trPr>
        <w:tc>
          <w:tcPr>
            <w:tcW w:w="406" w:type="pct"/>
            <w:tcBorders>
              <w:bottom w:val="single" w:sz="4" w:space="0" w:color="auto"/>
            </w:tcBorders>
            <w:shd w:val="clear" w:color="auto" w:fill="auto"/>
          </w:tcPr>
          <w:p w14:paraId="7786D02D" w14:textId="77777777" w:rsidR="007B2985" w:rsidRPr="00781112" w:rsidRDefault="007B2985" w:rsidP="00AF574F">
            <w:pPr>
              <w:jc w:val="center"/>
              <w:rPr>
                <w:b/>
                <w:color w:val="000000" w:themeColor="text1"/>
              </w:rPr>
            </w:pPr>
            <w:r w:rsidRPr="00781112">
              <w:rPr>
                <w:b/>
                <w:color w:val="000000" w:themeColor="text1"/>
              </w:rPr>
              <w:t>FFY</w:t>
            </w:r>
          </w:p>
        </w:tc>
        <w:tc>
          <w:tcPr>
            <w:tcW w:w="1461" w:type="pct"/>
            <w:shd w:val="clear" w:color="auto" w:fill="auto"/>
          </w:tcPr>
          <w:p w14:paraId="09ED5838" w14:textId="77777777" w:rsidR="007B2985" w:rsidRPr="00781112" w:rsidRDefault="007B2985" w:rsidP="00AF574F">
            <w:pPr>
              <w:jc w:val="center"/>
              <w:rPr>
                <w:b/>
                <w:color w:val="000000" w:themeColor="text1"/>
              </w:rPr>
            </w:pPr>
            <w:r w:rsidRPr="00781112">
              <w:rPr>
                <w:b/>
                <w:color w:val="000000" w:themeColor="text1"/>
              </w:rPr>
              <w:t>2023</w:t>
            </w:r>
          </w:p>
        </w:tc>
        <w:tc>
          <w:tcPr>
            <w:tcW w:w="1566" w:type="pct"/>
          </w:tcPr>
          <w:p w14:paraId="0769903C" w14:textId="05A227DB" w:rsidR="007B2985" w:rsidRPr="00781112" w:rsidRDefault="007B2985" w:rsidP="00AF574F">
            <w:pPr>
              <w:jc w:val="center"/>
              <w:rPr>
                <w:b/>
                <w:color w:val="000000" w:themeColor="text1"/>
              </w:rPr>
            </w:pPr>
            <w:r w:rsidRPr="00781112">
              <w:rPr>
                <w:rFonts w:cs="Arial"/>
                <w:b/>
                <w:color w:val="000000" w:themeColor="text1"/>
                <w:szCs w:val="16"/>
              </w:rPr>
              <w:t>2024</w:t>
            </w:r>
          </w:p>
        </w:tc>
        <w:tc>
          <w:tcPr>
            <w:tcW w:w="1566" w:type="pct"/>
          </w:tcPr>
          <w:p w14:paraId="77CF077D" w14:textId="38DFC132" w:rsidR="007B2985" w:rsidRPr="00781112" w:rsidRDefault="007B2985" w:rsidP="00AF574F">
            <w:pPr>
              <w:jc w:val="center"/>
              <w:rPr>
                <w:b/>
                <w:color w:val="000000" w:themeColor="text1"/>
              </w:rPr>
            </w:pPr>
            <w:r w:rsidRPr="00781112">
              <w:rPr>
                <w:rFonts w:cs="Arial"/>
                <w:b/>
                <w:color w:val="000000" w:themeColor="text1"/>
                <w:szCs w:val="16"/>
              </w:rPr>
              <w:t>2025</w:t>
            </w:r>
          </w:p>
        </w:tc>
      </w:tr>
      <w:tr w:rsidR="007B2985" w:rsidRPr="00781112" w14:paraId="2B267817" w14:textId="2A03C05D" w:rsidTr="00FE4611">
        <w:trPr>
          <w:trHeight w:val="335"/>
        </w:trPr>
        <w:tc>
          <w:tcPr>
            <w:tcW w:w="406" w:type="pct"/>
            <w:shd w:val="clear" w:color="auto" w:fill="auto"/>
            <w:vAlign w:val="center"/>
          </w:tcPr>
          <w:p w14:paraId="70D956A8" w14:textId="6CD3BD29" w:rsidR="007B2985" w:rsidRPr="00781112" w:rsidRDefault="007B2985" w:rsidP="00BA3DBE">
            <w:pPr>
              <w:jc w:val="center"/>
              <w:rPr>
                <w:rFonts w:cs="Arial"/>
                <w:color w:val="000000" w:themeColor="text1"/>
                <w:szCs w:val="16"/>
              </w:rPr>
            </w:pPr>
            <w:r w:rsidRPr="00781112">
              <w:rPr>
                <w:rFonts w:cs="Arial"/>
                <w:color w:val="000000" w:themeColor="text1"/>
                <w:szCs w:val="16"/>
              </w:rPr>
              <w:t>Target</w:t>
            </w:r>
          </w:p>
        </w:tc>
        <w:tc>
          <w:tcPr>
            <w:tcW w:w="1461" w:type="pct"/>
            <w:shd w:val="clear" w:color="auto" w:fill="auto"/>
            <w:vAlign w:val="center"/>
          </w:tcPr>
          <w:p w14:paraId="5CDE7127" w14:textId="59D1386F" w:rsidR="007B2985" w:rsidRPr="00781112" w:rsidRDefault="007B2985" w:rsidP="00AF574F">
            <w:pPr>
              <w:jc w:val="center"/>
              <w:rPr>
                <w:rFonts w:cs="Arial"/>
                <w:color w:val="000000" w:themeColor="text1"/>
                <w:szCs w:val="16"/>
              </w:rPr>
            </w:pPr>
            <w:r w:rsidRPr="00781112">
              <w:rPr>
                <w:rFonts w:cs="Arial"/>
                <w:color w:val="000000" w:themeColor="text1"/>
                <w:szCs w:val="16"/>
              </w:rPr>
              <w:t>100%</w:t>
            </w:r>
          </w:p>
        </w:tc>
        <w:tc>
          <w:tcPr>
            <w:tcW w:w="1566" w:type="pct"/>
          </w:tcPr>
          <w:p w14:paraId="6CF78C3F" w14:textId="1B45F3AE" w:rsidR="007B2985" w:rsidRPr="00781112" w:rsidRDefault="007B2985" w:rsidP="00AF574F">
            <w:pPr>
              <w:jc w:val="center"/>
              <w:rPr>
                <w:rFonts w:cs="Arial"/>
                <w:color w:val="000000" w:themeColor="text1"/>
                <w:szCs w:val="16"/>
              </w:rPr>
            </w:pPr>
            <w:r w:rsidRPr="00781112">
              <w:rPr>
                <w:color w:val="000000" w:themeColor="text1"/>
                <w:szCs w:val="16"/>
              </w:rPr>
              <w:t>100%</w:t>
            </w:r>
          </w:p>
        </w:tc>
        <w:tc>
          <w:tcPr>
            <w:tcW w:w="1566" w:type="pct"/>
          </w:tcPr>
          <w:p w14:paraId="6FCC2C45" w14:textId="5131688B" w:rsidR="007B2985" w:rsidRPr="00781112" w:rsidRDefault="007B2985" w:rsidP="00AF574F">
            <w:pPr>
              <w:jc w:val="center"/>
              <w:rPr>
                <w:rFonts w:cs="Arial"/>
                <w:color w:val="000000" w:themeColor="text1"/>
                <w:szCs w:val="16"/>
              </w:rPr>
            </w:pPr>
            <w:r w:rsidRPr="00781112">
              <w:rPr>
                <w:color w:val="000000" w:themeColor="text1"/>
                <w:szCs w:val="16"/>
              </w:rPr>
              <w:t>100%</w:t>
            </w:r>
          </w:p>
        </w:tc>
      </w:tr>
    </w:tbl>
    <w:p w14:paraId="1AD7361B" w14:textId="77777777" w:rsidR="00D82883" w:rsidRPr="00781112" w:rsidRDefault="00D82883" w:rsidP="004369B2">
      <w:pPr>
        <w:rPr>
          <w:color w:val="000000" w:themeColor="text1"/>
        </w:rPr>
      </w:pPr>
    </w:p>
    <w:p w14:paraId="4C8DD49F" w14:textId="6A4FE7C8" w:rsidR="00634AD8" w:rsidRPr="00781112" w:rsidRDefault="0047313F" w:rsidP="004369B2">
      <w:pPr>
        <w:rPr>
          <w:color w:val="000000" w:themeColor="text1"/>
        </w:rPr>
      </w:pPr>
      <w:r>
        <w:rPr>
          <w:b/>
          <w:color w:val="000000" w:themeColor="text1"/>
        </w:rPr>
        <w:lastRenderedPageBreak/>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CFFYAPRDATA"/>
      </w:tblPr>
      <w:tblGrid>
        <w:gridCol w:w="9355"/>
        <w:gridCol w:w="1435"/>
      </w:tblGrid>
      <w:tr w:rsidR="005C29F8" w:rsidRPr="00781112" w14:paraId="5DD64811" w14:textId="77777777" w:rsidTr="009D3860">
        <w:trPr>
          <w:trHeight w:val="350"/>
        </w:trPr>
        <w:tc>
          <w:tcPr>
            <w:tcW w:w="4335" w:type="pct"/>
          </w:tcPr>
          <w:p w14:paraId="7822AF5A"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a. Number of children who have been served in Part C and referred to Part B for Part B eligibility determination. </w:t>
            </w:r>
          </w:p>
        </w:tc>
        <w:tc>
          <w:tcPr>
            <w:tcW w:w="665" w:type="pct"/>
            <w:shd w:val="clear" w:color="auto" w:fill="auto"/>
            <w:vAlign w:val="center"/>
          </w:tcPr>
          <w:p w14:paraId="65ADF67F" w14:textId="14592995" w:rsidR="00634AD8" w:rsidRPr="00781112" w:rsidRDefault="002B7490" w:rsidP="00A018D4">
            <w:pPr>
              <w:jc w:val="center"/>
              <w:rPr>
                <w:rFonts w:cs="Arial"/>
                <w:color w:val="000000" w:themeColor="text1"/>
                <w:szCs w:val="16"/>
              </w:rPr>
            </w:pPr>
            <w:r w:rsidRPr="00781112">
              <w:rPr>
                <w:rFonts w:cs="Arial"/>
                <w:color w:val="000000" w:themeColor="text1"/>
                <w:szCs w:val="16"/>
              </w:rPr>
              <w:t>1,129</w:t>
            </w:r>
          </w:p>
        </w:tc>
      </w:tr>
      <w:tr w:rsidR="005C29F8" w:rsidRPr="00781112" w14:paraId="6497A162" w14:textId="77777777" w:rsidTr="009D3860">
        <w:trPr>
          <w:trHeight w:val="357"/>
        </w:trPr>
        <w:tc>
          <w:tcPr>
            <w:tcW w:w="4335" w:type="pct"/>
          </w:tcPr>
          <w:p w14:paraId="00979D87"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b. Number of those referred determined to be NOT eligible and whose eligibility was determined prior to third birthday. </w:t>
            </w:r>
          </w:p>
        </w:tc>
        <w:tc>
          <w:tcPr>
            <w:tcW w:w="665" w:type="pct"/>
            <w:shd w:val="clear" w:color="auto" w:fill="auto"/>
            <w:vAlign w:val="center"/>
          </w:tcPr>
          <w:p w14:paraId="5383065B" w14:textId="0CFFF590" w:rsidR="00634AD8" w:rsidRPr="00781112" w:rsidRDefault="002B7490" w:rsidP="00A018D4">
            <w:pPr>
              <w:jc w:val="center"/>
              <w:rPr>
                <w:rFonts w:cs="Arial"/>
                <w:color w:val="000000" w:themeColor="text1"/>
                <w:szCs w:val="16"/>
              </w:rPr>
            </w:pPr>
            <w:r w:rsidRPr="00781112">
              <w:rPr>
                <w:rFonts w:cs="Arial"/>
                <w:color w:val="000000" w:themeColor="text1"/>
                <w:szCs w:val="16"/>
              </w:rPr>
              <w:t>189</w:t>
            </w:r>
          </w:p>
        </w:tc>
      </w:tr>
      <w:tr w:rsidR="005C29F8" w:rsidRPr="00781112" w14:paraId="3372C19D" w14:textId="77777777" w:rsidTr="009D3860">
        <w:trPr>
          <w:trHeight w:val="357"/>
        </w:trPr>
        <w:tc>
          <w:tcPr>
            <w:tcW w:w="4335" w:type="pct"/>
          </w:tcPr>
          <w:p w14:paraId="2817071E"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c. Number of those found eligible who have an IEP developed and implemented by their third birthdays. </w:t>
            </w:r>
          </w:p>
        </w:tc>
        <w:tc>
          <w:tcPr>
            <w:tcW w:w="665" w:type="pct"/>
            <w:shd w:val="clear" w:color="auto" w:fill="auto"/>
            <w:vAlign w:val="center"/>
          </w:tcPr>
          <w:p w14:paraId="1678CD90" w14:textId="068B0D57" w:rsidR="00634AD8" w:rsidRPr="00781112" w:rsidRDefault="002B7490" w:rsidP="00A018D4">
            <w:pPr>
              <w:jc w:val="center"/>
              <w:rPr>
                <w:rFonts w:cs="Arial"/>
                <w:color w:val="000000" w:themeColor="text1"/>
                <w:szCs w:val="16"/>
              </w:rPr>
            </w:pPr>
            <w:r w:rsidRPr="00781112">
              <w:rPr>
                <w:rFonts w:cs="Arial"/>
                <w:color w:val="000000" w:themeColor="text1"/>
                <w:szCs w:val="16"/>
              </w:rPr>
              <w:t>810</w:t>
            </w:r>
          </w:p>
        </w:tc>
      </w:tr>
      <w:tr w:rsidR="005C29F8" w:rsidRPr="00781112" w14:paraId="00CE41C8" w14:textId="77777777" w:rsidTr="009D3860">
        <w:trPr>
          <w:trHeight w:val="357"/>
        </w:trPr>
        <w:tc>
          <w:tcPr>
            <w:tcW w:w="4335" w:type="pct"/>
          </w:tcPr>
          <w:p w14:paraId="547A75A2"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d. Number for whom parent refusals to provide consent caused delays in evaluation or initial services or to whom exceptions under 34 CFR §300.301(d) applied. </w:t>
            </w:r>
          </w:p>
        </w:tc>
        <w:tc>
          <w:tcPr>
            <w:tcW w:w="665" w:type="pct"/>
            <w:shd w:val="clear" w:color="auto" w:fill="auto"/>
            <w:vAlign w:val="center"/>
          </w:tcPr>
          <w:p w14:paraId="78FF9A45" w14:textId="45CD6353" w:rsidR="00634AD8" w:rsidRPr="00781112" w:rsidRDefault="002B7490" w:rsidP="00A018D4">
            <w:pPr>
              <w:jc w:val="center"/>
              <w:rPr>
                <w:rFonts w:cs="Arial"/>
                <w:color w:val="000000" w:themeColor="text1"/>
                <w:szCs w:val="16"/>
              </w:rPr>
            </w:pPr>
            <w:r w:rsidRPr="00781112">
              <w:rPr>
                <w:rFonts w:cs="Arial"/>
                <w:color w:val="000000" w:themeColor="text1"/>
                <w:szCs w:val="16"/>
              </w:rPr>
              <w:t>100</w:t>
            </w:r>
          </w:p>
        </w:tc>
      </w:tr>
      <w:tr w:rsidR="005C29F8" w:rsidRPr="00781112" w14:paraId="47C8B30F" w14:textId="77777777" w:rsidTr="009D3860">
        <w:trPr>
          <w:trHeight w:val="357"/>
        </w:trPr>
        <w:tc>
          <w:tcPr>
            <w:tcW w:w="4335" w:type="pct"/>
          </w:tcPr>
          <w:p w14:paraId="03BE3AC0"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e. Number of children who were referred to Part C less than 90 days before their third birthdays. </w:t>
            </w:r>
          </w:p>
        </w:tc>
        <w:tc>
          <w:tcPr>
            <w:tcW w:w="665" w:type="pct"/>
            <w:shd w:val="clear" w:color="auto" w:fill="auto"/>
            <w:vAlign w:val="center"/>
          </w:tcPr>
          <w:p w14:paraId="33E087DB" w14:textId="01E57E33" w:rsidR="00634AD8" w:rsidRPr="00781112" w:rsidRDefault="002B7490" w:rsidP="00A018D4">
            <w:pPr>
              <w:jc w:val="center"/>
              <w:rPr>
                <w:rFonts w:cs="Arial"/>
                <w:color w:val="000000" w:themeColor="text1"/>
                <w:szCs w:val="16"/>
              </w:rPr>
            </w:pPr>
            <w:r w:rsidRPr="00781112">
              <w:rPr>
                <w:rFonts w:cs="Arial"/>
                <w:color w:val="000000" w:themeColor="text1"/>
                <w:szCs w:val="16"/>
              </w:rPr>
              <w:t>30</w:t>
            </w:r>
          </w:p>
        </w:tc>
      </w:tr>
      <w:tr w:rsidR="004E67B3" w:rsidRPr="00781112" w14:paraId="19297440" w14:textId="77777777" w:rsidTr="009D3860">
        <w:trPr>
          <w:trHeight w:val="357"/>
        </w:trPr>
        <w:tc>
          <w:tcPr>
            <w:tcW w:w="4335" w:type="pct"/>
          </w:tcPr>
          <w:p w14:paraId="592F3289" w14:textId="43CA733D" w:rsidR="004E67B3" w:rsidRPr="00781112" w:rsidRDefault="004E67B3" w:rsidP="003E65F5">
            <w:pPr>
              <w:rPr>
                <w:rFonts w:cs="Arial"/>
                <w:color w:val="000000" w:themeColor="text1"/>
                <w:szCs w:val="16"/>
              </w:rPr>
            </w:pPr>
            <w:r w:rsidRPr="00781112">
              <w:rPr>
                <w:rFonts w:cs="Arial"/>
                <w:color w:val="000000" w:themeColor="text1"/>
                <w:szCs w:val="16"/>
              </w:rPr>
              <w:t>f. Number of children whose parents chose to continue early intervention services beyond the child’s third birthday through a State’s policy under 34 CFR §303.211 or a similar State option.</w:t>
            </w:r>
          </w:p>
        </w:tc>
        <w:tc>
          <w:tcPr>
            <w:tcW w:w="665" w:type="pct"/>
            <w:shd w:val="clear" w:color="auto" w:fill="auto"/>
            <w:vAlign w:val="center"/>
          </w:tcPr>
          <w:p w14:paraId="02B29C79" w14:textId="62FEE650" w:rsidR="004E67B3"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798A2079"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CFFYAPRDATA1"/>
      </w:tblPr>
      <w:tblGrid>
        <w:gridCol w:w="1794"/>
        <w:gridCol w:w="1285"/>
        <w:gridCol w:w="1285"/>
        <w:gridCol w:w="1285"/>
        <w:gridCol w:w="1285"/>
        <w:gridCol w:w="1285"/>
        <w:gridCol w:w="1285"/>
        <w:gridCol w:w="1286"/>
      </w:tblGrid>
      <w:tr w:rsidR="00B1652C" w:rsidRPr="00781112" w14:paraId="666B6B4E" w14:textId="2C1DC9A0" w:rsidTr="0010170F">
        <w:trPr>
          <w:trHeight w:val="340"/>
          <w:tblHeader/>
        </w:trPr>
        <w:tc>
          <w:tcPr>
            <w:tcW w:w="831" w:type="pct"/>
            <w:shd w:val="clear" w:color="auto" w:fill="auto"/>
          </w:tcPr>
          <w:p w14:paraId="5A0321EA" w14:textId="34C57852" w:rsidR="00B1652C" w:rsidRPr="00781112" w:rsidRDefault="00B1652C" w:rsidP="00BA3DBE">
            <w:pPr>
              <w:jc w:val="center"/>
              <w:rPr>
                <w:rFonts w:cs="Arial"/>
                <w:b/>
                <w:bCs/>
                <w:color w:val="000000" w:themeColor="text1"/>
                <w:szCs w:val="16"/>
              </w:rPr>
            </w:pPr>
            <w:r w:rsidRPr="00781112">
              <w:rPr>
                <w:rFonts w:cs="Arial"/>
                <w:b/>
                <w:bCs/>
                <w:color w:val="000000" w:themeColor="text1"/>
                <w:szCs w:val="16"/>
              </w:rPr>
              <w:t>Measure</w:t>
            </w:r>
          </w:p>
        </w:tc>
        <w:tc>
          <w:tcPr>
            <w:tcW w:w="595" w:type="pct"/>
            <w:shd w:val="clear" w:color="auto" w:fill="auto"/>
          </w:tcPr>
          <w:p w14:paraId="4539005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Numerator (c)</w:t>
            </w:r>
          </w:p>
        </w:tc>
        <w:tc>
          <w:tcPr>
            <w:tcW w:w="595" w:type="pct"/>
            <w:shd w:val="clear" w:color="auto" w:fill="auto"/>
          </w:tcPr>
          <w:p w14:paraId="46860D80" w14:textId="77777777" w:rsidR="00B1652C" w:rsidRPr="0075451F" w:rsidRDefault="00B1652C" w:rsidP="00B1652C">
            <w:pPr>
              <w:jc w:val="center"/>
              <w:rPr>
                <w:rFonts w:cs="Arial"/>
                <w:b/>
                <w:color w:val="000000" w:themeColor="text1"/>
                <w:szCs w:val="16"/>
                <w:lang w:val="es-ES"/>
              </w:rPr>
            </w:pPr>
            <w:r w:rsidRPr="0075451F">
              <w:rPr>
                <w:rFonts w:cs="Arial"/>
                <w:b/>
                <w:color w:val="000000" w:themeColor="text1"/>
                <w:szCs w:val="16"/>
                <w:lang w:val="es-ES"/>
              </w:rPr>
              <w:t>Denominator (a-b-d-e-f)</w:t>
            </w:r>
          </w:p>
        </w:tc>
        <w:tc>
          <w:tcPr>
            <w:tcW w:w="595" w:type="pct"/>
            <w:shd w:val="clear" w:color="auto" w:fill="auto"/>
            <w:vAlign w:val="bottom"/>
          </w:tcPr>
          <w:p w14:paraId="58F547FF" w14:textId="167BDEC4" w:rsidR="00B1652C" w:rsidRPr="006D0A52" w:rsidRDefault="00B1652C" w:rsidP="00B1652C">
            <w:pPr>
              <w:jc w:val="center"/>
              <w:rPr>
                <w:rFonts w:cs="Arial"/>
                <w:b/>
                <w:bCs/>
                <w:color w:val="000000" w:themeColor="text1"/>
                <w:szCs w:val="16"/>
              </w:rPr>
            </w:pPr>
            <w:r w:rsidRPr="006D0A52">
              <w:rPr>
                <w:b/>
                <w:bCs/>
              </w:rPr>
              <w:t>FFY 2022 Data</w:t>
            </w:r>
          </w:p>
        </w:tc>
        <w:tc>
          <w:tcPr>
            <w:tcW w:w="595" w:type="pct"/>
            <w:shd w:val="clear" w:color="auto" w:fill="auto"/>
            <w:vAlign w:val="bottom"/>
          </w:tcPr>
          <w:p w14:paraId="36BD2BCA" w14:textId="291DC964" w:rsidR="00B1652C" w:rsidRPr="006D0A52" w:rsidRDefault="00B1652C" w:rsidP="00B1652C">
            <w:pPr>
              <w:jc w:val="center"/>
              <w:rPr>
                <w:rFonts w:cs="Arial"/>
                <w:b/>
                <w:bCs/>
                <w:color w:val="000000" w:themeColor="text1"/>
                <w:szCs w:val="16"/>
              </w:rPr>
            </w:pPr>
            <w:r w:rsidRPr="006D0A52">
              <w:rPr>
                <w:b/>
                <w:bCs/>
              </w:rPr>
              <w:t>FFY 2023 Target</w:t>
            </w:r>
          </w:p>
        </w:tc>
        <w:tc>
          <w:tcPr>
            <w:tcW w:w="595" w:type="pct"/>
            <w:shd w:val="clear" w:color="auto" w:fill="auto"/>
            <w:vAlign w:val="bottom"/>
          </w:tcPr>
          <w:p w14:paraId="0030B6C4" w14:textId="76C3C00A" w:rsidR="00B1652C" w:rsidRPr="006D0A52" w:rsidRDefault="00B1652C" w:rsidP="00B1652C">
            <w:pPr>
              <w:jc w:val="center"/>
              <w:rPr>
                <w:rFonts w:cs="Arial"/>
                <w:b/>
                <w:bCs/>
                <w:color w:val="000000" w:themeColor="text1"/>
                <w:szCs w:val="16"/>
              </w:rPr>
            </w:pPr>
            <w:r w:rsidRPr="006D0A52">
              <w:rPr>
                <w:b/>
                <w:bCs/>
              </w:rPr>
              <w:t>FFY 2023 Data</w:t>
            </w:r>
          </w:p>
        </w:tc>
        <w:tc>
          <w:tcPr>
            <w:tcW w:w="595" w:type="pct"/>
            <w:shd w:val="clear" w:color="auto" w:fill="auto"/>
          </w:tcPr>
          <w:p w14:paraId="16905A6D" w14:textId="19A3632B"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596" w:type="pct"/>
            <w:shd w:val="clear" w:color="auto" w:fill="auto"/>
          </w:tcPr>
          <w:p w14:paraId="0DCCD9DE" w14:textId="3F28AD6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F7C0EED" w14:textId="06CECBDB" w:rsidTr="005F2FF9">
        <w:trPr>
          <w:trHeight w:val="347"/>
        </w:trPr>
        <w:tc>
          <w:tcPr>
            <w:tcW w:w="831" w:type="pct"/>
            <w:shd w:val="clear" w:color="auto" w:fill="auto"/>
          </w:tcPr>
          <w:p w14:paraId="42006EF2" w14:textId="30F01538" w:rsidR="009447A3" w:rsidRPr="00781112" w:rsidRDefault="00616BA4" w:rsidP="009447A3">
            <w:pPr>
              <w:rPr>
                <w:rFonts w:cs="Arial"/>
                <w:color w:val="000000" w:themeColor="text1"/>
                <w:szCs w:val="16"/>
              </w:rPr>
            </w:pPr>
            <w:r w:rsidRPr="00781112">
              <w:rPr>
                <w:rFonts w:cs="Arial"/>
                <w:color w:val="000000" w:themeColor="text1"/>
                <w:szCs w:val="16"/>
              </w:rPr>
              <w:t>Percent of children referred by Part C prior to age 3 who are found eligible for Part B, and who have an IEP developed and implemented by their third birthdays.</w:t>
            </w:r>
          </w:p>
        </w:tc>
        <w:tc>
          <w:tcPr>
            <w:tcW w:w="595" w:type="pct"/>
            <w:shd w:val="clear" w:color="auto" w:fill="auto"/>
            <w:vAlign w:val="center"/>
          </w:tcPr>
          <w:p w14:paraId="25AD0B10" w14:textId="530E8072" w:rsidR="009447A3" w:rsidRPr="00781112" w:rsidRDefault="00FA318E" w:rsidP="004369B2">
            <w:pPr>
              <w:jc w:val="center"/>
              <w:rPr>
                <w:rFonts w:cs="Arial"/>
                <w:color w:val="000000" w:themeColor="text1"/>
                <w:szCs w:val="16"/>
              </w:rPr>
            </w:pPr>
            <w:r w:rsidRPr="00781112">
              <w:rPr>
                <w:rFonts w:cs="Arial"/>
                <w:color w:val="000000" w:themeColor="text1"/>
                <w:szCs w:val="16"/>
              </w:rPr>
              <w:t>810</w:t>
            </w:r>
          </w:p>
        </w:tc>
        <w:tc>
          <w:tcPr>
            <w:tcW w:w="595" w:type="pct"/>
            <w:shd w:val="clear" w:color="auto" w:fill="auto"/>
            <w:vAlign w:val="center"/>
          </w:tcPr>
          <w:p w14:paraId="7A8E33C9" w14:textId="2CE029E7" w:rsidR="009447A3" w:rsidRPr="00781112" w:rsidRDefault="00FA318E" w:rsidP="004369B2">
            <w:pPr>
              <w:jc w:val="center"/>
              <w:rPr>
                <w:rFonts w:cs="Arial"/>
                <w:color w:val="000000" w:themeColor="text1"/>
                <w:szCs w:val="16"/>
              </w:rPr>
            </w:pPr>
            <w:r w:rsidRPr="00781112">
              <w:rPr>
                <w:rFonts w:cs="Arial"/>
                <w:color w:val="000000" w:themeColor="text1"/>
                <w:szCs w:val="16"/>
              </w:rPr>
              <w:t>810</w:t>
            </w:r>
          </w:p>
        </w:tc>
        <w:tc>
          <w:tcPr>
            <w:tcW w:w="595" w:type="pct"/>
            <w:shd w:val="clear" w:color="auto" w:fill="auto"/>
            <w:vAlign w:val="center"/>
          </w:tcPr>
          <w:p w14:paraId="7A618E17" w14:textId="730CF37E" w:rsidR="009447A3" w:rsidRPr="00781112" w:rsidRDefault="002B7490" w:rsidP="004369B2">
            <w:pPr>
              <w:jc w:val="center"/>
              <w:rPr>
                <w:rFonts w:cs="Arial"/>
                <w:color w:val="000000" w:themeColor="text1"/>
                <w:szCs w:val="16"/>
              </w:rPr>
            </w:pPr>
            <w:r w:rsidRPr="00781112">
              <w:rPr>
                <w:rFonts w:cs="Arial"/>
                <w:color w:val="000000" w:themeColor="text1"/>
                <w:szCs w:val="16"/>
              </w:rPr>
              <w:t>98.95%</w:t>
            </w:r>
          </w:p>
        </w:tc>
        <w:tc>
          <w:tcPr>
            <w:tcW w:w="595" w:type="pct"/>
            <w:shd w:val="clear" w:color="auto" w:fill="auto"/>
            <w:vAlign w:val="center"/>
          </w:tcPr>
          <w:p w14:paraId="173DD24A" w14:textId="02E11A38"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95" w:type="pct"/>
            <w:shd w:val="clear" w:color="auto" w:fill="auto"/>
            <w:vAlign w:val="center"/>
          </w:tcPr>
          <w:p w14:paraId="1BEC9517" w14:textId="612C62AC" w:rsidR="009447A3" w:rsidRPr="00781112" w:rsidRDefault="002B7490" w:rsidP="004369B2">
            <w:pPr>
              <w:jc w:val="center"/>
              <w:rPr>
                <w:rFonts w:cs="Arial"/>
                <w:color w:val="000000" w:themeColor="text1"/>
                <w:szCs w:val="16"/>
              </w:rPr>
            </w:pPr>
            <w:r w:rsidRPr="00781112">
              <w:rPr>
                <w:rFonts w:cs="Arial"/>
                <w:color w:val="000000" w:themeColor="text1"/>
                <w:szCs w:val="16"/>
              </w:rPr>
              <w:t>100.00%</w:t>
            </w:r>
          </w:p>
        </w:tc>
        <w:tc>
          <w:tcPr>
            <w:tcW w:w="595" w:type="pct"/>
            <w:shd w:val="clear" w:color="auto" w:fill="auto"/>
            <w:vAlign w:val="center"/>
          </w:tcPr>
          <w:p w14:paraId="35C0024C" w14:textId="6347E5FC" w:rsidR="009447A3" w:rsidRPr="00781112" w:rsidRDefault="002B7490" w:rsidP="004369B2">
            <w:pPr>
              <w:jc w:val="center"/>
              <w:rPr>
                <w:rFonts w:cs="Arial"/>
                <w:color w:val="000000" w:themeColor="text1"/>
                <w:szCs w:val="16"/>
              </w:rPr>
            </w:pPr>
            <w:r w:rsidRPr="00781112">
              <w:rPr>
                <w:rFonts w:cs="Arial"/>
                <w:color w:val="000000" w:themeColor="text1"/>
                <w:szCs w:val="16"/>
              </w:rPr>
              <w:t>Met target</w:t>
            </w:r>
          </w:p>
        </w:tc>
        <w:tc>
          <w:tcPr>
            <w:tcW w:w="596" w:type="pct"/>
            <w:shd w:val="clear" w:color="auto" w:fill="auto"/>
            <w:vAlign w:val="center"/>
          </w:tcPr>
          <w:p w14:paraId="466F387F" w14:textId="652A9CC9" w:rsidR="009447A3"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416C2F1" w14:textId="701A59F0" w:rsidR="00A5601C" w:rsidRPr="00781112" w:rsidRDefault="00A5601C" w:rsidP="007D435F">
      <w:pPr>
        <w:rPr>
          <w:rFonts w:cs="Arial"/>
          <w:b/>
          <w:color w:val="000000" w:themeColor="text1"/>
          <w:szCs w:val="16"/>
        </w:rPr>
      </w:pPr>
      <w:r w:rsidRPr="00781112">
        <w:rPr>
          <w:rFonts w:cs="Arial"/>
          <w:b/>
          <w:color w:val="000000" w:themeColor="text1"/>
          <w:szCs w:val="16"/>
        </w:rPr>
        <w:t>Number of children who served in Part C and referred to Part B for eligibility determination that are not included in b, c, d, e, or f</w:t>
      </w:r>
    </w:p>
    <w:p w14:paraId="621D77AD" w14:textId="2BC90681" w:rsidR="00A5601C" w:rsidRPr="00781112" w:rsidRDefault="00A5601C" w:rsidP="007D435F">
      <w:pPr>
        <w:rPr>
          <w:rFonts w:cs="Arial"/>
          <w:color w:val="000000" w:themeColor="text1"/>
          <w:szCs w:val="16"/>
        </w:rPr>
      </w:pPr>
      <w:r w:rsidRPr="00781112">
        <w:rPr>
          <w:rFonts w:cs="Arial"/>
          <w:color w:val="000000" w:themeColor="text1"/>
          <w:szCs w:val="16"/>
        </w:rPr>
        <w:t>0</w:t>
      </w:r>
    </w:p>
    <w:p w14:paraId="2DB77447" w14:textId="5C5B3699" w:rsidR="00E418E6" w:rsidRPr="00781112" w:rsidRDefault="00326C0B" w:rsidP="006A01BD">
      <w:pPr>
        <w:rPr>
          <w:b/>
          <w:color w:val="000000" w:themeColor="text1"/>
        </w:rPr>
      </w:pPr>
      <w:r w:rsidRPr="00781112">
        <w:rPr>
          <w:b/>
          <w:color w:val="000000" w:themeColor="text1"/>
        </w:rPr>
        <w:t>Account for children included in (a), but not included in b, c, d, e, or f. Indicate the range of days beyond the third birthday when eligibility was determined and the IEP developed, and the reasons for the delays.</w:t>
      </w:r>
    </w:p>
    <w:p w14:paraId="542A680D" w14:textId="2831B065" w:rsidR="00326C0B" w:rsidRPr="00781112" w:rsidRDefault="00326C0B" w:rsidP="006A01BD">
      <w:pPr>
        <w:rPr>
          <w:bCs/>
          <w:color w:val="000000" w:themeColor="text1"/>
        </w:rPr>
      </w:pPr>
    </w:p>
    <w:p w14:paraId="4BE9E8DB" w14:textId="127EF17F" w:rsidR="00A5601C" w:rsidRPr="00781112" w:rsidRDefault="00326C0B" w:rsidP="006A01BD">
      <w:pPr>
        <w:rPr>
          <w:b/>
          <w:color w:val="000000" w:themeColor="text1"/>
        </w:rPr>
      </w:pPr>
      <w:r w:rsidRPr="00781112">
        <w:rPr>
          <w:b/>
          <w:color w:val="000000" w:themeColor="text1"/>
        </w:rPr>
        <w:t>Attach PDF table (optional)</w:t>
      </w:r>
    </w:p>
    <w:p w14:paraId="79E6A8DD" w14:textId="2B03416C" w:rsidR="00326C0B" w:rsidRPr="00781112" w:rsidRDefault="00326C0B" w:rsidP="006A01BD">
      <w:pPr>
        <w:rPr>
          <w:bCs/>
          <w:color w:val="000000" w:themeColor="text1"/>
        </w:rPr>
      </w:pPr>
      <w:bookmarkStart w:id="76" w:name="_Hlk20318414"/>
      <w:bookmarkEnd w:id="76"/>
    </w:p>
    <w:p w14:paraId="5E057416" w14:textId="77777777" w:rsidR="00A5601C" w:rsidRPr="00781112" w:rsidRDefault="009447A3">
      <w:pPr>
        <w:rPr>
          <w:b/>
          <w:color w:val="000000" w:themeColor="text1"/>
        </w:rPr>
      </w:pPr>
      <w:r w:rsidRPr="00781112">
        <w:rPr>
          <w:b/>
          <w:color w:val="000000" w:themeColor="text1"/>
        </w:rPr>
        <w:t>What is the source of the data provided for this indicator?</w:t>
      </w:r>
    </w:p>
    <w:p w14:paraId="50B7435C" w14:textId="024484CA" w:rsidR="009447A3" w:rsidRPr="00781112" w:rsidRDefault="002B7490" w:rsidP="004369B2">
      <w:pPr>
        <w:rPr>
          <w:color w:val="000000" w:themeColor="text1"/>
        </w:rPr>
      </w:pPr>
      <w:r w:rsidRPr="00781112">
        <w:rPr>
          <w:color w:val="000000" w:themeColor="text1"/>
        </w:rPr>
        <w:t>State database that includes data for the entire reporting year</w:t>
      </w:r>
    </w:p>
    <w:p w14:paraId="4558F99F" w14:textId="77777777" w:rsidR="009447A3" w:rsidRPr="00781112" w:rsidRDefault="009447A3"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6C2B5D1A" w14:textId="61019073" w:rsidR="00326C0B" w:rsidRPr="00781112" w:rsidRDefault="002B7490" w:rsidP="008E31C4">
      <w:pPr>
        <w:rPr>
          <w:rFonts w:cs="Arial"/>
          <w:color w:val="000000" w:themeColor="text1"/>
          <w:szCs w:val="16"/>
        </w:rPr>
      </w:pPr>
      <w:r w:rsidRPr="00781112">
        <w:rPr>
          <w:rFonts w:cs="Arial"/>
          <w:color w:val="000000" w:themeColor="text1"/>
          <w:szCs w:val="16"/>
        </w:rPr>
        <w:t>The lead agency for Part C, WV Birth to Three (WVBTT), is the WV Department of Health. As a result, the data system for each organization is distinct and separate. WVDE continues to require LEAs to maintain referral dates, referral sources, eligibility status, exceptionality, eligibility dates, and IEP dates for all students within the WVEIS electronic student record system. LEAs are contacted individually to verify and complete missing information as needed. Data are extracted at least annually and examined to verify compliance with Part C to Part B transition requirements. Additionally, Child Notification Forms, containing the allowable demographic information, were sent to each LEA six months prior to the child turning three. Procedures require the LEA representative to contact the family to discuss potential services. The LEA representative then completed the individual child forms and returned them to the WVDE for data entry, verification, and follow-up.</w:t>
      </w:r>
      <w:r w:rsidRPr="00781112">
        <w:rPr>
          <w:rFonts w:cs="Arial"/>
          <w:color w:val="000000" w:themeColor="text1"/>
          <w:szCs w:val="16"/>
        </w:rPr>
        <w:br/>
      </w:r>
      <w:r w:rsidRPr="00781112">
        <w:rPr>
          <w:rFonts w:cs="Arial"/>
          <w:color w:val="000000" w:themeColor="text1"/>
          <w:szCs w:val="16"/>
        </w:rPr>
        <w:br/>
        <w:t>WVBTT and WVDE collaborated in data comparison and tracking to ensure all students referred by WVBTT were followed, and LEAs were in compliance with timelines. Also, to assist in meeting the Part C regulations for transition timelines for timely reporting, the WVDE in conjunction with WVBTT developed an online e-mail portal that allows for the Child Notification form to be uploaded and sent directly to the state and LEA by the Regional Administrative Unit (RAU) providers. The RAUs are responsible for sending the Child Notification for those children whose initial eligibility occurs 150 days or closer to the third birthday. The form indicates if the notification is less than 45 days prior to the child’s third birthday. An additional new form was added for children transferring and families moving out of the district to better assist LEAs in keeping track of families and children that may potentially be eligible for transition from Part C services. These processes and procedures are still being utilized as a part of the data collection for transition.</w:t>
      </w:r>
      <w:r w:rsidRPr="00781112">
        <w:rPr>
          <w:rFonts w:cs="Arial"/>
          <w:color w:val="000000" w:themeColor="text1"/>
          <w:szCs w:val="16"/>
        </w:rPr>
        <w:br/>
      </w:r>
      <w:r w:rsidRPr="00781112">
        <w:rPr>
          <w:rFonts w:cs="Arial"/>
          <w:color w:val="000000" w:themeColor="text1"/>
          <w:szCs w:val="16"/>
        </w:rPr>
        <w:br/>
        <w:t xml:space="preserve">The Revised Transition Procedures from Part C to Part B were implemented in 2020 and are reviewed annually. The procedures are posted on the WV Birth to Three Website [http://www.wvdhhr.org/birth23/trans_proc/Transition_Procedures_C_B.pdf ]. </w:t>
      </w:r>
      <w:r w:rsidRPr="00781112">
        <w:rPr>
          <w:rFonts w:cs="Arial"/>
          <w:color w:val="000000" w:themeColor="text1"/>
          <w:szCs w:val="16"/>
        </w:rPr>
        <w:br/>
      </w:r>
      <w:r w:rsidRPr="00781112">
        <w:rPr>
          <w:rFonts w:cs="Arial"/>
          <w:color w:val="000000" w:themeColor="text1"/>
          <w:szCs w:val="16"/>
        </w:rPr>
        <w:br/>
        <w:t>The Question-and-Answer document was distributed regarding the Child Find Notification process. The document was distributed to WVBTT and LEA special education directors to clarify responsibilities regarding this process. As part of the WV Birth to Three Interagency Advisory Committee (ICC), the transition committee completed a transition guidance booklet for families. The guidance booklet is available for distribution to families and professionals [http://www.wvdhhr.org/birth23/wvbtt_trans_flip/#p=1].</w:t>
      </w:r>
    </w:p>
    <w:p w14:paraId="6353DD92" w14:textId="77777777" w:rsidR="00E46206" w:rsidRPr="00781112" w:rsidRDefault="00E46206" w:rsidP="00E46206">
      <w:pPr>
        <w:rPr>
          <w:rFonts w:cs="Arial"/>
          <w:b/>
          <w:color w:val="000000" w:themeColor="text1"/>
          <w:szCs w:val="16"/>
        </w:rPr>
      </w:pPr>
      <w:r w:rsidRPr="00781112">
        <w:rPr>
          <w:rFonts w:cs="Arial"/>
          <w:b/>
          <w:color w:val="000000" w:themeColor="text1"/>
          <w:szCs w:val="16"/>
        </w:rPr>
        <w:t>Provide additional information about this indicator (optional)</w:t>
      </w:r>
    </w:p>
    <w:p w14:paraId="7201221D" w14:textId="686A034C" w:rsidR="00326C0B" w:rsidRPr="00781112" w:rsidRDefault="00326C0B" w:rsidP="007D435F">
      <w:pPr>
        <w:rPr>
          <w:rFonts w:cs="Arial"/>
          <w:color w:val="000000" w:themeColor="text1"/>
          <w:szCs w:val="16"/>
        </w:rPr>
      </w:pPr>
    </w:p>
    <w:p w14:paraId="4E94D02C" w14:textId="77777777" w:rsidR="009C5AE7" w:rsidRPr="00781112" w:rsidRDefault="009C5AE7" w:rsidP="004369B2">
      <w:pPr>
        <w:rPr>
          <w:color w:val="000000" w:themeColor="text1"/>
        </w:rPr>
      </w:pPr>
    </w:p>
    <w:p w14:paraId="7740DC21" w14:textId="4EAB411C"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12PFFYNCFINDINGS"/>
      </w:tblPr>
      <w:tblGrid>
        <w:gridCol w:w="2650"/>
        <w:gridCol w:w="2780"/>
        <w:gridCol w:w="2656"/>
        <w:gridCol w:w="2704"/>
      </w:tblGrid>
      <w:tr w:rsidR="005C29F8" w:rsidRPr="00781112" w14:paraId="716024C7" w14:textId="77777777" w:rsidTr="00455889">
        <w:trPr>
          <w:trHeight w:val="389"/>
          <w:tblHeader/>
        </w:trPr>
        <w:tc>
          <w:tcPr>
            <w:tcW w:w="1228" w:type="pct"/>
            <w:shd w:val="clear" w:color="auto" w:fill="auto"/>
            <w:vAlign w:val="bottom"/>
          </w:tcPr>
          <w:p w14:paraId="0E49E3D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43B565E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113F3E4"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15802D8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362EE0E" w14:textId="77777777" w:rsidTr="00455889">
        <w:tc>
          <w:tcPr>
            <w:tcW w:w="1228" w:type="pct"/>
            <w:shd w:val="clear" w:color="auto" w:fill="auto"/>
          </w:tcPr>
          <w:p w14:paraId="106FED18" w14:textId="3538FD80" w:rsidR="009A755E" w:rsidRPr="00781112" w:rsidRDefault="002B7490" w:rsidP="00A018D4">
            <w:pPr>
              <w:jc w:val="center"/>
              <w:rPr>
                <w:rFonts w:cs="Arial"/>
                <w:color w:val="000000" w:themeColor="text1"/>
                <w:szCs w:val="16"/>
              </w:rPr>
            </w:pPr>
            <w:r w:rsidRPr="00781112">
              <w:rPr>
                <w:rFonts w:cs="Arial"/>
                <w:color w:val="000000" w:themeColor="text1"/>
                <w:szCs w:val="16"/>
              </w:rPr>
              <w:t>3</w:t>
            </w:r>
          </w:p>
        </w:tc>
        <w:tc>
          <w:tcPr>
            <w:tcW w:w="1288" w:type="pct"/>
            <w:shd w:val="clear" w:color="auto" w:fill="auto"/>
          </w:tcPr>
          <w:p w14:paraId="30E75C81" w14:textId="5263D718" w:rsidR="009A755E" w:rsidRPr="00781112" w:rsidRDefault="002B7490" w:rsidP="00A018D4">
            <w:pPr>
              <w:jc w:val="center"/>
              <w:rPr>
                <w:rFonts w:cs="Arial"/>
                <w:color w:val="000000" w:themeColor="text1"/>
                <w:szCs w:val="16"/>
              </w:rPr>
            </w:pPr>
            <w:r w:rsidRPr="00781112">
              <w:rPr>
                <w:rFonts w:cs="Arial"/>
                <w:color w:val="000000" w:themeColor="text1"/>
                <w:szCs w:val="16"/>
              </w:rPr>
              <w:t>3</w:t>
            </w:r>
          </w:p>
        </w:tc>
        <w:tc>
          <w:tcPr>
            <w:tcW w:w="1231" w:type="pct"/>
            <w:shd w:val="clear" w:color="auto" w:fill="auto"/>
          </w:tcPr>
          <w:p w14:paraId="36D48FD7" w14:textId="2F6E80E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39EEFD1" w14:textId="6A5591D3"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37852744" w14:textId="77777777" w:rsidR="00614992" w:rsidRDefault="00614992" w:rsidP="004369B2">
      <w:pPr>
        <w:rPr>
          <w:b/>
          <w:color w:val="000000" w:themeColor="text1"/>
        </w:rPr>
      </w:pPr>
    </w:p>
    <w:p w14:paraId="155373B8" w14:textId="1AEDA438" w:rsidR="009A755E" w:rsidRPr="00781112" w:rsidRDefault="00450F98" w:rsidP="004369B2">
      <w:pPr>
        <w:rPr>
          <w:color w:val="000000" w:themeColor="text1"/>
        </w:rPr>
      </w:pPr>
      <w:r>
        <w:rPr>
          <w:b/>
          <w:color w:val="000000" w:themeColor="text1"/>
        </w:rPr>
        <w:t>FFY 2022 Findings of Noncompliance Verified as Corrected</w:t>
      </w:r>
    </w:p>
    <w:p w14:paraId="3D8B0B26" w14:textId="565C69B4"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669CC58" w14:textId="38E853B3" w:rsidR="00326C0B" w:rsidRPr="00781112" w:rsidRDefault="002B7490" w:rsidP="009A755E">
      <w:pPr>
        <w:rPr>
          <w:rFonts w:cs="Arial"/>
          <w:color w:val="000000" w:themeColor="text1"/>
          <w:szCs w:val="16"/>
        </w:rPr>
      </w:pPr>
      <w:r w:rsidRPr="00781112">
        <w:rPr>
          <w:rFonts w:cs="Arial"/>
          <w:color w:val="000000" w:themeColor="text1"/>
          <w:szCs w:val="16"/>
        </w:rPr>
        <w:t xml:space="preserve">Consistent with OSEP QA 23-01, subsequent reviews of updated data for each LEA identified with noncompliance were conducted through a review of the monthly submission of individual child forms by each LEA. Feedback and technical assistance were provided to each LEA after the quarterly reviews of updated data until such time as each LEA reached 100% compliance with regard to applicable timelines for at least three consecutive months. WVDE/OSE verification of correction of noncompliance was followed by written notification to each of the three (3) LEAs that the findings of noncompliance had been corrected. Further, each LEA that had referrals for Part C to Part B statewide demonstrated 100% compliance for FFY 2023 as indicated in the FFY 2023 SPP/APR data tables above. </w:t>
      </w:r>
    </w:p>
    <w:p w14:paraId="1F3D7853" w14:textId="324FF78E"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0E95D025" w14:textId="78E1AA95" w:rsidR="00326C0B" w:rsidRPr="00781112" w:rsidRDefault="002B7490" w:rsidP="009A755E">
      <w:pPr>
        <w:rPr>
          <w:rFonts w:cs="Arial"/>
          <w:color w:val="000000" w:themeColor="text1"/>
          <w:szCs w:val="16"/>
        </w:rPr>
      </w:pPr>
      <w:r w:rsidRPr="00781112">
        <w:rPr>
          <w:rFonts w:cs="Arial"/>
          <w:color w:val="000000" w:themeColor="text1"/>
          <w:szCs w:val="16"/>
        </w:rPr>
        <w:t xml:space="preserve">To verify that each of the nine (9) individual cases of noncompliance was corrected, the LEAs identified as having noncompliance were required to submit the names of each of the students reported as late (IEP held beyond the 3rd birthday), and the date that the evaluation/eligibility and IEP were completed. </w:t>
      </w:r>
      <w:r w:rsidRPr="00781112">
        <w:rPr>
          <w:rFonts w:cs="Arial"/>
          <w:color w:val="000000" w:themeColor="text1"/>
          <w:szCs w:val="16"/>
        </w:rPr>
        <w:br/>
      </w:r>
      <w:r w:rsidRPr="00781112">
        <w:rPr>
          <w:rFonts w:cs="Arial"/>
          <w:color w:val="000000" w:themeColor="text1"/>
          <w:szCs w:val="16"/>
        </w:rPr>
        <w:br/>
        <w:t>WVDE/OSE verified through a review of updated data collected through WVEIS that, although late, each of the nine (9) individual cases of noncompliance identified in FFY 2022 received a Part B evaluation and, if eligible, an IEP was implemented within one year of notification of noncompliance, unless the student was no longer enrolled in the LEA consistent with OSEP QA 23-01.</w:t>
      </w:r>
    </w:p>
    <w:p w14:paraId="1A909BBB" w14:textId="77777777" w:rsidR="00455889" w:rsidRPr="00781112" w:rsidRDefault="00455889" w:rsidP="004369B2">
      <w:pPr>
        <w:rPr>
          <w:color w:val="000000" w:themeColor="text1"/>
        </w:rPr>
      </w:pPr>
    </w:p>
    <w:p w14:paraId="1C75EC2F" w14:textId="06D7FE3B"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12PPFFYNCFINDINGS"/>
      </w:tblPr>
      <w:tblGrid>
        <w:gridCol w:w="2192"/>
        <w:gridCol w:w="2935"/>
        <w:gridCol w:w="2924"/>
        <w:gridCol w:w="2739"/>
      </w:tblGrid>
      <w:tr w:rsidR="005C29F8" w:rsidRPr="00781112" w14:paraId="4192A257" w14:textId="77777777" w:rsidTr="00AB0D6A">
        <w:trPr>
          <w:tblHeader/>
        </w:trPr>
        <w:tc>
          <w:tcPr>
            <w:tcW w:w="1016" w:type="pct"/>
            <w:shd w:val="clear" w:color="auto" w:fill="auto"/>
            <w:vAlign w:val="bottom"/>
          </w:tcPr>
          <w:p w14:paraId="72F29034" w14:textId="1B3341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60" w:type="pct"/>
            <w:shd w:val="clear" w:color="auto" w:fill="auto"/>
            <w:vAlign w:val="bottom"/>
          </w:tcPr>
          <w:p w14:paraId="5E92FF85" w14:textId="2740D3AF"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55" w:type="pct"/>
            <w:shd w:val="clear" w:color="auto" w:fill="auto"/>
            <w:vAlign w:val="bottom"/>
          </w:tcPr>
          <w:p w14:paraId="4861690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5C0832D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04865EB" w14:textId="77777777" w:rsidTr="00AB0D6A">
        <w:tc>
          <w:tcPr>
            <w:tcW w:w="1016" w:type="pct"/>
            <w:shd w:val="clear" w:color="auto" w:fill="auto"/>
          </w:tcPr>
          <w:p w14:paraId="316ACDB5" w14:textId="541F250F" w:rsidR="009A755E" w:rsidRPr="00781112" w:rsidRDefault="009A755E" w:rsidP="00A018D4">
            <w:pPr>
              <w:jc w:val="center"/>
              <w:rPr>
                <w:rFonts w:cs="Arial"/>
                <w:color w:val="000000" w:themeColor="text1"/>
                <w:szCs w:val="16"/>
              </w:rPr>
            </w:pPr>
          </w:p>
        </w:tc>
        <w:tc>
          <w:tcPr>
            <w:tcW w:w="1360" w:type="pct"/>
            <w:shd w:val="clear" w:color="auto" w:fill="auto"/>
          </w:tcPr>
          <w:p w14:paraId="69625405" w14:textId="789965CC" w:rsidR="009A755E" w:rsidRPr="00781112" w:rsidRDefault="009A755E">
            <w:pPr>
              <w:jc w:val="center"/>
              <w:rPr>
                <w:rFonts w:cs="Arial"/>
                <w:noProof/>
                <w:color w:val="000000" w:themeColor="text1"/>
                <w:szCs w:val="16"/>
              </w:rPr>
            </w:pPr>
          </w:p>
        </w:tc>
        <w:tc>
          <w:tcPr>
            <w:tcW w:w="1355" w:type="pct"/>
            <w:shd w:val="clear" w:color="auto" w:fill="auto"/>
          </w:tcPr>
          <w:p w14:paraId="7C3E37A7" w14:textId="61202FB3" w:rsidR="009A755E" w:rsidRPr="00781112" w:rsidRDefault="009A755E">
            <w:pPr>
              <w:jc w:val="center"/>
              <w:rPr>
                <w:rFonts w:cs="Arial"/>
                <w:noProof/>
                <w:color w:val="000000" w:themeColor="text1"/>
                <w:szCs w:val="16"/>
              </w:rPr>
            </w:pPr>
          </w:p>
        </w:tc>
        <w:tc>
          <w:tcPr>
            <w:tcW w:w="1269" w:type="pct"/>
            <w:shd w:val="clear" w:color="auto" w:fill="auto"/>
          </w:tcPr>
          <w:p w14:paraId="79E9FAD3" w14:textId="3428603A" w:rsidR="009A755E" w:rsidRPr="00781112" w:rsidRDefault="009A755E">
            <w:pPr>
              <w:jc w:val="center"/>
              <w:rPr>
                <w:rFonts w:cs="Arial"/>
                <w:noProof/>
                <w:color w:val="000000" w:themeColor="text1"/>
                <w:szCs w:val="16"/>
              </w:rPr>
            </w:pPr>
          </w:p>
        </w:tc>
      </w:tr>
      <w:tr w:rsidR="005C29F8" w:rsidRPr="00781112" w14:paraId="7F75F2C7" w14:textId="77777777" w:rsidTr="00AB0D6A">
        <w:tc>
          <w:tcPr>
            <w:tcW w:w="1016" w:type="pct"/>
            <w:shd w:val="clear" w:color="auto" w:fill="auto"/>
          </w:tcPr>
          <w:p w14:paraId="147AA631" w14:textId="76843337" w:rsidR="009A755E" w:rsidRPr="00781112" w:rsidRDefault="009A755E" w:rsidP="00A018D4">
            <w:pPr>
              <w:jc w:val="center"/>
              <w:rPr>
                <w:rFonts w:cs="Arial"/>
                <w:color w:val="000000" w:themeColor="text1"/>
                <w:szCs w:val="16"/>
              </w:rPr>
            </w:pPr>
          </w:p>
        </w:tc>
        <w:tc>
          <w:tcPr>
            <w:tcW w:w="1360" w:type="pct"/>
            <w:shd w:val="clear" w:color="auto" w:fill="auto"/>
          </w:tcPr>
          <w:p w14:paraId="404653A8" w14:textId="163A8B38" w:rsidR="009A755E" w:rsidRPr="00781112" w:rsidRDefault="009A755E">
            <w:pPr>
              <w:jc w:val="center"/>
              <w:rPr>
                <w:rFonts w:cs="Arial"/>
                <w:noProof/>
                <w:color w:val="000000" w:themeColor="text1"/>
                <w:szCs w:val="16"/>
              </w:rPr>
            </w:pPr>
          </w:p>
        </w:tc>
        <w:tc>
          <w:tcPr>
            <w:tcW w:w="1355" w:type="pct"/>
            <w:shd w:val="clear" w:color="auto" w:fill="auto"/>
          </w:tcPr>
          <w:p w14:paraId="6504342A" w14:textId="13575C8A" w:rsidR="009A755E" w:rsidRPr="00781112" w:rsidRDefault="009A755E">
            <w:pPr>
              <w:jc w:val="center"/>
              <w:rPr>
                <w:rFonts w:cs="Arial"/>
                <w:noProof/>
                <w:color w:val="000000" w:themeColor="text1"/>
                <w:szCs w:val="16"/>
              </w:rPr>
            </w:pPr>
          </w:p>
        </w:tc>
        <w:tc>
          <w:tcPr>
            <w:tcW w:w="1269" w:type="pct"/>
            <w:shd w:val="clear" w:color="auto" w:fill="auto"/>
          </w:tcPr>
          <w:p w14:paraId="6D520AD1" w14:textId="4947031C" w:rsidR="009A755E" w:rsidRPr="00781112" w:rsidRDefault="009A755E">
            <w:pPr>
              <w:jc w:val="center"/>
              <w:rPr>
                <w:rFonts w:cs="Arial"/>
                <w:noProof/>
                <w:color w:val="000000" w:themeColor="text1"/>
                <w:szCs w:val="16"/>
              </w:rPr>
            </w:pPr>
          </w:p>
        </w:tc>
      </w:tr>
      <w:tr w:rsidR="005C29F8" w:rsidRPr="00781112" w14:paraId="2D4810B4" w14:textId="77777777" w:rsidTr="00AB0D6A">
        <w:tc>
          <w:tcPr>
            <w:tcW w:w="1016" w:type="pct"/>
            <w:shd w:val="clear" w:color="auto" w:fill="auto"/>
          </w:tcPr>
          <w:p w14:paraId="6AEFAA10" w14:textId="16E2E3E6" w:rsidR="009A755E" w:rsidRPr="00781112" w:rsidRDefault="009A755E" w:rsidP="00A018D4">
            <w:pPr>
              <w:jc w:val="center"/>
              <w:rPr>
                <w:rFonts w:cs="Arial"/>
                <w:color w:val="000000" w:themeColor="text1"/>
                <w:szCs w:val="16"/>
              </w:rPr>
            </w:pPr>
          </w:p>
        </w:tc>
        <w:tc>
          <w:tcPr>
            <w:tcW w:w="1360" w:type="pct"/>
            <w:shd w:val="clear" w:color="auto" w:fill="auto"/>
          </w:tcPr>
          <w:p w14:paraId="075C05B4" w14:textId="1672B0AC" w:rsidR="009A755E" w:rsidRPr="00781112" w:rsidRDefault="009A755E">
            <w:pPr>
              <w:jc w:val="center"/>
              <w:rPr>
                <w:rFonts w:cs="Arial"/>
                <w:noProof/>
                <w:color w:val="000000" w:themeColor="text1"/>
                <w:szCs w:val="16"/>
              </w:rPr>
            </w:pPr>
          </w:p>
        </w:tc>
        <w:tc>
          <w:tcPr>
            <w:tcW w:w="1355" w:type="pct"/>
            <w:shd w:val="clear" w:color="auto" w:fill="auto"/>
          </w:tcPr>
          <w:p w14:paraId="70536E6E" w14:textId="5BE8198D" w:rsidR="009A755E" w:rsidRPr="00781112" w:rsidRDefault="009A755E">
            <w:pPr>
              <w:jc w:val="center"/>
              <w:rPr>
                <w:rFonts w:cs="Arial"/>
                <w:noProof/>
                <w:color w:val="000000" w:themeColor="text1"/>
                <w:szCs w:val="16"/>
              </w:rPr>
            </w:pPr>
          </w:p>
        </w:tc>
        <w:tc>
          <w:tcPr>
            <w:tcW w:w="1269" w:type="pct"/>
            <w:shd w:val="clear" w:color="auto" w:fill="auto"/>
          </w:tcPr>
          <w:p w14:paraId="4BC059F6" w14:textId="5DCA531E" w:rsidR="009A755E" w:rsidRPr="00781112" w:rsidRDefault="009A755E">
            <w:pPr>
              <w:jc w:val="center"/>
              <w:rPr>
                <w:rFonts w:cs="Arial"/>
                <w:noProof/>
                <w:color w:val="000000" w:themeColor="text1"/>
                <w:szCs w:val="16"/>
              </w:rPr>
            </w:pPr>
          </w:p>
        </w:tc>
      </w:tr>
      <w:tr w:rsidR="00427654" w:rsidRPr="00781112" w14:paraId="396E5878" w14:textId="77777777" w:rsidTr="00AB0D6A">
        <w:tc>
          <w:tcPr>
            <w:tcW w:w="1016" w:type="pct"/>
            <w:shd w:val="clear" w:color="auto" w:fill="auto"/>
          </w:tcPr>
          <w:p w14:paraId="2526939E" w14:textId="4B0F7EA1" w:rsidR="00427654" w:rsidRPr="00781112" w:rsidRDefault="00427654" w:rsidP="00427654">
            <w:pPr>
              <w:jc w:val="center"/>
              <w:rPr>
                <w:rFonts w:cs="Arial"/>
                <w:color w:val="000000" w:themeColor="text1"/>
                <w:szCs w:val="16"/>
              </w:rPr>
            </w:pPr>
          </w:p>
        </w:tc>
        <w:tc>
          <w:tcPr>
            <w:tcW w:w="1360" w:type="pct"/>
            <w:shd w:val="clear" w:color="auto" w:fill="auto"/>
          </w:tcPr>
          <w:p w14:paraId="53F9CFD1" w14:textId="649082E1" w:rsidR="00427654" w:rsidRPr="00781112" w:rsidRDefault="00427654" w:rsidP="00427654">
            <w:pPr>
              <w:jc w:val="center"/>
              <w:rPr>
                <w:rFonts w:cs="Arial"/>
                <w:color w:val="000000" w:themeColor="text1"/>
                <w:szCs w:val="16"/>
              </w:rPr>
            </w:pPr>
          </w:p>
        </w:tc>
        <w:tc>
          <w:tcPr>
            <w:tcW w:w="1355" w:type="pct"/>
            <w:shd w:val="clear" w:color="auto" w:fill="auto"/>
          </w:tcPr>
          <w:p w14:paraId="31A66057" w14:textId="56F35F0C" w:rsidR="00427654" w:rsidRPr="00781112" w:rsidRDefault="00427654" w:rsidP="00427654">
            <w:pPr>
              <w:jc w:val="center"/>
              <w:rPr>
                <w:rFonts w:cs="Arial"/>
                <w:color w:val="000000" w:themeColor="text1"/>
                <w:szCs w:val="16"/>
              </w:rPr>
            </w:pPr>
          </w:p>
        </w:tc>
        <w:tc>
          <w:tcPr>
            <w:tcW w:w="1269" w:type="pct"/>
            <w:shd w:val="clear" w:color="auto" w:fill="auto"/>
          </w:tcPr>
          <w:p w14:paraId="56CAB428" w14:textId="2EB1A710" w:rsidR="00427654" w:rsidRPr="00781112" w:rsidRDefault="00427654" w:rsidP="00427654">
            <w:pPr>
              <w:jc w:val="center"/>
              <w:rPr>
                <w:rFonts w:cs="Arial"/>
                <w:color w:val="000000" w:themeColor="text1"/>
                <w:szCs w:val="16"/>
              </w:rPr>
            </w:pPr>
          </w:p>
        </w:tc>
      </w:tr>
      <w:tr w:rsidR="00427654" w:rsidRPr="00781112" w14:paraId="0E34CBDE" w14:textId="77777777" w:rsidTr="00AB0D6A">
        <w:tc>
          <w:tcPr>
            <w:tcW w:w="1016" w:type="pct"/>
            <w:shd w:val="clear" w:color="auto" w:fill="auto"/>
          </w:tcPr>
          <w:p w14:paraId="4797FB89" w14:textId="78458E90" w:rsidR="00427654" w:rsidRPr="00781112" w:rsidRDefault="00427654" w:rsidP="00427654">
            <w:pPr>
              <w:jc w:val="center"/>
              <w:rPr>
                <w:rFonts w:cs="Arial"/>
                <w:color w:val="000000" w:themeColor="text1"/>
                <w:szCs w:val="16"/>
              </w:rPr>
            </w:pPr>
          </w:p>
        </w:tc>
        <w:tc>
          <w:tcPr>
            <w:tcW w:w="1360" w:type="pct"/>
            <w:shd w:val="clear" w:color="auto" w:fill="auto"/>
          </w:tcPr>
          <w:p w14:paraId="2C99A152" w14:textId="2B976E01" w:rsidR="00427654" w:rsidRPr="00781112" w:rsidRDefault="00427654" w:rsidP="00427654">
            <w:pPr>
              <w:jc w:val="center"/>
              <w:rPr>
                <w:rFonts w:cs="Arial"/>
                <w:color w:val="000000" w:themeColor="text1"/>
                <w:szCs w:val="16"/>
              </w:rPr>
            </w:pPr>
          </w:p>
        </w:tc>
        <w:tc>
          <w:tcPr>
            <w:tcW w:w="1355" w:type="pct"/>
            <w:shd w:val="clear" w:color="auto" w:fill="auto"/>
          </w:tcPr>
          <w:p w14:paraId="1CCE8582" w14:textId="782DE568" w:rsidR="00427654" w:rsidRPr="00781112" w:rsidRDefault="00427654" w:rsidP="00427654">
            <w:pPr>
              <w:jc w:val="center"/>
              <w:rPr>
                <w:rFonts w:cs="Arial"/>
                <w:color w:val="000000" w:themeColor="text1"/>
                <w:szCs w:val="16"/>
              </w:rPr>
            </w:pPr>
          </w:p>
        </w:tc>
        <w:tc>
          <w:tcPr>
            <w:tcW w:w="1269" w:type="pct"/>
            <w:shd w:val="clear" w:color="auto" w:fill="auto"/>
          </w:tcPr>
          <w:p w14:paraId="39E480FA" w14:textId="06CE7186" w:rsidR="00427654" w:rsidRPr="00781112" w:rsidRDefault="00427654" w:rsidP="00427654">
            <w:pPr>
              <w:jc w:val="center"/>
              <w:rPr>
                <w:rFonts w:cs="Arial"/>
                <w:color w:val="000000" w:themeColor="text1"/>
                <w:szCs w:val="16"/>
              </w:rPr>
            </w:pPr>
          </w:p>
        </w:tc>
      </w:tr>
    </w:tbl>
    <w:p w14:paraId="201CFF85" w14:textId="77777777" w:rsidR="00427654" w:rsidRPr="00781112" w:rsidRDefault="00427654" w:rsidP="00455889">
      <w:pPr>
        <w:rPr>
          <w:rFonts w:cs="Arial"/>
          <w:color w:val="000000" w:themeColor="text1"/>
          <w:szCs w:val="16"/>
        </w:rPr>
      </w:pPr>
    </w:p>
    <w:p w14:paraId="2F3E7ED0" w14:textId="1BDCCC61" w:rsidR="004E2151" w:rsidRPr="00781112" w:rsidRDefault="00056350" w:rsidP="00123D76">
      <w:pPr>
        <w:pStyle w:val="Heading2"/>
      </w:pPr>
      <w:r w:rsidRPr="00781112">
        <w:t>12</w:t>
      </w:r>
      <w:r w:rsidR="004838A4" w:rsidRPr="00781112">
        <w:t xml:space="preserve"> </w:t>
      </w:r>
      <w:r w:rsidRPr="00781112">
        <w:t xml:space="preserve">- </w:t>
      </w:r>
      <w:r w:rsidR="004E2151" w:rsidRPr="00781112">
        <w:t>Prior FFY Required Actions</w:t>
      </w:r>
    </w:p>
    <w:p w14:paraId="3D03A210" w14:textId="19033EA5" w:rsidR="009F69E7" w:rsidRPr="00781112" w:rsidRDefault="002B7490" w:rsidP="004E2151">
      <w:pPr>
        <w:rPr>
          <w:rFonts w:cs="Arial"/>
          <w:color w:val="000000" w:themeColor="text1"/>
          <w:szCs w:val="16"/>
        </w:rPr>
      </w:pPr>
      <w:r w:rsidRPr="00781112">
        <w:rPr>
          <w:rFonts w:cs="Arial"/>
          <w:color w:val="000000" w:themeColor="text1"/>
          <w:szCs w:val="16"/>
        </w:rPr>
        <w:t xml:space="preserve">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LEA with noncompliance identified in FFY 2022 for this indicator is correctly implementing the specific regulatory requirements (i.e., achieved 100% compliance) based on a review of updated data such as data subsequently collected through on-site monitoring or a State data system; and has corrected each individual case of noncompliance, unless the child is no longer within the jurisdiction of the LEA, consistent with OSEP QA 23-01.  In the FFY 2023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2022, although its FFY 2022 data reflect less than 100% compliance, provide an explanation of why the State did not identify any findings of noncompliance in FFY 2022.</w:t>
      </w:r>
    </w:p>
    <w:p w14:paraId="3F84A4E0" w14:textId="7D05A787" w:rsidR="004E2151" w:rsidRPr="00781112" w:rsidRDefault="007639D7" w:rsidP="004369B2">
      <w:pPr>
        <w:rPr>
          <w:b/>
          <w:color w:val="000000" w:themeColor="text1"/>
        </w:rPr>
      </w:pPr>
      <w:r>
        <w:rPr>
          <w:b/>
          <w:color w:val="000000" w:themeColor="text1"/>
        </w:rPr>
        <w:t>Response to actions required in FFY 2022 SPP/APR</w:t>
      </w:r>
    </w:p>
    <w:p w14:paraId="5EB5FDCA" w14:textId="5CB823AF" w:rsidR="004E2151" w:rsidRPr="00781112" w:rsidRDefault="002B7490" w:rsidP="004E2151">
      <w:pPr>
        <w:rPr>
          <w:rFonts w:cs="Arial"/>
          <w:color w:val="000000" w:themeColor="text1"/>
          <w:szCs w:val="16"/>
        </w:rPr>
      </w:pPr>
      <w:r w:rsidRPr="00781112">
        <w:rPr>
          <w:rFonts w:cs="Arial"/>
          <w:color w:val="000000" w:themeColor="text1"/>
          <w:szCs w:val="16"/>
        </w:rPr>
        <w:t>Please see the sections “Correction of Findings of Noncompliance Identified in FFY 2022” and "FFY 2022 Findings of Noncompliance Verified as Corrected" for information on how WVDE/OSE verified the correction of noncompliance consistent with OSEP QA 23-01.</w:t>
      </w:r>
    </w:p>
    <w:p w14:paraId="29993C29" w14:textId="00995379" w:rsidR="007F5071" w:rsidRPr="00781112" w:rsidRDefault="00056350" w:rsidP="00123D76">
      <w:pPr>
        <w:pStyle w:val="Heading2"/>
      </w:pPr>
      <w:r w:rsidRPr="00781112">
        <w:t>12 - OSEP Response</w:t>
      </w:r>
    </w:p>
    <w:p w14:paraId="25E9178D" w14:textId="14A4C34F" w:rsidR="00326C0B" w:rsidRPr="00781112" w:rsidRDefault="00326C0B" w:rsidP="00212954">
      <w:pPr>
        <w:rPr>
          <w:rFonts w:cs="Arial"/>
          <w:color w:val="000000" w:themeColor="text1"/>
          <w:szCs w:val="16"/>
        </w:rPr>
      </w:pPr>
    </w:p>
    <w:p w14:paraId="06759F0A" w14:textId="1523FF35" w:rsidR="007F5071" w:rsidRPr="00781112" w:rsidRDefault="00056350" w:rsidP="00123D76">
      <w:pPr>
        <w:pStyle w:val="Heading2"/>
      </w:pPr>
      <w:r w:rsidRPr="00781112">
        <w:t>12 - Required Actions</w:t>
      </w:r>
    </w:p>
    <w:p w14:paraId="57889B20" w14:textId="73162143" w:rsidR="00326C0B" w:rsidRPr="00781112" w:rsidRDefault="00326C0B" w:rsidP="00212954">
      <w:pPr>
        <w:rPr>
          <w:rFonts w:cs="Arial"/>
          <w:color w:val="000000" w:themeColor="text1"/>
          <w:szCs w:val="16"/>
        </w:rPr>
      </w:pPr>
    </w:p>
    <w:p w14:paraId="09BE7DCF"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7517B2" w14:textId="1ECF1753" w:rsidR="00D03701" w:rsidRPr="00781112" w:rsidRDefault="00D03701" w:rsidP="000444E2">
      <w:pPr>
        <w:pStyle w:val="Heading1"/>
        <w:rPr>
          <w:color w:val="000000" w:themeColor="text1"/>
          <w:sz w:val="22"/>
        </w:rPr>
      </w:pPr>
      <w:r w:rsidRPr="00781112">
        <w:rPr>
          <w:color w:val="000000" w:themeColor="text1"/>
          <w:sz w:val="22"/>
        </w:rPr>
        <w:lastRenderedPageBreak/>
        <w:t>Indicator 13: Secondary Transition</w:t>
      </w:r>
    </w:p>
    <w:p w14:paraId="20F3CA53" w14:textId="7C76A029" w:rsidR="00D04044" w:rsidRPr="002C274F" w:rsidRDefault="00D04044" w:rsidP="002C274F">
      <w:pPr>
        <w:rPr>
          <w:b/>
          <w:bCs/>
          <w:sz w:val="20"/>
          <w:szCs w:val="20"/>
        </w:rPr>
      </w:pPr>
      <w:bookmarkStart w:id="77" w:name="_Toc384383363"/>
      <w:bookmarkStart w:id="78" w:name="_Toc392159331"/>
      <w:r w:rsidRPr="002C274F">
        <w:rPr>
          <w:b/>
          <w:bCs/>
          <w:sz w:val="20"/>
          <w:szCs w:val="20"/>
        </w:rPr>
        <w:t>Instructions and Measurement</w:t>
      </w:r>
    </w:p>
    <w:p w14:paraId="541AD2D1" w14:textId="15B7D425" w:rsidR="001F3A65" w:rsidRPr="00781112" w:rsidRDefault="001F3A65" w:rsidP="009447A3">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Effective Transition</w:t>
      </w:r>
    </w:p>
    <w:p w14:paraId="2098A995" w14:textId="53B9EFCD" w:rsidR="0096257C"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There also must be evidence that the student was invited to the IEP Team meeting where transition services are to be discussed and evidence that, if appropriate, a representative of any participating agency </w:t>
      </w:r>
      <w:r w:rsidR="00C973D4"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w:t>
      </w:r>
    </w:p>
    <w:p w14:paraId="24167CE3" w14:textId="32AC8C8C" w:rsidR="001F3A65" w:rsidRPr="00781112" w:rsidRDefault="001F3A65" w:rsidP="009447A3">
      <w:pPr>
        <w:rPr>
          <w:rFonts w:cs="Arial"/>
          <w:color w:val="000000" w:themeColor="text1"/>
          <w:szCs w:val="16"/>
        </w:rPr>
      </w:pPr>
      <w:r w:rsidRPr="00781112">
        <w:rPr>
          <w:rFonts w:cs="Arial"/>
          <w:color w:val="000000" w:themeColor="text1"/>
          <w:szCs w:val="16"/>
        </w:rPr>
        <w:t xml:space="preserve"> (20 U.S.C. 1416(a)(3)(B))</w:t>
      </w:r>
    </w:p>
    <w:p w14:paraId="1BD1BDBD" w14:textId="77777777" w:rsidR="0096257C" w:rsidRPr="00781112" w:rsidRDefault="0096257C" w:rsidP="004369B2">
      <w:pPr>
        <w:rPr>
          <w:color w:val="000000" w:themeColor="text1"/>
        </w:rPr>
      </w:pPr>
      <w:r w:rsidRPr="00781112">
        <w:rPr>
          <w:b/>
          <w:color w:val="000000" w:themeColor="text1"/>
        </w:rPr>
        <w:t>Data Source</w:t>
      </w:r>
    </w:p>
    <w:p w14:paraId="5868BA99" w14:textId="77777777" w:rsidR="0096257C" w:rsidRPr="00781112" w:rsidRDefault="0096257C"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4CB6F9A" w14:textId="71312CEA" w:rsidR="0096257C" w:rsidRPr="00781112" w:rsidRDefault="0096257C" w:rsidP="004369B2">
      <w:pPr>
        <w:rPr>
          <w:color w:val="000000" w:themeColor="text1"/>
        </w:rPr>
      </w:pPr>
      <w:r w:rsidRPr="00781112">
        <w:rPr>
          <w:b/>
          <w:color w:val="000000" w:themeColor="text1"/>
        </w:rPr>
        <w:t>Measurement</w:t>
      </w:r>
    </w:p>
    <w:p w14:paraId="780214FF" w14:textId="487AF808" w:rsidR="00B67038" w:rsidRPr="00781112" w:rsidRDefault="00B67038" w:rsidP="00286BDF">
      <w:pPr>
        <w:rPr>
          <w:rFonts w:cs="Arial"/>
          <w:color w:val="000000" w:themeColor="text1"/>
          <w:szCs w:val="16"/>
        </w:rPr>
      </w:pPr>
      <w:r w:rsidRPr="00781112">
        <w:rPr>
          <w:rFonts w:cs="Arial"/>
          <w:color w:val="000000" w:themeColor="text1"/>
          <w:szCs w:val="16"/>
        </w:rPr>
        <w:t xml:space="preserve">Percent = [(#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There also must be evidence that the student was invited to the IEP Team meeting where transition services are to be discussed and evidence that, if appropriate, a representative of any participating agency </w:t>
      </w:r>
      <w:r w:rsidR="006D650D"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 divided by the (# of youth with an IEP age 16 and above)] times 100.</w:t>
      </w:r>
    </w:p>
    <w:p w14:paraId="0695051F" w14:textId="0AB8CE10" w:rsidR="00B67038" w:rsidRPr="00781112" w:rsidRDefault="00B67038" w:rsidP="00286BDF">
      <w:pPr>
        <w:rPr>
          <w:rFonts w:cs="Arial"/>
          <w:color w:val="000000" w:themeColor="text1"/>
          <w:szCs w:val="16"/>
        </w:rPr>
      </w:pPr>
      <w:r w:rsidRPr="00781112">
        <w:rPr>
          <w:rFonts w:cs="Arial"/>
          <w:color w:val="000000" w:themeColor="text1"/>
          <w:szCs w:val="16"/>
        </w:rPr>
        <w:t>If a State’s policies and procedures provide that public agencies must meet these requirements at an age younger than 16, the State may, but is not required to, choose to include youth beginning at that younger age in its data for this indicator. If a State chooses to do this, it must state this clearly in its SPP/APR and ensure that its baseline data are based on youth beginning at that younger age.</w:t>
      </w:r>
    </w:p>
    <w:p w14:paraId="6D498B21" w14:textId="77777777" w:rsidR="0096257C" w:rsidRPr="00781112" w:rsidRDefault="0096257C" w:rsidP="004369B2">
      <w:pPr>
        <w:rPr>
          <w:color w:val="000000" w:themeColor="text1"/>
        </w:rPr>
      </w:pPr>
      <w:r w:rsidRPr="00781112">
        <w:rPr>
          <w:b/>
          <w:color w:val="000000" w:themeColor="text1"/>
        </w:rPr>
        <w:t>Instructions</w:t>
      </w:r>
    </w:p>
    <w:p w14:paraId="7B194027" w14:textId="77777777" w:rsidR="00B67038" w:rsidRPr="00781112" w:rsidRDefault="00B67038"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12BF2230" w14:textId="77777777" w:rsidR="00B67038" w:rsidRPr="00781112" w:rsidRDefault="00B67038"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498F5564" w14:textId="77777777" w:rsidR="00B67038" w:rsidRPr="00781112" w:rsidRDefault="00B67038" w:rsidP="00286BDF">
      <w:pPr>
        <w:rPr>
          <w:rFonts w:cs="Arial"/>
          <w:color w:val="000000" w:themeColor="text1"/>
          <w:szCs w:val="16"/>
        </w:rPr>
      </w:pPr>
      <w:r w:rsidRPr="00781112">
        <w:rPr>
          <w:rFonts w:cs="Arial"/>
          <w:color w:val="000000" w:themeColor="text1"/>
          <w:szCs w:val="16"/>
        </w:rPr>
        <w:t>Targets must be 100%.</w:t>
      </w:r>
    </w:p>
    <w:p w14:paraId="1ACBC1E2" w14:textId="1799E0F6" w:rsidR="00B67038" w:rsidRPr="00781112" w:rsidRDefault="00B67038"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79" w:name="_Hlk150864402"/>
      <w:r w:rsidR="00F047EF" w:rsidRPr="00F047EF">
        <w:rPr>
          <w:rFonts w:cs="Arial"/>
          <w:color w:val="000000" w:themeColor="text1"/>
          <w:szCs w:val="16"/>
        </w:rPr>
        <w:t>child-specific and regulatory/systemic</w:t>
      </w:r>
      <w:r w:rsidR="00F047EF">
        <w:rPr>
          <w:sz w:val="20"/>
        </w:rPr>
        <w:t xml:space="preserve"> </w:t>
      </w:r>
      <w:bookmarkEnd w:id="79"/>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5D9CBCD" w14:textId="3EBEE46A" w:rsidR="00B67038"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063DB23E" w14:textId="77777777" w:rsidR="00655489" w:rsidRPr="00FE4611" w:rsidRDefault="00655489" w:rsidP="00655489">
      <w:pPr>
        <w:rPr>
          <w:rFonts w:cs="Arial"/>
          <w:szCs w:val="16"/>
        </w:rPr>
      </w:pPr>
      <w:r w:rsidRPr="002049C0">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3ACF8252" w14:textId="77777777" w:rsidR="00655489" w:rsidRPr="00781112" w:rsidRDefault="00655489" w:rsidP="00286BDF">
      <w:pPr>
        <w:rPr>
          <w:rFonts w:cs="Arial"/>
          <w:color w:val="000000" w:themeColor="text1"/>
          <w:szCs w:val="16"/>
        </w:rPr>
      </w:pPr>
    </w:p>
    <w:p w14:paraId="43E6D66A" w14:textId="21025B37" w:rsidR="00D04044" w:rsidRPr="00781112" w:rsidRDefault="00056350" w:rsidP="00123D76">
      <w:pPr>
        <w:pStyle w:val="Heading2"/>
      </w:pPr>
      <w:bookmarkStart w:id="80" w:name="_Toc384383364"/>
      <w:bookmarkStart w:id="81" w:name="_Toc392159332"/>
      <w:bookmarkEnd w:id="77"/>
      <w:bookmarkEnd w:id="78"/>
      <w:r w:rsidRPr="00781112">
        <w:t>13</w:t>
      </w:r>
      <w:r w:rsidR="004838A4" w:rsidRPr="00781112">
        <w:t xml:space="preserve"> </w:t>
      </w:r>
      <w:r w:rsidRPr="00781112">
        <w:t xml:space="preserve">- </w:t>
      </w:r>
      <w:r w:rsidR="00D04044" w:rsidRPr="00781112">
        <w:t>Indicator Data</w:t>
      </w:r>
    </w:p>
    <w:p w14:paraId="61C4C68D" w14:textId="294F0305" w:rsidR="009447A3" w:rsidRPr="00781112" w:rsidRDefault="009447A3"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3BASELINEDATA"/>
      </w:tblPr>
      <w:tblGrid>
        <w:gridCol w:w="1797"/>
        <w:gridCol w:w="1798"/>
      </w:tblGrid>
      <w:tr w:rsidR="00694A39" w:rsidRPr="00781112" w14:paraId="03B988E1" w14:textId="77777777" w:rsidTr="00123D76">
        <w:trPr>
          <w:trHeight w:val="311"/>
          <w:tblHeader/>
        </w:trPr>
        <w:tc>
          <w:tcPr>
            <w:tcW w:w="1797" w:type="dxa"/>
          </w:tcPr>
          <w:p w14:paraId="74B6B294" w14:textId="77777777" w:rsidR="00694A39" w:rsidRPr="00781112" w:rsidRDefault="00694A39" w:rsidP="00123D76">
            <w:pPr>
              <w:jc w:val="center"/>
              <w:rPr>
                <w:b/>
                <w:color w:val="000000" w:themeColor="text1"/>
              </w:rPr>
            </w:pPr>
            <w:r w:rsidRPr="00781112">
              <w:rPr>
                <w:rFonts w:cs="Arial"/>
                <w:b/>
                <w:color w:val="000000" w:themeColor="text1"/>
                <w:szCs w:val="16"/>
              </w:rPr>
              <w:t>Baseline Year</w:t>
            </w:r>
          </w:p>
        </w:tc>
        <w:tc>
          <w:tcPr>
            <w:tcW w:w="1798" w:type="dxa"/>
          </w:tcPr>
          <w:p w14:paraId="1FEDE010" w14:textId="77777777" w:rsidR="00694A39" w:rsidRPr="00781112" w:rsidRDefault="00694A39" w:rsidP="00123D76">
            <w:pPr>
              <w:jc w:val="center"/>
              <w:rPr>
                <w:b/>
                <w:color w:val="000000" w:themeColor="text1"/>
              </w:rPr>
            </w:pPr>
            <w:r w:rsidRPr="00781112">
              <w:rPr>
                <w:b/>
                <w:color w:val="000000" w:themeColor="text1"/>
              </w:rPr>
              <w:t>Baseline Data</w:t>
            </w:r>
          </w:p>
        </w:tc>
      </w:tr>
      <w:tr w:rsidR="00694A39" w:rsidRPr="00781112" w14:paraId="6D8D944B" w14:textId="77777777" w:rsidTr="00123D76">
        <w:trPr>
          <w:trHeight w:val="311"/>
        </w:trPr>
        <w:tc>
          <w:tcPr>
            <w:tcW w:w="1797" w:type="dxa"/>
            <w:vAlign w:val="center"/>
          </w:tcPr>
          <w:p w14:paraId="7FC4C2A7" w14:textId="00CC5CF2" w:rsidR="00694A39" w:rsidRPr="00781112" w:rsidRDefault="00694A39" w:rsidP="00123D76">
            <w:pPr>
              <w:jc w:val="center"/>
              <w:rPr>
                <w:bCs/>
                <w:color w:val="000000" w:themeColor="text1"/>
              </w:rPr>
            </w:pPr>
            <w:r w:rsidRPr="00781112">
              <w:rPr>
                <w:bCs/>
                <w:color w:val="000000" w:themeColor="text1"/>
              </w:rPr>
              <w:t>2019</w:t>
            </w:r>
          </w:p>
        </w:tc>
        <w:tc>
          <w:tcPr>
            <w:tcW w:w="1798" w:type="dxa"/>
            <w:vAlign w:val="center"/>
          </w:tcPr>
          <w:p w14:paraId="3A6C733C" w14:textId="66F52DB8" w:rsidR="00694A39" w:rsidRPr="00781112" w:rsidRDefault="00694A39" w:rsidP="00123D76">
            <w:pPr>
              <w:jc w:val="center"/>
              <w:rPr>
                <w:bCs/>
                <w:color w:val="000000" w:themeColor="text1"/>
              </w:rPr>
            </w:pPr>
            <w:r w:rsidRPr="00781112">
              <w:rPr>
                <w:bCs/>
                <w:color w:val="000000" w:themeColor="text1"/>
              </w:rPr>
              <w:t>99.84%</w:t>
            </w:r>
          </w:p>
        </w:tc>
      </w:tr>
    </w:tbl>
    <w:p w14:paraId="5733AE68" w14:textId="77777777" w:rsidR="00694A39" w:rsidRPr="00781112" w:rsidRDefault="00694A39"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HISTDATA"/>
      </w:tblPr>
      <w:tblGrid>
        <w:gridCol w:w="1798"/>
        <w:gridCol w:w="1798"/>
        <w:gridCol w:w="1798"/>
        <w:gridCol w:w="1798"/>
        <w:gridCol w:w="1798"/>
        <w:gridCol w:w="1800"/>
      </w:tblGrid>
      <w:tr w:rsidR="005C29F8" w:rsidRPr="00781112" w14:paraId="687251DC" w14:textId="77777777" w:rsidTr="00943314">
        <w:trPr>
          <w:trHeight w:val="350"/>
        </w:trPr>
        <w:tc>
          <w:tcPr>
            <w:tcW w:w="833" w:type="pct"/>
            <w:tcBorders>
              <w:bottom w:val="single" w:sz="4" w:space="0" w:color="auto"/>
            </w:tcBorders>
            <w:shd w:val="clear" w:color="auto" w:fill="auto"/>
          </w:tcPr>
          <w:p w14:paraId="14E01593"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3A85907" w14:textId="1D9118C1"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1C6C5D54" w14:textId="213C7749"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044515B1" w14:textId="14B45245"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695DE74A" w14:textId="50B444D4"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527EE05E" w14:textId="3E89E5BC" w:rsidR="009447A3" w:rsidRPr="00781112" w:rsidRDefault="002B7490" w:rsidP="008E31C4">
            <w:pPr>
              <w:jc w:val="center"/>
              <w:rPr>
                <w:rFonts w:cs="Arial"/>
                <w:b/>
                <w:color w:val="000000" w:themeColor="text1"/>
                <w:szCs w:val="16"/>
              </w:rPr>
            </w:pPr>
            <w:r w:rsidRPr="00781112">
              <w:rPr>
                <w:rFonts w:cs="Arial"/>
                <w:b/>
                <w:color w:val="000000" w:themeColor="text1"/>
                <w:szCs w:val="16"/>
              </w:rPr>
              <w:t>2022</w:t>
            </w:r>
          </w:p>
        </w:tc>
      </w:tr>
      <w:tr w:rsidR="005C29F8" w:rsidRPr="00781112" w14:paraId="0A07B33E" w14:textId="77777777" w:rsidTr="00943314">
        <w:trPr>
          <w:trHeight w:val="357"/>
        </w:trPr>
        <w:tc>
          <w:tcPr>
            <w:tcW w:w="833" w:type="pct"/>
            <w:shd w:val="clear" w:color="auto" w:fill="auto"/>
          </w:tcPr>
          <w:p w14:paraId="04BB4B5A" w14:textId="7106977F"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20467ACA" w14:textId="658A99BC"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AE1489C" w14:textId="1138B82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FAB6F79" w14:textId="47FCCD56"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EE056E4" w14:textId="485E460A"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6F722BD0" w14:textId="0624413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r>
      <w:tr w:rsidR="005C29F8" w:rsidRPr="00781112" w14:paraId="4403D1A8" w14:textId="77777777" w:rsidTr="00943314">
        <w:trPr>
          <w:trHeight w:val="85"/>
        </w:trPr>
        <w:tc>
          <w:tcPr>
            <w:tcW w:w="833" w:type="pct"/>
            <w:shd w:val="clear" w:color="auto" w:fill="auto"/>
          </w:tcPr>
          <w:p w14:paraId="6473FB8E"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08672F7" w14:textId="4FDD51CC" w:rsidR="009447A3" w:rsidRPr="00781112" w:rsidRDefault="002B7490" w:rsidP="004369B2">
            <w:pPr>
              <w:jc w:val="center"/>
              <w:rPr>
                <w:rFonts w:cs="Arial"/>
                <w:color w:val="000000" w:themeColor="text1"/>
                <w:szCs w:val="16"/>
              </w:rPr>
            </w:pPr>
            <w:r w:rsidRPr="00781112">
              <w:rPr>
                <w:rFonts w:cs="Arial"/>
                <w:color w:val="000000" w:themeColor="text1"/>
                <w:szCs w:val="16"/>
              </w:rPr>
              <w:t>99.49%</w:t>
            </w:r>
          </w:p>
        </w:tc>
        <w:tc>
          <w:tcPr>
            <w:tcW w:w="833" w:type="pct"/>
            <w:shd w:val="clear" w:color="auto" w:fill="auto"/>
          </w:tcPr>
          <w:p w14:paraId="50F55BA6" w14:textId="73CC9B0F" w:rsidR="009447A3" w:rsidRPr="00781112" w:rsidRDefault="002B7490" w:rsidP="004369B2">
            <w:pPr>
              <w:jc w:val="center"/>
              <w:rPr>
                <w:rFonts w:cs="Arial"/>
                <w:color w:val="000000" w:themeColor="text1"/>
                <w:szCs w:val="16"/>
              </w:rPr>
            </w:pPr>
            <w:r w:rsidRPr="00781112">
              <w:rPr>
                <w:rFonts w:cs="Arial"/>
                <w:color w:val="000000" w:themeColor="text1"/>
                <w:szCs w:val="16"/>
              </w:rPr>
              <w:t>99.84%</w:t>
            </w:r>
          </w:p>
        </w:tc>
        <w:tc>
          <w:tcPr>
            <w:tcW w:w="833" w:type="pct"/>
            <w:tcBorders>
              <w:bottom w:val="single" w:sz="4" w:space="0" w:color="auto"/>
            </w:tcBorders>
            <w:shd w:val="clear" w:color="auto" w:fill="auto"/>
            <w:vAlign w:val="center"/>
          </w:tcPr>
          <w:p w14:paraId="6FC9DB0D" w14:textId="5188F524" w:rsidR="009447A3" w:rsidRPr="00781112" w:rsidRDefault="002B7490" w:rsidP="004369B2">
            <w:pPr>
              <w:jc w:val="center"/>
              <w:rPr>
                <w:rFonts w:cs="Arial"/>
                <w:color w:val="000000" w:themeColor="text1"/>
                <w:szCs w:val="16"/>
              </w:rPr>
            </w:pPr>
            <w:r w:rsidRPr="00781112">
              <w:rPr>
                <w:rFonts w:cs="Arial"/>
                <w:color w:val="000000" w:themeColor="text1"/>
                <w:szCs w:val="16"/>
              </w:rPr>
              <w:t>99.84%</w:t>
            </w:r>
          </w:p>
        </w:tc>
        <w:tc>
          <w:tcPr>
            <w:tcW w:w="833" w:type="pct"/>
            <w:tcBorders>
              <w:bottom w:val="single" w:sz="4" w:space="0" w:color="auto"/>
            </w:tcBorders>
            <w:shd w:val="clear" w:color="auto" w:fill="auto"/>
            <w:vAlign w:val="center"/>
          </w:tcPr>
          <w:p w14:paraId="2DE56335" w14:textId="11069C36" w:rsidR="009447A3" w:rsidRPr="00781112" w:rsidRDefault="002B7490" w:rsidP="004369B2">
            <w:pPr>
              <w:jc w:val="center"/>
              <w:rPr>
                <w:rFonts w:cs="Arial"/>
                <w:color w:val="000000" w:themeColor="text1"/>
                <w:szCs w:val="16"/>
              </w:rPr>
            </w:pPr>
            <w:r w:rsidRPr="00781112">
              <w:rPr>
                <w:rFonts w:cs="Arial"/>
                <w:color w:val="000000" w:themeColor="text1"/>
                <w:szCs w:val="16"/>
              </w:rPr>
              <w:t>71.99%</w:t>
            </w:r>
          </w:p>
        </w:tc>
        <w:tc>
          <w:tcPr>
            <w:tcW w:w="834" w:type="pct"/>
            <w:tcBorders>
              <w:bottom w:val="single" w:sz="4" w:space="0" w:color="auto"/>
            </w:tcBorders>
            <w:shd w:val="clear" w:color="auto" w:fill="auto"/>
            <w:vAlign w:val="center"/>
          </w:tcPr>
          <w:p w14:paraId="541BA7DE" w14:textId="2D80E9D8" w:rsidR="009447A3" w:rsidRPr="00781112" w:rsidRDefault="002B7490" w:rsidP="004369B2">
            <w:pPr>
              <w:jc w:val="center"/>
              <w:rPr>
                <w:rFonts w:cs="Arial"/>
                <w:color w:val="000000" w:themeColor="text1"/>
                <w:szCs w:val="16"/>
              </w:rPr>
            </w:pPr>
            <w:r w:rsidRPr="00781112">
              <w:rPr>
                <w:rFonts w:cs="Arial"/>
                <w:color w:val="000000" w:themeColor="text1"/>
                <w:szCs w:val="16"/>
              </w:rPr>
              <w:t>71.38%</w:t>
            </w:r>
          </w:p>
        </w:tc>
      </w:tr>
    </w:tbl>
    <w:p w14:paraId="30C8D33B" w14:textId="77777777" w:rsidR="00AF12E4" w:rsidRPr="00781112" w:rsidRDefault="00AF12E4" w:rsidP="004369B2">
      <w:pPr>
        <w:rPr>
          <w:color w:val="000000" w:themeColor="text1"/>
        </w:rPr>
      </w:pPr>
    </w:p>
    <w:p w14:paraId="75465A8F" w14:textId="65C77B0F" w:rsidR="007A3964" w:rsidRPr="00781112" w:rsidRDefault="007A3964" w:rsidP="004369B2">
      <w:pPr>
        <w:rPr>
          <w:color w:val="000000" w:themeColor="text1"/>
        </w:rPr>
      </w:pPr>
      <w:r w:rsidRPr="00781112">
        <w:rPr>
          <w:b/>
          <w:color w:val="000000" w:themeColor="text1"/>
        </w:rPr>
        <w:t>Targets</w:t>
      </w:r>
    </w:p>
    <w:tbl>
      <w:tblPr>
        <w:tblW w:w="2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TARGETS"/>
      </w:tblPr>
      <w:tblGrid>
        <w:gridCol w:w="715"/>
        <w:gridCol w:w="1682"/>
        <w:gridCol w:w="1678"/>
        <w:gridCol w:w="1678"/>
      </w:tblGrid>
      <w:tr w:rsidR="00FE4611" w:rsidRPr="00781112" w14:paraId="75609119" w14:textId="4FD44BFE" w:rsidTr="00FE4611">
        <w:trPr>
          <w:trHeight w:val="281"/>
        </w:trPr>
        <w:tc>
          <w:tcPr>
            <w:tcW w:w="622" w:type="pct"/>
            <w:tcBorders>
              <w:bottom w:val="single" w:sz="4" w:space="0" w:color="auto"/>
            </w:tcBorders>
            <w:shd w:val="clear" w:color="auto" w:fill="auto"/>
          </w:tcPr>
          <w:p w14:paraId="270D1909" w14:textId="77777777" w:rsidR="00FE4611" w:rsidRPr="00781112" w:rsidRDefault="00FE4611" w:rsidP="00AF574F">
            <w:pPr>
              <w:jc w:val="center"/>
              <w:rPr>
                <w:b/>
                <w:color w:val="000000" w:themeColor="text1"/>
              </w:rPr>
            </w:pPr>
            <w:r w:rsidRPr="00781112">
              <w:rPr>
                <w:b/>
                <w:color w:val="000000" w:themeColor="text1"/>
              </w:rPr>
              <w:t>FFY</w:t>
            </w:r>
          </w:p>
        </w:tc>
        <w:tc>
          <w:tcPr>
            <w:tcW w:w="1462" w:type="pct"/>
            <w:shd w:val="clear" w:color="auto" w:fill="auto"/>
            <w:vAlign w:val="center"/>
          </w:tcPr>
          <w:p w14:paraId="3C863620" w14:textId="77777777" w:rsidR="00FE4611" w:rsidRPr="00781112" w:rsidRDefault="00FE4611" w:rsidP="00AF574F">
            <w:pPr>
              <w:jc w:val="center"/>
              <w:rPr>
                <w:b/>
                <w:color w:val="000000" w:themeColor="text1"/>
              </w:rPr>
            </w:pPr>
            <w:r w:rsidRPr="00781112">
              <w:rPr>
                <w:b/>
                <w:color w:val="000000" w:themeColor="text1"/>
              </w:rPr>
              <w:t>2023</w:t>
            </w:r>
          </w:p>
        </w:tc>
        <w:tc>
          <w:tcPr>
            <w:tcW w:w="1458" w:type="pct"/>
          </w:tcPr>
          <w:p w14:paraId="1E742631" w14:textId="024F7853" w:rsidR="00FE4611" w:rsidRPr="00781112" w:rsidRDefault="00FE4611" w:rsidP="00AF574F">
            <w:pPr>
              <w:jc w:val="center"/>
              <w:rPr>
                <w:b/>
                <w:color w:val="000000" w:themeColor="text1"/>
              </w:rPr>
            </w:pPr>
            <w:r w:rsidRPr="00781112">
              <w:rPr>
                <w:rFonts w:cs="Arial"/>
                <w:b/>
                <w:color w:val="000000" w:themeColor="text1"/>
                <w:szCs w:val="16"/>
              </w:rPr>
              <w:t>2024</w:t>
            </w:r>
          </w:p>
        </w:tc>
        <w:tc>
          <w:tcPr>
            <w:tcW w:w="1458" w:type="pct"/>
          </w:tcPr>
          <w:p w14:paraId="68E9F440" w14:textId="3DC7BEDA" w:rsidR="00FE4611" w:rsidRPr="00781112" w:rsidRDefault="00FE4611" w:rsidP="00AF574F">
            <w:pPr>
              <w:jc w:val="center"/>
              <w:rPr>
                <w:b/>
                <w:color w:val="000000" w:themeColor="text1"/>
              </w:rPr>
            </w:pPr>
            <w:r w:rsidRPr="00781112">
              <w:rPr>
                <w:rFonts w:cs="Arial"/>
                <w:b/>
                <w:color w:val="000000" w:themeColor="text1"/>
                <w:szCs w:val="16"/>
              </w:rPr>
              <w:t>2025</w:t>
            </w:r>
          </w:p>
        </w:tc>
      </w:tr>
      <w:tr w:rsidR="00FE4611" w:rsidRPr="00781112" w14:paraId="129EADEA" w14:textId="243BFF73" w:rsidTr="00FE4611">
        <w:trPr>
          <w:trHeight w:val="287"/>
        </w:trPr>
        <w:tc>
          <w:tcPr>
            <w:tcW w:w="622" w:type="pct"/>
            <w:shd w:val="clear" w:color="auto" w:fill="auto"/>
            <w:vAlign w:val="center"/>
          </w:tcPr>
          <w:p w14:paraId="14AB537C" w14:textId="075F2E43" w:rsidR="00FE4611" w:rsidRPr="00781112" w:rsidRDefault="00FE4611" w:rsidP="00BA3DBE">
            <w:pPr>
              <w:jc w:val="center"/>
              <w:rPr>
                <w:rFonts w:cs="Arial"/>
                <w:color w:val="000000" w:themeColor="text1"/>
                <w:szCs w:val="16"/>
              </w:rPr>
            </w:pPr>
            <w:r w:rsidRPr="00781112">
              <w:rPr>
                <w:rFonts w:cs="Arial"/>
                <w:color w:val="000000" w:themeColor="text1"/>
                <w:szCs w:val="16"/>
              </w:rPr>
              <w:t>Target</w:t>
            </w:r>
          </w:p>
        </w:tc>
        <w:tc>
          <w:tcPr>
            <w:tcW w:w="1462" w:type="pct"/>
            <w:shd w:val="clear" w:color="auto" w:fill="auto"/>
            <w:vAlign w:val="center"/>
          </w:tcPr>
          <w:p w14:paraId="0BAE8900" w14:textId="37E5F8C0" w:rsidR="00FE4611" w:rsidRPr="00781112" w:rsidRDefault="00FE4611" w:rsidP="00AF574F">
            <w:pPr>
              <w:jc w:val="center"/>
              <w:rPr>
                <w:rFonts w:cs="Arial"/>
                <w:color w:val="000000" w:themeColor="text1"/>
                <w:szCs w:val="16"/>
              </w:rPr>
            </w:pPr>
            <w:r w:rsidRPr="00781112">
              <w:rPr>
                <w:rFonts w:cs="Arial"/>
                <w:color w:val="000000" w:themeColor="text1"/>
                <w:szCs w:val="16"/>
              </w:rPr>
              <w:t>100%</w:t>
            </w:r>
          </w:p>
        </w:tc>
        <w:tc>
          <w:tcPr>
            <w:tcW w:w="1458" w:type="pct"/>
          </w:tcPr>
          <w:p w14:paraId="2CC39FD1" w14:textId="0A351FA5" w:rsidR="00FE4611" w:rsidRPr="00781112" w:rsidRDefault="00FE4611" w:rsidP="00AF574F">
            <w:pPr>
              <w:jc w:val="center"/>
              <w:rPr>
                <w:rFonts w:cs="Arial"/>
                <w:color w:val="000000" w:themeColor="text1"/>
                <w:szCs w:val="16"/>
              </w:rPr>
            </w:pPr>
            <w:r w:rsidRPr="00781112">
              <w:rPr>
                <w:color w:val="000000" w:themeColor="text1"/>
                <w:szCs w:val="16"/>
              </w:rPr>
              <w:t>100%</w:t>
            </w:r>
          </w:p>
        </w:tc>
        <w:tc>
          <w:tcPr>
            <w:tcW w:w="1458" w:type="pct"/>
          </w:tcPr>
          <w:p w14:paraId="67D6E1E0" w14:textId="00533F6B" w:rsidR="00FE4611" w:rsidRPr="00781112" w:rsidRDefault="00FE4611" w:rsidP="00AF574F">
            <w:pPr>
              <w:jc w:val="center"/>
              <w:rPr>
                <w:rFonts w:cs="Arial"/>
                <w:color w:val="000000" w:themeColor="text1"/>
                <w:szCs w:val="16"/>
              </w:rPr>
            </w:pPr>
            <w:r w:rsidRPr="00781112">
              <w:rPr>
                <w:color w:val="000000" w:themeColor="text1"/>
                <w:szCs w:val="16"/>
              </w:rPr>
              <w:t>100%</w:t>
            </w:r>
          </w:p>
        </w:tc>
      </w:tr>
    </w:tbl>
    <w:p w14:paraId="2E844227" w14:textId="77777777" w:rsidR="00AF12E4" w:rsidRPr="00781112" w:rsidRDefault="00AF12E4" w:rsidP="004369B2">
      <w:pPr>
        <w:rPr>
          <w:color w:val="000000" w:themeColor="text1"/>
        </w:rPr>
      </w:pPr>
    </w:p>
    <w:bookmarkEnd w:id="80"/>
    <w:bookmarkEnd w:id="81"/>
    <w:p w14:paraId="596F7C13" w14:textId="3C4D7B4B" w:rsidR="00D03701" w:rsidRPr="00781112" w:rsidRDefault="0047313F" w:rsidP="004369B2">
      <w:pPr>
        <w:rPr>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3CFFYAPRDATA"/>
      </w:tblPr>
      <w:tblGrid>
        <w:gridCol w:w="1533"/>
        <w:gridCol w:w="1498"/>
        <w:gridCol w:w="1372"/>
        <w:gridCol w:w="2067"/>
        <w:gridCol w:w="1232"/>
        <w:gridCol w:w="1571"/>
        <w:gridCol w:w="1517"/>
      </w:tblGrid>
      <w:tr w:rsidR="00B1652C" w:rsidRPr="00781112" w14:paraId="22208B6A" w14:textId="2EBA1D17" w:rsidTr="00A947D9">
        <w:trPr>
          <w:trHeight w:val="354"/>
          <w:tblHeader/>
        </w:trPr>
        <w:tc>
          <w:tcPr>
            <w:tcW w:w="710" w:type="pct"/>
            <w:shd w:val="clear" w:color="auto" w:fill="auto"/>
            <w:vAlign w:val="bottom"/>
          </w:tcPr>
          <w:p w14:paraId="24F7C6E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Number of youth aged 16 and above with IEPs that contain each of the required components for secondary transition</w:t>
            </w:r>
          </w:p>
        </w:tc>
        <w:tc>
          <w:tcPr>
            <w:tcW w:w="694" w:type="pct"/>
            <w:shd w:val="clear" w:color="auto" w:fill="auto"/>
            <w:vAlign w:val="bottom"/>
          </w:tcPr>
          <w:p w14:paraId="5096A29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youth with IEPs aged 16 and above</w:t>
            </w:r>
          </w:p>
        </w:tc>
        <w:tc>
          <w:tcPr>
            <w:tcW w:w="636" w:type="pct"/>
            <w:shd w:val="clear" w:color="auto" w:fill="auto"/>
            <w:vAlign w:val="bottom"/>
          </w:tcPr>
          <w:p w14:paraId="77D0CB34" w14:textId="037FBC59" w:rsidR="00B1652C" w:rsidRPr="006D0A52" w:rsidRDefault="00B1652C" w:rsidP="00B1652C">
            <w:pPr>
              <w:jc w:val="center"/>
              <w:rPr>
                <w:rFonts w:cs="Arial"/>
                <w:b/>
                <w:bCs/>
                <w:color w:val="000000" w:themeColor="text1"/>
                <w:szCs w:val="16"/>
              </w:rPr>
            </w:pPr>
            <w:r w:rsidRPr="006D0A52">
              <w:rPr>
                <w:b/>
                <w:bCs/>
              </w:rPr>
              <w:t>FFY 2022 Data</w:t>
            </w:r>
          </w:p>
        </w:tc>
        <w:tc>
          <w:tcPr>
            <w:tcW w:w="958" w:type="pct"/>
            <w:shd w:val="clear" w:color="auto" w:fill="auto"/>
            <w:vAlign w:val="bottom"/>
          </w:tcPr>
          <w:p w14:paraId="0E375E75" w14:textId="56695C7A" w:rsidR="00B1652C" w:rsidRPr="006D0A52" w:rsidRDefault="00B1652C" w:rsidP="00B1652C">
            <w:pPr>
              <w:jc w:val="center"/>
              <w:rPr>
                <w:rFonts w:cs="Arial"/>
                <w:b/>
                <w:bCs/>
                <w:color w:val="000000" w:themeColor="text1"/>
                <w:szCs w:val="16"/>
              </w:rPr>
            </w:pPr>
            <w:r w:rsidRPr="006D0A52">
              <w:rPr>
                <w:b/>
                <w:bCs/>
              </w:rPr>
              <w:t>FFY 2023 Target</w:t>
            </w:r>
          </w:p>
        </w:tc>
        <w:tc>
          <w:tcPr>
            <w:tcW w:w="571" w:type="pct"/>
            <w:shd w:val="clear" w:color="auto" w:fill="auto"/>
            <w:vAlign w:val="bottom"/>
          </w:tcPr>
          <w:p w14:paraId="58CCB0C1" w14:textId="230D8C5D" w:rsidR="00B1652C" w:rsidRPr="006D0A52" w:rsidRDefault="00B1652C" w:rsidP="00B1652C">
            <w:pPr>
              <w:jc w:val="center"/>
              <w:rPr>
                <w:rFonts w:cs="Arial"/>
                <w:b/>
                <w:bCs/>
                <w:color w:val="000000" w:themeColor="text1"/>
                <w:szCs w:val="16"/>
              </w:rPr>
            </w:pPr>
            <w:r w:rsidRPr="006D0A52">
              <w:rPr>
                <w:b/>
                <w:bCs/>
              </w:rPr>
              <w:t>FFY 2023 Data</w:t>
            </w:r>
          </w:p>
        </w:tc>
        <w:tc>
          <w:tcPr>
            <w:tcW w:w="728" w:type="pct"/>
            <w:shd w:val="clear" w:color="auto" w:fill="auto"/>
            <w:vAlign w:val="bottom"/>
          </w:tcPr>
          <w:p w14:paraId="3A7C3260" w14:textId="5AACBA6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04" w:type="pct"/>
            <w:shd w:val="clear" w:color="auto" w:fill="auto"/>
            <w:vAlign w:val="bottom"/>
          </w:tcPr>
          <w:p w14:paraId="34FABCEB" w14:textId="119B0EB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8CC159D" w14:textId="122E5ABE" w:rsidTr="00A947D9">
        <w:trPr>
          <w:trHeight w:val="361"/>
        </w:trPr>
        <w:tc>
          <w:tcPr>
            <w:tcW w:w="710" w:type="pct"/>
            <w:shd w:val="clear" w:color="auto" w:fill="auto"/>
            <w:vAlign w:val="center"/>
          </w:tcPr>
          <w:p w14:paraId="55912D09" w14:textId="371B119A" w:rsidR="00070D9E" w:rsidRPr="00781112" w:rsidRDefault="002B7490" w:rsidP="004369B2">
            <w:pPr>
              <w:jc w:val="center"/>
              <w:rPr>
                <w:rFonts w:cs="Arial"/>
                <w:color w:val="000000" w:themeColor="text1"/>
                <w:szCs w:val="16"/>
              </w:rPr>
            </w:pPr>
            <w:r w:rsidRPr="00781112">
              <w:rPr>
                <w:rFonts w:cs="Arial"/>
                <w:color w:val="000000" w:themeColor="text1"/>
                <w:szCs w:val="16"/>
              </w:rPr>
              <w:t>496</w:t>
            </w:r>
          </w:p>
        </w:tc>
        <w:tc>
          <w:tcPr>
            <w:tcW w:w="694" w:type="pct"/>
            <w:shd w:val="clear" w:color="auto" w:fill="auto"/>
            <w:vAlign w:val="center"/>
          </w:tcPr>
          <w:p w14:paraId="3D798FB5" w14:textId="3B2AC314" w:rsidR="00070D9E" w:rsidRPr="00781112" w:rsidRDefault="002B7490" w:rsidP="004369B2">
            <w:pPr>
              <w:jc w:val="center"/>
              <w:rPr>
                <w:rFonts w:cs="Arial"/>
                <w:color w:val="000000" w:themeColor="text1"/>
                <w:szCs w:val="16"/>
              </w:rPr>
            </w:pPr>
            <w:r w:rsidRPr="00781112">
              <w:rPr>
                <w:rFonts w:cs="Arial"/>
                <w:color w:val="000000" w:themeColor="text1"/>
                <w:szCs w:val="16"/>
              </w:rPr>
              <w:t>651</w:t>
            </w:r>
          </w:p>
        </w:tc>
        <w:tc>
          <w:tcPr>
            <w:tcW w:w="636" w:type="pct"/>
            <w:shd w:val="clear" w:color="auto" w:fill="auto"/>
            <w:vAlign w:val="center"/>
          </w:tcPr>
          <w:p w14:paraId="36E1BD35" w14:textId="4F5BD8EB" w:rsidR="00070D9E" w:rsidRPr="00781112" w:rsidRDefault="002B7490" w:rsidP="004369B2">
            <w:pPr>
              <w:jc w:val="center"/>
              <w:rPr>
                <w:rFonts w:cs="Arial"/>
                <w:color w:val="000000" w:themeColor="text1"/>
                <w:szCs w:val="16"/>
              </w:rPr>
            </w:pPr>
            <w:r w:rsidRPr="00781112">
              <w:rPr>
                <w:rFonts w:cs="Arial"/>
                <w:color w:val="000000" w:themeColor="text1"/>
                <w:szCs w:val="16"/>
              </w:rPr>
              <w:t>71.38%</w:t>
            </w:r>
          </w:p>
        </w:tc>
        <w:tc>
          <w:tcPr>
            <w:tcW w:w="958" w:type="pct"/>
            <w:shd w:val="clear" w:color="auto" w:fill="auto"/>
            <w:vAlign w:val="center"/>
          </w:tcPr>
          <w:p w14:paraId="20E5284B" w14:textId="1FE0CF32" w:rsidR="00070D9E"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71" w:type="pct"/>
            <w:shd w:val="clear" w:color="auto" w:fill="auto"/>
            <w:vAlign w:val="center"/>
          </w:tcPr>
          <w:p w14:paraId="55A387E5" w14:textId="6321743C" w:rsidR="00070D9E" w:rsidRPr="00781112" w:rsidRDefault="002B7490" w:rsidP="004369B2">
            <w:pPr>
              <w:jc w:val="center"/>
              <w:rPr>
                <w:rFonts w:cs="Arial"/>
                <w:color w:val="000000" w:themeColor="text1"/>
                <w:szCs w:val="16"/>
              </w:rPr>
            </w:pPr>
            <w:r w:rsidRPr="00781112">
              <w:rPr>
                <w:rFonts w:cs="Arial"/>
                <w:color w:val="000000" w:themeColor="text1"/>
                <w:szCs w:val="16"/>
              </w:rPr>
              <w:t>76.19%</w:t>
            </w:r>
          </w:p>
        </w:tc>
        <w:tc>
          <w:tcPr>
            <w:tcW w:w="728" w:type="pct"/>
            <w:shd w:val="clear" w:color="auto" w:fill="auto"/>
            <w:vAlign w:val="center"/>
          </w:tcPr>
          <w:p w14:paraId="66968C5A" w14:textId="493EB054" w:rsidR="00070D9E"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04" w:type="pct"/>
            <w:shd w:val="clear" w:color="auto" w:fill="auto"/>
            <w:vAlign w:val="center"/>
          </w:tcPr>
          <w:p w14:paraId="175BD68F" w14:textId="534B9E4D" w:rsidR="00070D9E"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1C32496" w14:textId="77777777" w:rsidR="00A5601C" w:rsidRPr="00781112" w:rsidRDefault="00070D9E">
      <w:pPr>
        <w:rPr>
          <w:b/>
          <w:color w:val="000000" w:themeColor="text1"/>
        </w:rPr>
      </w:pPr>
      <w:r w:rsidRPr="00781112">
        <w:rPr>
          <w:b/>
          <w:color w:val="000000" w:themeColor="text1"/>
        </w:rPr>
        <w:t xml:space="preserve">What is the source of the data provided for this indicator? </w:t>
      </w:r>
    </w:p>
    <w:p w14:paraId="2BFF05E7" w14:textId="7BFBE390" w:rsidR="00070D9E" w:rsidRPr="00781112" w:rsidRDefault="002B7490" w:rsidP="004369B2">
      <w:pPr>
        <w:rPr>
          <w:iCs/>
          <w:color w:val="000000" w:themeColor="text1"/>
        </w:rPr>
      </w:pPr>
      <w:r w:rsidRPr="00781112">
        <w:rPr>
          <w:iCs/>
          <w:color w:val="000000" w:themeColor="text1"/>
        </w:rPr>
        <w:t>State monitoring</w:t>
      </w:r>
    </w:p>
    <w:p w14:paraId="68493AF0" w14:textId="77777777" w:rsidR="00070D9E" w:rsidRPr="00781112" w:rsidRDefault="00070D9E"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22E8774A" w14:textId="46B4955A" w:rsidR="00326C0B" w:rsidRPr="00781112" w:rsidRDefault="002B7490" w:rsidP="008E31C4">
      <w:pPr>
        <w:rPr>
          <w:rFonts w:cs="Arial"/>
          <w:color w:val="000000" w:themeColor="text1"/>
          <w:szCs w:val="16"/>
        </w:rPr>
      </w:pPr>
      <w:r w:rsidRPr="00781112">
        <w:rPr>
          <w:rFonts w:cs="Arial"/>
          <w:color w:val="000000" w:themeColor="text1"/>
          <w:szCs w:val="16"/>
        </w:rPr>
        <w:t>WVDE/OSE collects data as described in the IDEA Part B Programmatic Monitoring Procedures [https://wvde.us/special-education/policies-and-compliance/monitoring-and-compliance/#fusion-tab-specialeducationmonitoring]. These procedures include implementation of a tiered system of accountability and support to ensure all LEAs meet the requirements of IDEA. Levels of monitoring that could produce data for this indicator include:</w:t>
      </w:r>
      <w:r w:rsidRPr="00781112">
        <w:rPr>
          <w:rFonts w:cs="Arial"/>
          <w:color w:val="000000" w:themeColor="text1"/>
          <w:szCs w:val="16"/>
        </w:rPr>
        <w:br/>
      </w:r>
      <w:r w:rsidRPr="00781112">
        <w:rPr>
          <w:rFonts w:cs="Arial"/>
          <w:color w:val="000000" w:themeColor="text1"/>
          <w:szCs w:val="16"/>
        </w:rPr>
        <w:br/>
        <w:t>* Cyclical Monitoring (Universal) occurs on a four-year rotation to ensure that every LEA receives an on-site visit at least once every four years.</w:t>
      </w:r>
      <w:r w:rsidRPr="00781112">
        <w:rPr>
          <w:rFonts w:cs="Arial"/>
          <w:color w:val="000000" w:themeColor="text1"/>
          <w:szCs w:val="16"/>
        </w:rPr>
        <w:br/>
        <w:t>* Differentiated Monitoring (Universal) determines an LEA’s risk of non-compliance for both programmatic and fiscal factors.</w:t>
      </w:r>
      <w:r w:rsidRPr="00781112">
        <w:rPr>
          <w:rFonts w:cs="Arial"/>
          <w:color w:val="000000" w:themeColor="text1"/>
          <w:szCs w:val="16"/>
        </w:rPr>
        <w:br/>
        <w:t>* Risk-Based Monitoring (Targeted) LEAs deemed to be at-risk receive additional monitoring activities and support to identify root causes and solutions for reducing risk factors.</w:t>
      </w:r>
      <w:r w:rsidRPr="00781112">
        <w:rPr>
          <w:rFonts w:cs="Arial"/>
          <w:color w:val="000000" w:themeColor="text1"/>
          <w:szCs w:val="16"/>
        </w:rPr>
        <w:br/>
        <w:t>* Focused Monitoring (Intensive) is a process where the LEA may receive an on-site visit based on identified need, or information collected from data sources such as long-standing non-compliance, LEA determinations, parent calls, or specific issues brought to the attention of the WVDE/OSE (this process can occur concurrently with any other monitoring activity or as an independent activity); and</w:t>
      </w:r>
      <w:r w:rsidRPr="00781112">
        <w:rPr>
          <w:rFonts w:cs="Arial"/>
          <w:color w:val="000000" w:themeColor="text1"/>
          <w:szCs w:val="16"/>
        </w:rPr>
        <w:br/>
        <w:t>* Special Circumstance Reviews (Intensive) are conducted for LEAs identified as needing assistance or intervention in the state accountability system to ensure LEAs are providing FAPE to students with disabilities in West Virginia.</w:t>
      </w:r>
      <w:r w:rsidRPr="00781112">
        <w:rPr>
          <w:rFonts w:cs="Arial"/>
          <w:color w:val="000000" w:themeColor="text1"/>
          <w:szCs w:val="16"/>
        </w:rPr>
        <w:br/>
      </w:r>
      <w:r w:rsidRPr="00781112">
        <w:rPr>
          <w:rFonts w:cs="Arial"/>
          <w:color w:val="000000" w:themeColor="text1"/>
          <w:szCs w:val="16"/>
        </w:rPr>
        <w:br/>
        <w:t>The most common source of data for Indicator 13 secondary transition comes through the state’s cyclical monitoring process which follows the school year calendar and ensures that every LEA receives an on-site visit at least once every four years. Using the statewide online IEP system, and based on the student population for each LEA, the WVDE/OSE randomly reviews IEP/secondary transition plans for students ages 14-21 with an IEP. Secondary transition IEPs are reviewed to verify that they follow the secondary transition file review (TR) checklist [https://wvde.us/special-education/policies-and-compliance/monitoring-and-compliance/#fusion-tab-specialeducationmonitoring]. The State’s file review includes verification that an annual IEP/transition meeting took place within the past 365 days; and that documentation exists, either in the statewide online IEP system or in the LEA permanent special education files, for the following required components of secondary transition plans:</w:t>
      </w:r>
      <w:r w:rsidRPr="00781112">
        <w:rPr>
          <w:rFonts w:cs="Arial"/>
          <w:color w:val="000000" w:themeColor="text1"/>
          <w:szCs w:val="16"/>
        </w:rPr>
        <w:br/>
      </w:r>
      <w:r w:rsidRPr="00781112">
        <w:rPr>
          <w:rFonts w:cs="Arial"/>
          <w:color w:val="000000" w:themeColor="text1"/>
          <w:szCs w:val="16"/>
        </w:rPr>
        <w:br/>
        <w:t>* When appropriate, the parent or adult student provided permission to invite outside agencies, and if consent is obtained, outside agencies that would be likely to provide or pay for transition services, including pre-employment transition services, were invited (TR1 and TR2)</w:t>
      </w:r>
      <w:r w:rsidRPr="00781112">
        <w:rPr>
          <w:rFonts w:cs="Arial"/>
          <w:color w:val="000000" w:themeColor="text1"/>
          <w:szCs w:val="16"/>
        </w:rPr>
        <w:br/>
        <w:t>* There are measurable postsecondary goals for education/training, employment, and when appropriate independent living (TR3, TR4, and TR5).</w:t>
      </w:r>
      <w:r w:rsidRPr="00781112">
        <w:rPr>
          <w:rFonts w:cs="Arial"/>
          <w:color w:val="000000" w:themeColor="text1"/>
          <w:szCs w:val="16"/>
        </w:rPr>
        <w:br/>
        <w:t>* Postsecondary goals are based on age-appropriate transition assessments (TR6).</w:t>
      </w:r>
      <w:r w:rsidRPr="00781112">
        <w:rPr>
          <w:rFonts w:cs="Arial"/>
          <w:color w:val="000000" w:themeColor="text1"/>
          <w:szCs w:val="16"/>
        </w:rPr>
        <w:br/>
        <w:t>* Transition services include courses of study that will enable the student to meet postsecondary goals (TR7).</w:t>
      </w:r>
      <w:r w:rsidRPr="00781112">
        <w:rPr>
          <w:rFonts w:cs="Arial"/>
          <w:color w:val="000000" w:themeColor="text1"/>
          <w:szCs w:val="16"/>
        </w:rPr>
        <w:br/>
        <w:t>* The student was invited to the meeting (TR8).</w:t>
      </w:r>
      <w:r w:rsidRPr="00781112">
        <w:rPr>
          <w:rFonts w:cs="Arial"/>
          <w:color w:val="000000" w:themeColor="text1"/>
          <w:szCs w:val="16"/>
        </w:rPr>
        <w:br/>
        <w:t>* There are annual goals related to the student’s transition services and needs (TR9).</w:t>
      </w:r>
      <w:r w:rsidRPr="00781112">
        <w:rPr>
          <w:rFonts w:cs="Arial"/>
          <w:color w:val="000000" w:themeColor="text1"/>
          <w:szCs w:val="16"/>
        </w:rPr>
        <w:br/>
        <w:t>* There are transition services in the IEP that will reasonably enable the student to meet their post-secondary goals (TR10).</w:t>
      </w:r>
      <w:r w:rsidRPr="00781112">
        <w:rPr>
          <w:rFonts w:cs="Arial"/>
          <w:color w:val="000000" w:themeColor="text1"/>
          <w:szCs w:val="16"/>
        </w:rPr>
        <w:br/>
      </w:r>
      <w:r w:rsidRPr="00781112">
        <w:rPr>
          <w:rFonts w:cs="Arial"/>
          <w:color w:val="000000" w:themeColor="text1"/>
          <w:szCs w:val="16"/>
        </w:rPr>
        <w:br/>
        <w:t>If the LEA is determined to be non-compliant in any single area listed above, the entire secondary transition plan is marked as non-compliant. LEAs are notified in writing of their noncompliance and a timeline (per OSEP QA 23-01) provided that requires the correction of all individual instances of non-compliance as soon as possible, but no later than one year from notification of noncompliance. In addition, LEA staff responsible for writing secondary transition plans must participate in technical assistance and support (e.g.: regular training opportunities, 1:1 assistance, etc.) provided by WVDE/OSE to ensure that they are meeting the requirements of IDEA for students ages 14-21. WVDE/OSE then conducts additional reviews of updated data until the LEA meets 100% compliance; updated data are obtained through the state’s online IEP system or an on-site visit. Until the LEA has been cleared for individual and systemic issues of non-compliance, they may be subject to monitoring activities outside of cyclical monitoring for multiple years to ensure they are meeting the requirements of IDEA regarding secondary transition plans.</w:t>
      </w:r>
      <w:r w:rsidRPr="00781112">
        <w:rPr>
          <w:rFonts w:cs="Arial"/>
          <w:color w:val="000000" w:themeColor="text1"/>
          <w:szCs w:val="16"/>
        </w:rPr>
        <w:br/>
      </w:r>
      <w:r w:rsidRPr="00781112">
        <w:rPr>
          <w:rFonts w:cs="Arial"/>
          <w:color w:val="000000" w:themeColor="text1"/>
          <w:szCs w:val="16"/>
        </w:rPr>
        <w:br/>
        <w:t>Percent Compliance = [(total number of student transition plans reviewed and deemed compliant) divided by (total number of student transition plans reviewed during the school year)] x 100. This same formula applies to calculating individual LEA compliance, as well as the statewide calculation used for SPP/APR reporting purposes.</w:t>
      </w:r>
    </w:p>
    <w:tbl>
      <w:tblPr>
        <w:tblStyle w:val="TableGrid"/>
        <w:tblW w:w="5000" w:type="pct"/>
        <w:tblLook w:val="04A0" w:firstRow="1" w:lastRow="0" w:firstColumn="1" w:lastColumn="0" w:noHBand="0" w:noVBand="1"/>
        <w:tblCaption w:val="B13CFFYCOLLECT"/>
      </w:tblPr>
      <w:tblGrid>
        <w:gridCol w:w="8503"/>
        <w:gridCol w:w="2287"/>
      </w:tblGrid>
      <w:tr w:rsidR="005C29F8" w:rsidRPr="00781112" w14:paraId="366D2592" w14:textId="77777777" w:rsidTr="0033429D">
        <w:trPr>
          <w:tblHeader/>
        </w:trPr>
        <w:tc>
          <w:tcPr>
            <w:tcW w:w="3940" w:type="pct"/>
          </w:tcPr>
          <w:p w14:paraId="49221B81" w14:textId="4811C153" w:rsidR="006B4D98" w:rsidRPr="00781112" w:rsidRDefault="00694A39" w:rsidP="005F442C">
            <w:pPr>
              <w:rPr>
                <w:rFonts w:cs="Arial"/>
                <w:b/>
                <w:bCs/>
                <w:color w:val="000000" w:themeColor="text1"/>
                <w:szCs w:val="16"/>
              </w:rPr>
            </w:pPr>
            <w:r w:rsidRPr="00781112">
              <w:rPr>
                <w:rFonts w:cs="Arial"/>
                <w:b/>
                <w:bCs/>
                <w:color w:val="000000" w:themeColor="text1"/>
                <w:szCs w:val="16"/>
              </w:rPr>
              <w:t>Question</w:t>
            </w:r>
          </w:p>
        </w:tc>
        <w:tc>
          <w:tcPr>
            <w:tcW w:w="1060" w:type="pct"/>
          </w:tcPr>
          <w:p w14:paraId="3C85F11D" w14:textId="67F200AD" w:rsidR="006B4D98" w:rsidRPr="00781112" w:rsidRDefault="006B4D98"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3EAB126" w14:textId="25879D68" w:rsidTr="00A947D9">
        <w:tc>
          <w:tcPr>
            <w:tcW w:w="3940" w:type="pct"/>
          </w:tcPr>
          <w:p w14:paraId="48B431E3" w14:textId="55B03061" w:rsidR="006B4D98" w:rsidRPr="00781112" w:rsidRDefault="006B4D98" w:rsidP="005F442C">
            <w:pPr>
              <w:rPr>
                <w:rFonts w:cs="Arial"/>
                <w:color w:val="000000" w:themeColor="text1"/>
                <w:szCs w:val="16"/>
              </w:rPr>
            </w:pPr>
            <w:r w:rsidRPr="00781112">
              <w:rPr>
                <w:rFonts w:cs="Arial"/>
                <w:color w:val="000000" w:themeColor="text1"/>
                <w:szCs w:val="16"/>
              </w:rPr>
              <w:t xml:space="preserve">Do the State’s policies and procedures provide that public agencies must meet these requirements at an age younger than 16? </w:t>
            </w:r>
          </w:p>
        </w:tc>
        <w:tc>
          <w:tcPr>
            <w:tcW w:w="1060" w:type="pct"/>
          </w:tcPr>
          <w:p w14:paraId="15F6D513" w14:textId="633CDBE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A1B7304" w14:textId="62E0E544" w:rsidTr="00A947D9">
        <w:tc>
          <w:tcPr>
            <w:tcW w:w="3940" w:type="pct"/>
          </w:tcPr>
          <w:p w14:paraId="73B3F719" w14:textId="0391FF91" w:rsidR="006B4D98" w:rsidRPr="00781112" w:rsidRDefault="00AF30E8">
            <w:pPr>
              <w:rPr>
                <w:rFonts w:cs="Arial"/>
                <w:color w:val="000000" w:themeColor="text1"/>
                <w:szCs w:val="16"/>
              </w:rPr>
            </w:pPr>
            <w:r w:rsidRPr="00781112">
              <w:rPr>
                <w:rFonts w:cs="Arial"/>
                <w:color w:val="000000" w:themeColor="text1"/>
                <w:szCs w:val="16"/>
              </w:rPr>
              <w:t>If yes, did the State choose to include youth at an age younger than 16 in its data for this indicator and ensure that its baseline data are based on youth beginning at that younger age?</w:t>
            </w:r>
          </w:p>
        </w:tc>
        <w:tc>
          <w:tcPr>
            <w:tcW w:w="1060" w:type="pct"/>
          </w:tcPr>
          <w:p w14:paraId="27A80519" w14:textId="1C51858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B31049E" w14:textId="650E5040" w:rsidTr="0033429D">
        <w:tc>
          <w:tcPr>
            <w:tcW w:w="3940" w:type="pct"/>
          </w:tcPr>
          <w:p w14:paraId="33799AB6" w14:textId="30C1CDE0" w:rsidR="00212954" w:rsidRPr="00781112" w:rsidRDefault="00212954">
            <w:pPr>
              <w:rPr>
                <w:rFonts w:cs="Arial"/>
                <w:color w:val="000000" w:themeColor="text1"/>
                <w:szCs w:val="16"/>
              </w:rPr>
            </w:pPr>
            <w:r w:rsidRPr="00781112">
              <w:rPr>
                <w:rFonts w:cs="Arial"/>
                <w:color w:val="000000" w:themeColor="text1"/>
                <w:szCs w:val="16"/>
              </w:rPr>
              <w:t>If yes, at what age are youth included in the data for this indicator</w:t>
            </w:r>
          </w:p>
        </w:tc>
        <w:tc>
          <w:tcPr>
            <w:tcW w:w="1060" w:type="pct"/>
          </w:tcPr>
          <w:p w14:paraId="7129A3DA" w14:textId="2111F324" w:rsidR="00212954" w:rsidRPr="00781112" w:rsidRDefault="002B7490" w:rsidP="00A018D4">
            <w:pPr>
              <w:jc w:val="center"/>
              <w:rPr>
                <w:rFonts w:cs="Arial"/>
                <w:color w:val="000000" w:themeColor="text1"/>
                <w:szCs w:val="16"/>
              </w:rPr>
            </w:pPr>
            <w:r w:rsidRPr="00781112">
              <w:rPr>
                <w:rFonts w:cs="Arial"/>
                <w:color w:val="000000" w:themeColor="text1"/>
                <w:szCs w:val="16"/>
              </w:rPr>
              <w:t>14</w:t>
            </w:r>
          </w:p>
        </w:tc>
      </w:tr>
    </w:tbl>
    <w:p w14:paraId="735DB55A" w14:textId="18C77FF1" w:rsidR="00644AC8" w:rsidRPr="00781112" w:rsidRDefault="00644AC8" w:rsidP="005F442C">
      <w:pPr>
        <w:rPr>
          <w:rFonts w:cs="Arial"/>
          <w:b/>
          <w:color w:val="000000" w:themeColor="text1"/>
          <w:szCs w:val="16"/>
        </w:rPr>
      </w:pPr>
      <w:bookmarkStart w:id="82" w:name="_Toc392159335"/>
      <w:r w:rsidRPr="00781112">
        <w:rPr>
          <w:rFonts w:cs="Arial"/>
          <w:b/>
          <w:color w:val="000000" w:themeColor="text1"/>
          <w:szCs w:val="16"/>
        </w:rPr>
        <w:t>Provide additional information about this indicator (optional)</w:t>
      </w:r>
    </w:p>
    <w:p w14:paraId="2F22AC76" w14:textId="5FF8D00A" w:rsidR="00326C0B" w:rsidRPr="00781112" w:rsidRDefault="002B7490" w:rsidP="007D435F">
      <w:pPr>
        <w:rPr>
          <w:rFonts w:cs="Arial"/>
          <w:color w:val="000000" w:themeColor="text1"/>
          <w:szCs w:val="16"/>
        </w:rPr>
      </w:pPr>
      <w:r w:rsidRPr="00781112">
        <w:rPr>
          <w:rFonts w:cs="Arial"/>
          <w:color w:val="000000" w:themeColor="text1"/>
          <w:szCs w:val="16"/>
        </w:rPr>
        <w:t>WVDE/OSE provides LEAs with focused professional development, technical assistance, and support to improve results for secondary transition planning and student outcomes for postschool opportunities.</w:t>
      </w:r>
      <w:r w:rsidRPr="00781112">
        <w:rPr>
          <w:rFonts w:cs="Arial"/>
          <w:color w:val="000000" w:themeColor="text1"/>
          <w:szCs w:val="16"/>
        </w:rPr>
        <w:br/>
      </w:r>
      <w:r w:rsidRPr="00781112">
        <w:rPr>
          <w:rFonts w:cs="Arial"/>
          <w:color w:val="000000" w:themeColor="text1"/>
          <w:szCs w:val="16"/>
        </w:rPr>
        <w:br/>
        <w:t>TECHNICAL ASSISTANCE and SUPPORT</w:t>
      </w:r>
      <w:r w:rsidRPr="00781112">
        <w:rPr>
          <w:rFonts w:cs="Arial"/>
          <w:color w:val="000000" w:themeColor="text1"/>
          <w:szCs w:val="16"/>
        </w:rPr>
        <w:br/>
        <w:t xml:space="preserve">WVDE/OSE uses an evidence-based self-paced course called "Writing High-Quality Secondary Transition Plans" purchased from an OSEP-funded TA center. This self-paced course is available to anyone with a WVDE email address and is housed on the state's CANVAS platform. The WVDE/OSE secondary transition coordinator is the course “instructor” with access to enrollment and grade information. To promote public transparency of the course </w:t>
      </w:r>
      <w:r w:rsidRPr="00781112">
        <w:rPr>
          <w:rFonts w:cs="Arial"/>
          <w:color w:val="000000" w:themeColor="text1"/>
          <w:szCs w:val="16"/>
        </w:rPr>
        <w:lastRenderedPageBreak/>
        <w:t>contents, companion resources were developed from the materials within this course and made available in the secondary transition section of the WV Guideposts to Graduation (WVGtG) website [link: https://wvde.us/special-education/wv-guideposts-to-graduation/]. This course includes content training on the following topics: Federal Regulations and Transition Services; Required components of the Transition Plan, Conducting Transition Assessments and Organizing the Data; Present Levels of Performance Requirements; Employability Skills; Writing Measurable Postsecondary Goals; Transition Services and Courses of Study; and Writing Annual Transition Goals. This course is available to all LEA staff as universal TA but is required when an LEA has been identified as not meeting IDEA requirements for secondary transition planning. WVDE/OSE also conducts 1:1 TA with LEAs via phone, Teams meetings, and provision of on-site professional development as requested by the LEA.</w:t>
      </w:r>
      <w:r w:rsidRPr="00781112">
        <w:rPr>
          <w:rFonts w:cs="Arial"/>
          <w:color w:val="000000" w:themeColor="text1"/>
          <w:szCs w:val="16"/>
        </w:rPr>
        <w:br/>
      </w:r>
      <w:r w:rsidRPr="00781112">
        <w:rPr>
          <w:rFonts w:cs="Arial"/>
          <w:color w:val="000000" w:themeColor="text1"/>
          <w:szCs w:val="16"/>
        </w:rPr>
        <w:br/>
        <w:t>ALIGNMENT WITH SSIP</w:t>
      </w:r>
      <w:r w:rsidRPr="00781112">
        <w:rPr>
          <w:rFonts w:cs="Arial"/>
          <w:color w:val="000000" w:themeColor="text1"/>
          <w:szCs w:val="16"/>
        </w:rPr>
        <w:br/>
        <w:t>In addition to the CANVAS course described above, WVGtG/SSIP monthly Community of Practice for SY 2023-24 focused specifically on the required components of secondary transition planning in IDEA and the collaboration of transition service delivery with outside agencies. Participation in the CoP is mandatory for all LEAs who do not meet the compliance requirements for indicator 13. This will ensure that all LEAs in West Virginia have the same foundations and support for writing high quality transition plans.</w:t>
      </w:r>
      <w:r w:rsidRPr="00781112">
        <w:rPr>
          <w:rFonts w:cs="Arial"/>
          <w:color w:val="000000" w:themeColor="text1"/>
          <w:szCs w:val="16"/>
        </w:rPr>
        <w:br/>
      </w:r>
      <w:r w:rsidRPr="00781112">
        <w:rPr>
          <w:rFonts w:cs="Arial"/>
          <w:color w:val="000000" w:themeColor="text1"/>
          <w:szCs w:val="16"/>
        </w:rPr>
        <w:br/>
        <w:t>WEBSITE RESOURCES</w:t>
      </w:r>
      <w:r w:rsidRPr="00781112">
        <w:rPr>
          <w:rFonts w:cs="Arial"/>
          <w:color w:val="000000" w:themeColor="text1"/>
          <w:szCs w:val="16"/>
        </w:rPr>
        <w:br/>
        <w:t xml:space="preserve">WVDE/OSE also provides resources for secondary transition on its WVGtG website [https://wvde.us/special-education/wv-guideposts-to-graduation/] to enable school staff easier access to the most current information on secondary transition requirements. These resources include a list of statewide partnerships for LEAs to consider when determining appropriate outside agencies to be invited to IEP transition meetings and a list of state parks that are willing to support work-based learning opportunities for students with disabilities (SWD). </w:t>
      </w:r>
      <w:r w:rsidRPr="00781112">
        <w:rPr>
          <w:rFonts w:cs="Arial"/>
          <w:color w:val="000000" w:themeColor="text1"/>
          <w:szCs w:val="16"/>
        </w:rPr>
        <w:br/>
        <w:t>WVDE/OSE will continue to seek stakeholder input on the effectiveness of these resources and the need for development of additional tools.</w:t>
      </w:r>
      <w:r w:rsidRPr="00781112">
        <w:rPr>
          <w:rFonts w:cs="Arial"/>
          <w:color w:val="000000" w:themeColor="text1"/>
          <w:szCs w:val="16"/>
        </w:rPr>
        <w:br/>
      </w:r>
      <w:r w:rsidRPr="00781112">
        <w:rPr>
          <w:rFonts w:cs="Arial"/>
          <w:color w:val="000000" w:themeColor="text1"/>
          <w:szCs w:val="16"/>
        </w:rPr>
        <w:br/>
        <w:t>OSEP-FUNDED TA CENTERS</w:t>
      </w:r>
      <w:r w:rsidRPr="00781112">
        <w:rPr>
          <w:rFonts w:cs="Arial"/>
          <w:color w:val="000000" w:themeColor="text1"/>
          <w:szCs w:val="16"/>
        </w:rPr>
        <w:br/>
        <w:t xml:space="preserve">WVDE/OSE continues to work with NTACT:C to identify resources that will align transition services (including pre-ETS) for improved SEA support for school staff and families as they navigate the transition planning process. NTACT:C also facilitates monthly virtual meetings between WVDE and the WV Division of Rehabilitation Services (DRS) to collaborate on secondary transition service delivery and the development of common training opportunities for LEAs. NTACT:C has also begun working with WVDE/OSE to develop an interagency team with representation from the state’s parent center (PTI), juvenile corrections (WVSDT), local schools (LEAs). Group representation was finalized at the very end of SY2023-2024 and became the Interagency Collaboration Team (IC Team) which will continue to coalesce around a common mission/vision during SY2024-2025. </w:t>
      </w:r>
      <w:r w:rsidRPr="00781112">
        <w:rPr>
          <w:rFonts w:cs="Arial"/>
          <w:color w:val="000000" w:themeColor="text1"/>
          <w:szCs w:val="16"/>
        </w:rPr>
        <w:br/>
        <w:t xml:space="preserve">WVDE/OSE continues to work with IDC/Westat and NCSI/WestEd to review its procedures for more efficient data collection and analysis intended to improve compliance for this indicator at the local level. The 4.81% gain in compliance for this reporting period indicates that WVDE/OSE’s efforts are making a difference. </w:t>
      </w:r>
      <w:r w:rsidRPr="00781112">
        <w:rPr>
          <w:rFonts w:cs="Arial"/>
          <w:color w:val="000000" w:themeColor="text1"/>
          <w:szCs w:val="16"/>
        </w:rPr>
        <w:br/>
      </w:r>
      <w:r w:rsidRPr="00781112">
        <w:rPr>
          <w:rFonts w:cs="Arial"/>
          <w:color w:val="000000" w:themeColor="text1"/>
          <w:szCs w:val="16"/>
        </w:rPr>
        <w:br/>
        <w:t>STATEWIDE SECONDARY TRANSITION CONFERENCE</w:t>
      </w:r>
      <w:r w:rsidRPr="00781112">
        <w:rPr>
          <w:rFonts w:cs="Arial"/>
          <w:color w:val="000000" w:themeColor="text1"/>
          <w:szCs w:val="16"/>
        </w:rPr>
        <w:br/>
        <w:t>This conference was an interagency collaboration between WVDE/OSE, Mountain State Educational Services Cooperative, WV Developmental Disabilities Council, and WV Division of Rehabilitation Services. This conference, held in June 2024, provided training and resources to families and school staff on secondary transition planning and services to ensure that SWDs are well-prepared for post-secondary education, employment, and independent living. Total attendance at this all expenses paid conference reached the maximum of 250 for the venue. Feedback from participants included very positive comments such as “this conference was beyond my expectations”, “most enjoyable informative conference I’ve attended.”, “no improvements needed. Sessions and time management were excellent, facility was clean and food delicious, and vendors were great”, and “I would love to attend again if another conference is held next year! Great info for parents!!” The least positive comments included requests for a more information on fiscal topics such as waivers and setting up trusts, and a request for a future 2-day conference to allow participants to attend more sessions.</w:t>
      </w:r>
    </w:p>
    <w:p w14:paraId="1F3D4141" w14:textId="77777777" w:rsidR="00AF12E4" w:rsidRPr="00781112" w:rsidRDefault="00AF12E4" w:rsidP="004369B2">
      <w:pPr>
        <w:rPr>
          <w:color w:val="000000" w:themeColor="text1"/>
        </w:rPr>
      </w:pPr>
    </w:p>
    <w:p w14:paraId="37C34CDA" w14:textId="59CE8FAB"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13PFFYNCFINDINGS"/>
      </w:tblPr>
      <w:tblGrid>
        <w:gridCol w:w="2650"/>
        <w:gridCol w:w="2780"/>
        <w:gridCol w:w="2656"/>
        <w:gridCol w:w="2704"/>
      </w:tblGrid>
      <w:tr w:rsidR="005C29F8" w:rsidRPr="00781112" w14:paraId="6C308319" w14:textId="77777777" w:rsidTr="00A947D9">
        <w:trPr>
          <w:trHeight w:val="389"/>
          <w:tblHeader/>
        </w:trPr>
        <w:tc>
          <w:tcPr>
            <w:tcW w:w="1228" w:type="pct"/>
            <w:shd w:val="clear" w:color="auto" w:fill="auto"/>
            <w:vAlign w:val="bottom"/>
          </w:tcPr>
          <w:p w14:paraId="5A6805D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63B4B6E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6D8FBA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6D3A2F2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582DC7" w14:textId="77777777" w:rsidTr="00A947D9">
        <w:tc>
          <w:tcPr>
            <w:tcW w:w="1228" w:type="pct"/>
            <w:shd w:val="clear" w:color="auto" w:fill="auto"/>
          </w:tcPr>
          <w:p w14:paraId="1C22474D" w14:textId="5ECD77A3" w:rsidR="009A755E" w:rsidRPr="00781112" w:rsidRDefault="002B7490" w:rsidP="004369B2">
            <w:pPr>
              <w:jc w:val="center"/>
              <w:rPr>
                <w:rFonts w:cs="Arial"/>
                <w:color w:val="000000" w:themeColor="text1"/>
                <w:szCs w:val="16"/>
              </w:rPr>
            </w:pPr>
            <w:r w:rsidRPr="00781112">
              <w:rPr>
                <w:rFonts w:cs="Arial"/>
                <w:color w:val="000000" w:themeColor="text1"/>
                <w:szCs w:val="16"/>
              </w:rPr>
              <w:t>21</w:t>
            </w:r>
          </w:p>
        </w:tc>
        <w:tc>
          <w:tcPr>
            <w:tcW w:w="1288" w:type="pct"/>
            <w:shd w:val="clear" w:color="auto" w:fill="auto"/>
          </w:tcPr>
          <w:p w14:paraId="6A161A21" w14:textId="698D820A" w:rsidR="009A755E" w:rsidRPr="00781112" w:rsidRDefault="002B7490" w:rsidP="004369B2">
            <w:pPr>
              <w:jc w:val="center"/>
              <w:rPr>
                <w:rFonts w:cs="Arial"/>
                <w:color w:val="000000" w:themeColor="text1"/>
                <w:szCs w:val="16"/>
              </w:rPr>
            </w:pPr>
            <w:r w:rsidRPr="00781112">
              <w:rPr>
                <w:rFonts w:cs="Arial"/>
                <w:color w:val="000000" w:themeColor="text1"/>
                <w:szCs w:val="16"/>
              </w:rPr>
              <w:t>20</w:t>
            </w:r>
          </w:p>
        </w:tc>
        <w:tc>
          <w:tcPr>
            <w:tcW w:w="1231" w:type="pct"/>
            <w:shd w:val="clear" w:color="auto" w:fill="auto"/>
          </w:tcPr>
          <w:p w14:paraId="6CF556ED" w14:textId="6BD64A21" w:rsidR="009A755E" w:rsidRPr="00781112" w:rsidRDefault="002B7490" w:rsidP="004369B2">
            <w:pPr>
              <w:jc w:val="center"/>
              <w:rPr>
                <w:rFonts w:cs="Arial"/>
                <w:color w:val="000000" w:themeColor="text1"/>
                <w:szCs w:val="16"/>
              </w:rPr>
            </w:pPr>
            <w:r w:rsidRPr="00781112">
              <w:rPr>
                <w:rFonts w:cs="Arial"/>
                <w:color w:val="000000" w:themeColor="text1"/>
                <w:szCs w:val="16"/>
              </w:rPr>
              <w:t>1</w:t>
            </w:r>
          </w:p>
        </w:tc>
        <w:tc>
          <w:tcPr>
            <w:tcW w:w="1254" w:type="pct"/>
            <w:shd w:val="clear" w:color="auto" w:fill="auto"/>
          </w:tcPr>
          <w:p w14:paraId="1B14B45E" w14:textId="6409289E"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45E0E48A" w14:textId="646A82B0" w:rsidR="009A755E" w:rsidRPr="00781112" w:rsidRDefault="00450F98" w:rsidP="004369B2">
      <w:pPr>
        <w:rPr>
          <w:color w:val="000000" w:themeColor="text1"/>
        </w:rPr>
      </w:pPr>
      <w:r>
        <w:rPr>
          <w:b/>
          <w:color w:val="000000" w:themeColor="text1"/>
        </w:rPr>
        <w:t>FFY 2022 Findings of Noncompliance Verified as Corrected</w:t>
      </w:r>
    </w:p>
    <w:p w14:paraId="5FAC5347" w14:textId="3A1B805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BD51D93" w14:textId="30292384" w:rsidR="00326C0B" w:rsidRPr="00781112" w:rsidRDefault="002B7490" w:rsidP="009A755E">
      <w:pPr>
        <w:rPr>
          <w:rFonts w:cs="Arial"/>
          <w:color w:val="000000" w:themeColor="text1"/>
          <w:szCs w:val="16"/>
        </w:rPr>
      </w:pPr>
      <w:r w:rsidRPr="00781112">
        <w:rPr>
          <w:rFonts w:cs="Arial"/>
          <w:color w:val="000000" w:themeColor="text1"/>
          <w:szCs w:val="16"/>
        </w:rPr>
        <w:t>Compliance with specific IDEA regulatory requirements for secondary transition was verified based on WVDE/OSE’s review of updated data from IEPs of transition-aged students in each of the twenty-one (21) LEAs previously identified with noncompliance. WVDE/OSE reviewed additional individual student data subsequently collected through on-site monitoring, an upload of evidence to a secured SharePoint drive, or directly through the WV statewide online IEP system (WVEIS). In addition, staff who are responsible for writing secondary transition plans in each of the twenty-one (21) LEAs were required to complete a CANVAS course (described above) as part of their corrective action plan. Evidence of course completion is obtained through a summative assessment (quiz) which must be passed with a grade of 80% or better to acquire a certificate of completion. The LEA special education director was required to collect these certificates and make them available upon request to WVDE/OSE as verification that staff are appropriately trained to write compliant secondary transition plans.</w:t>
      </w:r>
      <w:r w:rsidRPr="00781112">
        <w:rPr>
          <w:rFonts w:cs="Arial"/>
          <w:color w:val="000000" w:themeColor="text1"/>
          <w:szCs w:val="16"/>
        </w:rPr>
        <w:br/>
      </w:r>
      <w:r w:rsidRPr="00781112">
        <w:rPr>
          <w:rFonts w:cs="Arial"/>
          <w:color w:val="000000" w:themeColor="text1"/>
          <w:szCs w:val="16"/>
        </w:rPr>
        <w:br/>
        <w:t>One (1) LEA included in cyclical monitoring during SY 2022-23 did not meet the one-year timeline for correcting secondary transition noncompliance as identified in their original cyclical monitoring report dated December 2022. This failure to meet timelines was likely impacted by turnover in staff at both the LEA and SEA levels during the first half of SY 2023-24. As a result of not meeting the one-year deadline for correction of noncompliance, the LEA was notified in a written letter dated July 2, 2024, of additional corrective actions and given a timeline to address their noncompliance related to secondary transition plans. The written notification included potential for sanctions as outlined in the state’s general supervision system. Between July and November 2024, WVDE/OSE provided the LEA with regular virtual support to engage their administrative team in a required root cause analysis and support for developing written processes and procedures related to secondary transition planning. Once the LEA documented their processes in writing, in-person training from WVDE/OSE was provided through a contracted vendor to ensure all staff were properly trained. Consistent with OSEP QA 23-01, WVDE/OSE through reviews of subsequent records/data, was ultimately able to verify 100% compliance in the implementation of regulatory requirements regarding indicator 13 for this LEA.</w:t>
      </w:r>
      <w:r w:rsidRPr="00781112">
        <w:rPr>
          <w:rFonts w:cs="Arial"/>
          <w:color w:val="000000" w:themeColor="text1"/>
          <w:szCs w:val="16"/>
        </w:rPr>
        <w:br/>
      </w:r>
      <w:r w:rsidRPr="00781112">
        <w:rPr>
          <w:rFonts w:cs="Arial"/>
          <w:color w:val="000000" w:themeColor="text1"/>
          <w:szCs w:val="16"/>
        </w:rPr>
        <w:br/>
        <w:t>Consistent with OSEP QA 23-01, each of the twenty-one (21) LEAs identified in FFY 2022 as noncompliant has corrected each individual instance of noncompliance, and the subsequent updated review of data shows that each LEA is implementing secondary transition requirements with 100% compliance. WVDE/OSE verified that each LEA with noncompliance is correctly implementing the specific regulatory requirement(s) (i.e., achieved 100% compliance based on a review of updated data).</w:t>
      </w:r>
    </w:p>
    <w:p w14:paraId="580C3804" w14:textId="4C173B5C"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3CC9D0C9" w14:textId="1A1AB4E7" w:rsidR="00326C0B" w:rsidRPr="00781112" w:rsidRDefault="002B7490" w:rsidP="009A755E">
      <w:pPr>
        <w:rPr>
          <w:rFonts w:cs="Arial"/>
          <w:color w:val="000000" w:themeColor="text1"/>
          <w:szCs w:val="16"/>
        </w:rPr>
      </w:pPr>
      <w:r w:rsidRPr="00781112">
        <w:rPr>
          <w:rFonts w:cs="Arial"/>
          <w:color w:val="000000" w:themeColor="text1"/>
          <w:szCs w:val="16"/>
        </w:rPr>
        <w:lastRenderedPageBreak/>
        <w:t>Consistent with OSEP QA 23-01 WVDE/OSE determined that each of the 184 individual student files identified in FFY 2022 as noncompliant for secondary transition plans were verified as corrected and when appropriate, compensatory services were offered by the LEA. This includes the student files from the one (1) LEA who did not meet the one-year timeline for correction of individual student files. Individual cases of noncompliance were reviewed for each of the required components of transition planning, unless the student was no longer in the jurisdiction of the noncompliant LEA.  WVDE/OSE verified that each student file was corrected through a review of new data obtained from the WV statewide online IEP system (WVEIS), uploaded evidence to a secure SharePoint folder, or during an on-site visit to the LEA and that each LEA is now implementing student transition plans with 100% compliance.</w:t>
      </w:r>
    </w:p>
    <w:p w14:paraId="09CD9C74" w14:textId="77777777" w:rsidR="00A947D9" w:rsidRPr="00781112" w:rsidRDefault="00A947D9" w:rsidP="004369B2">
      <w:pPr>
        <w:rPr>
          <w:color w:val="000000" w:themeColor="text1"/>
        </w:rPr>
      </w:pPr>
    </w:p>
    <w:p w14:paraId="59FD8363" w14:textId="4523AC51"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13PPFFYNCFINDINGS"/>
      </w:tblPr>
      <w:tblGrid>
        <w:gridCol w:w="2132"/>
        <w:gridCol w:w="3153"/>
        <w:gridCol w:w="2842"/>
        <w:gridCol w:w="2663"/>
      </w:tblGrid>
      <w:tr w:rsidR="005C29F8" w:rsidRPr="00781112" w14:paraId="1C8DDFE9" w14:textId="77777777" w:rsidTr="00A947D9">
        <w:trPr>
          <w:tblHeader/>
        </w:trPr>
        <w:tc>
          <w:tcPr>
            <w:tcW w:w="988" w:type="pct"/>
            <w:shd w:val="clear" w:color="auto" w:fill="auto"/>
            <w:vAlign w:val="bottom"/>
          </w:tcPr>
          <w:p w14:paraId="6DA65F9A" w14:textId="186CEF1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22AE93B4" w14:textId="04966736"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17" w:type="pct"/>
            <w:shd w:val="clear" w:color="auto" w:fill="auto"/>
            <w:vAlign w:val="bottom"/>
          </w:tcPr>
          <w:p w14:paraId="1E65248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2936209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1DF4458C" w14:textId="77777777" w:rsidTr="00A947D9">
        <w:tc>
          <w:tcPr>
            <w:tcW w:w="988" w:type="pct"/>
            <w:shd w:val="clear" w:color="auto" w:fill="auto"/>
          </w:tcPr>
          <w:p w14:paraId="09D39BF4" w14:textId="12080EC7" w:rsidR="009A755E" w:rsidRPr="00781112" w:rsidRDefault="009A755E" w:rsidP="00A018D4">
            <w:pPr>
              <w:jc w:val="center"/>
              <w:rPr>
                <w:rFonts w:cs="Arial"/>
                <w:color w:val="000000" w:themeColor="text1"/>
                <w:szCs w:val="16"/>
              </w:rPr>
            </w:pPr>
          </w:p>
        </w:tc>
        <w:tc>
          <w:tcPr>
            <w:tcW w:w="1461" w:type="pct"/>
            <w:shd w:val="clear" w:color="auto" w:fill="auto"/>
          </w:tcPr>
          <w:p w14:paraId="16129CDC" w14:textId="4ECB3EAC" w:rsidR="009A755E" w:rsidRPr="00781112" w:rsidRDefault="009A755E">
            <w:pPr>
              <w:jc w:val="center"/>
              <w:rPr>
                <w:rFonts w:cs="Arial"/>
                <w:noProof/>
                <w:color w:val="000000" w:themeColor="text1"/>
                <w:szCs w:val="16"/>
              </w:rPr>
            </w:pPr>
          </w:p>
        </w:tc>
        <w:tc>
          <w:tcPr>
            <w:tcW w:w="1317" w:type="pct"/>
            <w:shd w:val="clear" w:color="auto" w:fill="auto"/>
          </w:tcPr>
          <w:p w14:paraId="631866C2" w14:textId="7A733589" w:rsidR="009A755E" w:rsidRPr="00781112" w:rsidRDefault="009A755E">
            <w:pPr>
              <w:jc w:val="center"/>
              <w:rPr>
                <w:rFonts w:cs="Arial"/>
                <w:noProof/>
                <w:color w:val="000000" w:themeColor="text1"/>
                <w:szCs w:val="16"/>
              </w:rPr>
            </w:pPr>
          </w:p>
        </w:tc>
        <w:tc>
          <w:tcPr>
            <w:tcW w:w="1234" w:type="pct"/>
            <w:shd w:val="clear" w:color="auto" w:fill="auto"/>
          </w:tcPr>
          <w:p w14:paraId="3A2AFB37" w14:textId="4D254CD3" w:rsidR="009A755E" w:rsidRPr="00781112" w:rsidRDefault="009A755E">
            <w:pPr>
              <w:jc w:val="center"/>
              <w:rPr>
                <w:rFonts w:cs="Arial"/>
                <w:noProof/>
                <w:color w:val="000000" w:themeColor="text1"/>
                <w:szCs w:val="16"/>
              </w:rPr>
            </w:pPr>
          </w:p>
        </w:tc>
      </w:tr>
      <w:tr w:rsidR="005C29F8" w:rsidRPr="00781112" w14:paraId="22754C03" w14:textId="77777777" w:rsidTr="00A947D9">
        <w:tc>
          <w:tcPr>
            <w:tcW w:w="988" w:type="pct"/>
            <w:shd w:val="clear" w:color="auto" w:fill="auto"/>
          </w:tcPr>
          <w:p w14:paraId="3F1CDA29" w14:textId="16C6A591" w:rsidR="009A755E" w:rsidRPr="00781112" w:rsidRDefault="009A755E" w:rsidP="00A018D4">
            <w:pPr>
              <w:jc w:val="center"/>
              <w:rPr>
                <w:rFonts w:cs="Arial"/>
                <w:color w:val="000000" w:themeColor="text1"/>
                <w:szCs w:val="16"/>
              </w:rPr>
            </w:pPr>
          </w:p>
        </w:tc>
        <w:tc>
          <w:tcPr>
            <w:tcW w:w="1461" w:type="pct"/>
            <w:shd w:val="clear" w:color="auto" w:fill="auto"/>
          </w:tcPr>
          <w:p w14:paraId="50EA299D" w14:textId="70FCF876" w:rsidR="009A755E" w:rsidRPr="00781112" w:rsidRDefault="009A755E">
            <w:pPr>
              <w:jc w:val="center"/>
              <w:rPr>
                <w:rFonts w:cs="Arial"/>
                <w:noProof/>
                <w:color w:val="000000" w:themeColor="text1"/>
                <w:szCs w:val="16"/>
              </w:rPr>
            </w:pPr>
          </w:p>
        </w:tc>
        <w:tc>
          <w:tcPr>
            <w:tcW w:w="1317" w:type="pct"/>
            <w:shd w:val="clear" w:color="auto" w:fill="auto"/>
          </w:tcPr>
          <w:p w14:paraId="424B5A41" w14:textId="57F0D24B" w:rsidR="009A755E" w:rsidRPr="00781112" w:rsidRDefault="009A755E">
            <w:pPr>
              <w:jc w:val="center"/>
              <w:rPr>
                <w:rFonts w:cs="Arial"/>
                <w:noProof/>
                <w:color w:val="000000" w:themeColor="text1"/>
                <w:szCs w:val="16"/>
              </w:rPr>
            </w:pPr>
          </w:p>
        </w:tc>
        <w:tc>
          <w:tcPr>
            <w:tcW w:w="1234" w:type="pct"/>
            <w:shd w:val="clear" w:color="auto" w:fill="auto"/>
          </w:tcPr>
          <w:p w14:paraId="5FD250DE" w14:textId="1F07D8E0" w:rsidR="009A755E" w:rsidRPr="00781112" w:rsidRDefault="009A755E">
            <w:pPr>
              <w:jc w:val="center"/>
              <w:rPr>
                <w:rFonts w:cs="Arial"/>
                <w:noProof/>
                <w:color w:val="000000" w:themeColor="text1"/>
                <w:szCs w:val="16"/>
              </w:rPr>
            </w:pPr>
          </w:p>
        </w:tc>
      </w:tr>
      <w:tr w:rsidR="005C29F8" w:rsidRPr="00781112" w14:paraId="1554C3DE" w14:textId="77777777" w:rsidTr="00A947D9">
        <w:tc>
          <w:tcPr>
            <w:tcW w:w="988" w:type="pct"/>
            <w:shd w:val="clear" w:color="auto" w:fill="auto"/>
          </w:tcPr>
          <w:p w14:paraId="08F1D022" w14:textId="2DEB05AF" w:rsidR="009A755E" w:rsidRPr="00781112" w:rsidRDefault="009A755E" w:rsidP="00A018D4">
            <w:pPr>
              <w:jc w:val="center"/>
              <w:rPr>
                <w:rFonts w:cs="Arial"/>
                <w:color w:val="000000" w:themeColor="text1"/>
                <w:szCs w:val="16"/>
              </w:rPr>
            </w:pPr>
          </w:p>
        </w:tc>
        <w:tc>
          <w:tcPr>
            <w:tcW w:w="1461" w:type="pct"/>
            <w:shd w:val="clear" w:color="auto" w:fill="auto"/>
          </w:tcPr>
          <w:p w14:paraId="3FCA4EF1" w14:textId="25DC21F7" w:rsidR="009A755E" w:rsidRPr="00781112" w:rsidRDefault="009A755E">
            <w:pPr>
              <w:jc w:val="center"/>
              <w:rPr>
                <w:rFonts w:cs="Arial"/>
                <w:noProof/>
                <w:color w:val="000000" w:themeColor="text1"/>
                <w:szCs w:val="16"/>
              </w:rPr>
            </w:pPr>
          </w:p>
        </w:tc>
        <w:tc>
          <w:tcPr>
            <w:tcW w:w="1317" w:type="pct"/>
            <w:shd w:val="clear" w:color="auto" w:fill="auto"/>
          </w:tcPr>
          <w:p w14:paraId="4F433BEE" w14:textId="401E2469" w:rsidR="009A755E" w:rsidRPr="00781112" w:rsidRDefault="009A755E">
            <w:pPr>
              <w:jc w:val="center"/>
              <w:rPr>
                <w:rFonts w:cs="Arial"/>
                <w:noProof/>
                <w:color w:val="000000" w:themeColor="text1"/>
                <w:szCs w:val="16"/>
              </w:rPr>
            </w:pPr>
          </w:p>
        </w:tc>
        <w:tc>
          <w:tcPr>
            <w:tcW w:w="1234" w:type="pct"/>
            <w:shd w:val="clear" w:color="auto" w:fill="auto"/>
          </w:tcPr>
          <w:p w14:paraId="615F0522" w14:textId="27A5AF36" w:rsidR="009A755E" w:rsidRPr="00781112" w:rsidRDefault="009A755E">
            <w:pPr>
              <w:jc w:val="center"/>
              <w:rPr>
                <w:rFonts w:cs="Arial"/>
                <w:noProof/>
                <w:color w:val="000000" w:themeColor="text1"/>
                <w:szCs w:val="16"/>
              </w:rPr>
            </w:pPr>
          </w:p>
        </w:tc>
      </w:tr>
      <w:tr w:rsidR="00427654" w:rsidRPr="00781112" w14:paraId="2815F59D" w14:textId="77777777" w:rsidTr="00A947D9">
        <w:tc>
          <w:tcPr>
            <w:tcW w:w="988" w:type="pct"/>
            <w:shd w:val="clear" w:color="auto" w:fill="auto"/>
          </w:tcPr>
          <w:p w14:paraId="57C99F36" w14:textId="381DB30A" w:rsidR="00427654" w:rsidRPr="00781112" w:rsidRDefault="00427654" w:rsidP="00427654">
            <w:pPr>
              <w:jc w:val="center"/>
              <w:rPr>
                <w:rFonts w:cs="Arial"/>
                <w:color w:val="000000" w:themeColor="text1"/>
                <w:szCs w:val="16"/>
              </w:rPr>
            </w:pPr>
          </w:p>
        </w:tc>
        <w:tc>
          <w:tcPr>
            <w:tcW w:w="1461" w:type="pct"/>
            <w:shd w:val="clear" w:color="auto" w:fill="auto"/>
          </w:tcPr>
          <w:p w14:paraId="6CEDBEB8" w14:textId="18FB85C6" w:rsidR="00427654" w:rsidRPr="00781112" w:rsidRDefault="00427654" w:rsidP="00427654">
            <w:pPr>
              <w:jc w:val="center"/>
              <w:rPr>
                <w:rFonts w:cs="Arial"/>
                <w:color w:val="000000" w:themeColor="text1"/>
                <w:szCs w:val="16"/>
              </w:rPr>
            </w:pPr>
          </w:p>
        </w:tc>
        <w:tc>
          <w:tcPr>
            <w:tcW w:w="1317" w:type="pct"/>
            <w:shd w:val="clear" w:color="auto" w:fill="auto"/>
          </w:tcPr>
          <w:p w14:paraId="77BA8C74" w14:textId="6DF7328B" w:rsidR="00427654" w:rsidRPr="00781112" w:rsidRDefault="00427654" w:rsidP="00427654">
            <w:pPr>
              <w:jc w:val="center"/>
              <w:rPr>
                <w:rFonts w:cs="Arial"/>
                <w:color w:val="000000" w:themeColor="text1"/>
                <w:szCs w:val="16"/>
              </w:rPr>
            </w:pPr>
          </w:p>
        </w:tc>
        <w:tc>
          <w:tcPr>
            <w:tcW w:w="1234" w:type="pct"/>
            <w:shd w:val="clear" w:color="auto" w:fill="auto"/>
          </w:tcPr>
          <w:p w14:paraId="4AAB48D5" w14:textId="1920D04D" w:rsidR="00427654" w:rsidRPr="00781112" w:rsidRDefault="00427654" w:rsidP="00427654">
            <w:pPr>
              <w:jc w:val="center"/>
              <w:rPr>
                <w:rFonts w:cs="Arial"/>
                <w:color w:val="000000" w:themeColor="text1"/>
                <w:szCs w:val="16"/>
              </w:rPr>
            </w:pPr>
          </w:p>
        </w:tc>
      </w:tr>
      <w:tr w:rsidR="00427654" w:rsidRPr="00781112" w14:paraId="3A826F76" w14:textId="77777777" w:rsidTr="00A947D9">
        <w:tc>
          <w:tcPr>
            <w:tcW w:w="988" w:type="pct"/>
            <w:shd w:val="clear" w:color="auto" w:fill="auto"/>
          </w:tcPr>
          <w:p w14:paraId="07376903" w14:textId="6D4FE71F" w:rsidR="00427654" w:rsidRPr="00781112" w:rsidRDefault="00427654" w:rsidP="00427654">
            <w:pPr>
              <w:jc w:val="center"/>
              <w:rPr>
                <w:rFonts w:cs="Arial"/>
                <w:color w:val="000000" w:themeColor="text1"/>
                <w:szCs w:val="16"/>
              </w:rPr>
            </w:pPr>
          </w:p>
        </w:tc>
        <w:tc>
          <w:tcPr>
            <w:tcW w:w="1461" w:type="pct"/>
            <w:shd w:val="clear" w:color="auto" w:fill="auto"/>
          </w:tcPr>
          <w:p w14:paraId="73C45E25" w14:textId="62ECBB51" w:rsidR="00427654" w:rsidRPr="00781112" w:rsidRDefault="00427654" w:rsidP="00427654">
            <w:pPr>
              <w:jc w:val="center"/>
              <w:rPr>
                <w:rFonts w:cs="Arial"/>
                <w:color w:val="000000" w:themeColor="text1"/>
                <w:szCs w:val="16"/>
              </w:rPr>
            </w:pPr>
          </w:p>
        </w:tc>
        <w:tc>
          <w:tcPr>
            <w:tcW w:w="1317" w:type="pct"/>
            <w:shd w:val="clear" w:color="auto" w:fill="auto"/>
          </w:tcPr>
          <w:p w14:paraId="4F5CAB46" w14:textId="2A047DAD" w:rsidR="00427654" w:rsidRPr="00781112" w:rsidRDefault="00427654" w:rsidP="00427654">
            <w:pPr>
              <w:jc w:val="center"/>
              <w:rPr>
                <w:rFonts w:cs="Arial"/>
                <w:color w:val="000000" w:themeColor="text1"/>
                <w:szCs w:val="16"/>
              </w:rPr>
            </w:pPr>
          </w:p>
        </w:tc>
        <w:tc>
          <w:tcPr>
            <w:tcW w:w="1234" w:type="pct"/>
            <w:shd w:val="clear" w:color="auto" w:fill="auto"/>
          </w:tcPr>
          <w:p w14:paraId="312383C2" w14:textId="57A8F1A1" w:rsidR="00427654" w:rsidRPr="00781112" w:rsidRDefault="00427654" w:rsidP="00427654">
            <w:pPr>
              <w:jc w:val="center"/>
              <w:rPr>
                <w:rFonts w:cs="Arial"/>
                <w:color w:val="000000" w:themeColor="text1"/>
                <w:szCs w:val="16"/>
              </w:rPr>
            </w:pPr>
          </w:p>
        </w:tc>
      </w:tr>
    </w:tbl>
    <w:p w14:paraId="0764B6D1" w14:textId="7BF666C6" w:rsidR="004E2151" w:rsidRPr="00781112" w:rsidRDefault="00056350" w:rsidP="00123D76">
      <w:pPr>
        <w:pStyle w:val="Heading2"/>
      </w:pPr>
      <w:r w:rsidRPr="00781112">
        <w:t>13</w:t>
      </w:r>
      <w:r w:rsidR="001D508D" w:rsidRPr="00781112">
        <w:t xml:space="preserve"> </w:t>
      </w:r>
      <w:r w:rsidRPr="00781112">
        <w:t xml:space="preserve">- </w:t>
      </w:r>
      <w:r w:rsidR="004E2151" w:rsidRPr="00781112">
        <w:t>Prior FFY Required Actions</w:t>
      </w:r>
    </w:p>
    <w:p w14:paraId="3DC62C2B" w14:textId="341FD615" w:rsidR="004E2151" w:rsidRPr="00781112" w:rsidRDefault="002B7490" w:rsidP="004E2151">
      <w:pPr>
        <w:rPr>
          <w:rFonts w:cs="Arial"/>
          <w:color w:val="000000" w:themeColor="text1"/>
          <w:szCs w:val="16"/>
        </w:rPr>
      </w:pPr>
      <w:r w:rsidRPr="00781112">
        <w:rPr>
          <w:rFonts w:cs="Arial"/>
          <w:color w:val="000000" w:themeColor="text1"/>
          <w:szCs w:val="16"/>
        </w:rPr>
        <w:t xml:space="preserve">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LEA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2023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2022, although its FFY 2022 data reflect less than 100% compliance, provide an explanation of why the State did not identify any findings of noncompliance in FFY 2022.</w:t>
      </w:r>
    </w:p>
    <w:p w14:paraId="6FDC964C" w14:textId="7C7EE16F" w:rsidR="009F69E7" w:rsidRPr="00781112" w:rsidRDefault="009F69E7" w:rsidP="004E2151">
      <w:pPr>
        <w:rPr>
          <w:rFonts w:cs="Arial"/>
          <w:color w:val="000000" w:themeColor="text1"/>
          <w:szCs w:val="16"/>
        </w:rPr>
      </w:pPr>
    </w:p>
    <w:p w14:paraId="769948F5" w14:textId="1902368C" w:rsidR="004E2151" w:rsidRPr="00781112" w:rsidRDefault="007639D7" w:rsidP="004369B2">
      <w:pPr>
        <w:rPr>
          <w:b/>
          <w:color w:val="000000" w:themeColor="text1"/>
        </w:rPr>
      </w:pPr>
      <w:r>
        <w:rPr>
          <w:b/>
          <w:color w:val="000000" w:themeColor="text1"/>
        </w:rPr>
        <w:t>Response to actions required in FFY 2022 SPP/APR</w:t>
      </w:r>
    </w:p>
    <w:p w14:paraId="18FDD3C1" w14:textId="77777777" w:rsidR="009F69E7" w:rsidRPr="00781112" w:rsidRDefault="002B7490" w:rsidP="004E2151">
      <w:pPr>
        <w:rPr>
          <w:rFonts w:cs="Arial"/>
          <w:color w:val="000000" w:themeColor="text1"/>
          <w:szCs w:val="16"/>
        </w:rPr>
      </w:pPr>
      <w:r w:rsidRPr="00781112">
        <w:rPr>
          <w:rFonts w:cs="Arial"/>
          <w:color w:val="000000" w:themeColor="text1"/>
          <w:szCs w:val="16"/>
        </w:rPr>
        <w:t xml:space="preserve">Based on a review of updated data WVDE/OSE has verified that each LEA with noncompliance identified in FFY 2022 for this indicator is correctly implementing the specific regulatory requirements (i.e., achieved 100% compliance) and consistent with OSEP QA 23-01 has corrected each individual case of noncompliance, unless the child is no longer within the jurisdiction of the LEA.  The specific actions are described in the sections above. </w:t>
      </w:r>
    </w:p>
    <w:p w14:paraId="310A49DA" w14:textId="36D1B81C" w:rsidR="007F5071" w:rsidRPr="00781112" w:rsidRDefault="00056350" w:rsidP="00123D76">
      <w:pPr>
        <w:pStyle w:val="Heading2"/>
      </w:pPr>
      <w:r w:rsidRPr="00781112">
        <w:t>13 - OSEP Response</w:t>
      </w:r>
    </w:p>
    <w:p w14:paraId="55757593" w14:textId="79413C8B" w:rsidR="00293C7E" w:rsidRPr="00781112" w:rsidRDefault="00293C7E" w:rsidP="00212954">
      <w:pPr>
        <w:rPr>
          <w:rFonts w:cs="Arial"/>
          <w:color w:val="000000" w:themeColor="text1"/>
          <w:szCs w:val="16"/>
        </w:rPr>
      </w:pPr>
    </w:p>
    <w:p w14:paraId="139D82E4" w14:textId="2690DF84" w:rsidR="007F5071" w:rsidRPr="00781112" w:rsidRDefault="00056350" w:rsidP="00123D76">
      <w:pPr>
        <w:pStyle w:val="Heading2"/>
      </w:pPr>
      <w:r w:rsidRPr="00781112">
        <w:t>13 - Required Actions</w:t>
      </w:r>
    </w:p>
    <w:p w14:paraId="3AC05AE9" w14:textId="66211D68" w:rsidR="00293C7E"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LEA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2D88F5D3"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BE48297" w14:textId="049A8FC3" w:rsidR="00B3462E" w:rsidRPr="00781112" w:rsidRDefault="00B3462E" w:rsidP="000444E2">
      <w:pPr>
        <w:pStyle w:val="Heading1"/>
        <w:rPr>
          <w:color w:val="000000" w:themeColor="text1"/>
          <w:sz w:val="22"/>
        </w:rPr>
      </w:pPr>
      <w:r w:rsidRPr="00781112">
        <w:rPr>
          <w:color w:val="000000" w:themeColor="text1"/>
          <w:sz w:val="22"/>
        </w:rPr>
        <w:lastRenderedPageBreak/>
        <w:t>Indicator 14: Post-School Outcomes</w:t>
      </w:r>
      <w:bookmarkEnd w:id="82"/>
    </w:p>
    <w:p w14:paraId="22761492" w14:textId="27E64366" w:rsidR="005C50DB" w:rsidRPr="002C274F" w:rsidRDefault="005C50DB" w:rsidP="002C274F">
      <w:pPr>
        <w:rPr>
          <w:b/>
          <w:bCs/>
          <w:sz w:val="20"/>
          <w:szCs w:val="20"/>
        </w:rPr>
      </w:pPr>
      <w:bookmarkStart w:id="83" w:name="_Toc392159336"/>
      <w:r w:rsidRPr="002C274F">
        <w:rPr>
          <w:b/>
          <w:bCs/>
          <w:sz w:val="20"/>
          <w:szCs w:val="20"/>
        </w:rPr>
        <w:t>Instructions and Measurement</w:t>
      </w:r>
    </w:p>
    <w:p w14:paraId="3872DE81" w14:textId="173DF04F" w:rsidR="001F3A65" w:rsidRPr="00781112" w:rsidRDefault="001F3A65" w:rsidP="005F442C">
      <w:pPr>
        <w:rPr>
          <w:rFonts w:cs="Arial"/>
          <w:szCs w:val="16"/>
        </w:rPr>
      </w:pPr>
      <w:r w:rsidRPr="00781112">
        <w:rPr>
          <w:rFonts w:cs="Arial"/>
          <w:b/>
          <w:szCs w:val="16"/>
        </w:rPr>
        <w:t>Monitoring Priority</w:t>
      </w:r>
      <w:r w:rsidRPr="00781112">
        <w:rPr>
          <w:rFonts w:cs="Arial"/>
          <w:szCs w:val="16"/>
        </w:rPr>
        <w:t>: Effective General Supervision Part B / Effective Transition</w:t>
      </w:r>
    </w:p>
    <w:p w14:paraId="29CEDA40" w14:textId="10BE3AE6" w:rsidR="001F3A65" w:rsidRPr="00781112" w:rsidRDefault="001F3A65" w:rsidP="005F442C">
      <w:pPr>
        <w:rPr>
          <w:rFonts w:cs="Arial"/>
          <w:szCs w:val="16"/>
        </w:rPr>
      </w:pPr>
      <w:r w:rsidRPr="00781112">
        <w:rPr>
          <w:rFonts w:cs="Arial"/>
          <w:b/>
          <w:szCs w:val="16"/>
        </w:rPr>
        <w:t>Results indicator:</w:t>
      </w:r>
      <w:r w:rsidR="00131842" w:rsidRPr="00781112">
        <w:rPr>
          <w:rFonts w:cs="Arial"/>
          <w:szCs w:val="16"/>
        </w:rPr>
        <w:t xml:space="preserve"> </w:t>
      </w:r>
      <w:r w:rsidRPr="00781112">
        <w:rPr>
          <w:rFonts w:cs="Arial"/>
          <w:szCs w:val="16"/>
        </w:rPr>
        <w:t>Percent of youth who are no longer in secondary school, had IEPs in effect at the time they left school, and were:</w:t>
      </w:r>
    </w:p>
    <w:p w14:paraId="7F97857D" w14:textId="783928AC" w:rsidR="001F3A65" w:rsidRPr="00781112" w:rsidRDefault="00F52ED5" w:rsidP="005F442C">
      <w:pPr>
        <w:rPr>
          <w:rFonts w:cs="Arial"/>
          <w:szCs w:val="16"/>
        </w:rPr>
      </w:pPr>
      <w:r w:rsidRPr="00781112">
        <w:rPr>
          <w:rFonts w:cs="Arial"/>
          <w:szCs w:val="16"/>
        </w:rPr>
        <w:tab/>
      </w:r>
      <w:r w:rsidRPr="00781112">
        <w:rPr>
          <w:rFonts w:cs="Arial"/>
          <w:szCs w:val="16"/>
        </w:rPr>
        <w:tab/>
        <w:t>A. Enrolled in higher education within one year of leaving high school.</w:t>
      </w:r>
    </w:p>
    <w:p w14:paraId="72E90E1C" w14:textId="0FC21DC4" w:rsidR="001F3A65" w:rsidRPr="00781112" w:rsidRDefault="00F52ED5" w:rsidP="005F442C">
      <w:pPr>
        <w:rPr>
          <w:rFonts w:cs="Arial"/>
          <w:szCs w:val="16"/>
        </w:rPr>
      </w:pPr>
      <w:r w:rsidRPr="00781112">
        <w:rPr>
          <w:rFonts w:cs="Arial"/>
          <w:szCs w:val="16"/>
        </w:rPr>
        <w:tab/>
      </w:r>
      <w:r w:rsidRPr="00781112">
        <w:rPr>
          <w:rFonts w:cs="Arial"/>
          <w:szCs w:val="16"/>
        </w:rPr>
        <w:tab/>
        <w:t>B. Enrolled in higher education or competitively employed within one year of leaving high school.</w:t>
      </w:r>
    </w:p>
    <w:p w14:paraId="71CF3231" w14:textId="0CA0669B" w:rsidR="001F3A65" w:rsidRPr="00781112" w:rsidRDefault="00F52ED5" w:rsidP="00856B0E">
      <w:pPr>
        <w:tabs>
          <w:tab w:val="left" w:pos="1440"/>
        </w:tabs>
        <w:ind w:left="1440"/>
        <w:rPr>
          <w:rFonts w:cs="Arial"/>
          <w:szCs w:val="16"/>
        </w:rPr>
      </w:pPr>
      <w:r w:rsidRPr="00781112">
        <w:rPr>
          <w:rFonts w:cs="Arial"/>
          <w:szCs w:val="16"/>
        </w:rPr>
        <w:t>C. Enrolled in higher education or in some other postsecondary education or training program; or competitively employed or in some other employment within one year of leaving high school.</w:t>
      </w:r>
    </w:p>
    <w:p w14:paraId="34C582E7" w14:textId="77777777" w:rsidR="001F3A65" w:rsidRPr="00781112" w:rsidRDefault="001F3A65" w:rsidP="005F442C">
      <w:pPr>
        <w:rPr>
          <w:rFonts w:cs="Arial"/>
          <w:szCs w:val="16"/>
        </w:rPr>
      </w:pPr>
      <w:r w:rsidRPr="00781112">
        <w:rPr>
          <w:rFonts w:cs="Arial"/>
          <w:szCs w:val="16"/>
        </w:rPr>
        <w:t>(20 U.S.C. 1416(a)(3)(B))</w:t>
      </w:r>
    </w:p>
    <w:p w14:paraId="48D4CA91" w14:textId="77777777" w:rsidR="00B67038" w:rsidRPr="00781112" w:rsidRDefault="00B67038" w:rsidP="004369B2">
      <w:r w:rsidRPr="00781112">
        <w:rPr>
          <w:b/>
        </w:rPr>
        <w:t>Data Source</w:t>
      </w:r>
    </w:p>
    <w:p w14:paraId="266BF2FF" w14:textId="7EC5F0A3" w:rsidR="00B67038" w:rsidRPr="00781112" w:rsidRDefault="00B67038" w:rsidP="005F442C">
      <w:pPr>
        <w:rPr>
          <w:rFonts w:cs="Arial"/>
          <w:szCs w:val="16"/>
        </w:rPr>
      </w:pPr>
      <w:r w:rsidRPr="00781112">
        <w:rPr>
          <w:rFonts w:cs="Arial"/>
          <w:szCs w:val="16"/>
        </w:rPr>
        <w:t>State selected data source.</w:t>
      </w:r>
    </w:p>
    <w:p w14:paraId="1655DDB5" w14:textId="4F072B5B" w:rsidR="00B67038" w:rsidRPr="00781112" w:rsidRDefault="00B67038" w:rsidP="004369B2">
      <w:r w:rsidRPr="00781112">
        <w:rPr>
          <w:b/>
        </w:rPr>
        <w:t>Measurement</w:t>
      </w:r>
    </w:p>
    <w:p w14:paraId="0B074DD3" w14:textId="77777777" w:rsidR="00B67038" w:rsidRPr="00781112" w:rsidRDefault="009B2B72" w:rsidP="006A01BD">
      <w:pPr>
        <w:pStyle w:val="Numbering"/>
        <w:ind w:left="360"/>
        <w:rPr>
          <w:color w:val="auto"/>
        </w:rPr>
      </w:pPr>
      <w:r w:rsidRPr="00781112">
        <w:rPr>
          <w:color w:val="auto"/>
        </w:rPr>
        <w:t>A. Percent enrolled in higher education = [(# of youth who are no longer in secondary school, had IEPs in effect at the time they left school and were enrolled in higher education within one year of leaving high school) divided by the (# of respondent youth who are no longer in secondary school and had IEPs in effect at the time they left school)] times 100.</w:t>
      </w:r>
    </w:p>
    <w:p w14:paraId="32414D87" w14:textId="01962ED5" w:rsidR="00B67038" w:rsidRPr="00781112" w:rsidRDefault="009B2B72" w:rsidP="006A01BD">
      <w:pPr>
        <w:pStyle w:val="Numbering"/>
        <w:ind w:left="360"/>
        <w:rPr>
          <w:color w:val="auto"/>
        </w:rPr>
      </w:pPr>
      <w:r w:rsidRPr="00781112">
        <w:rPr>
          <w:color w:val="auto"/>
        </w:rPr>
        <w:t>B. Percent enrolled in higher education or competitively employed within one year of leaving high school = [(# of youth who are no longer in secondary school, had IEPs in effect at the time they left school and were enrolled in higher education or competitively employed within one year of leaving high school) divided by the (# of respondent youth who are no longer in secondary school and had IEPs in effect at the time they left school)] times 100.</w:t>
      </w:r>
    </w:p>
    <w:p w14:paraId="0E47FE86" w14:textId="3EAC7580" w:rsidR="00B67038" w:rsidRPr="00781112" w:rsidRDefault="009B2B72" w:rsidP="006A01BD">
      <w:pPr>
        <w:pStyle w:val="Numbering"/>
        <w:ind w:left="360"/>
        <w:rPr>
          <w:color w:val="auto"/>
        </w:rPr>
      </w:pPr>
      <w:r w:rsidRPr="00781112">
        <w:rPr>
          <w:color w:val="auto"/>
        </w:rPr>
        <w:t>C. Percent enrolled in higher education, or in some other postsecondary education or training program; or competitively employed or in some other employment = [(# of youth who are no longer in secondary school, had IEPs in effect at the time they left school and were enrolled in higher education, or in some other postsecondary education or training program; or competitively employed or in some other employment) divided by the (# of respondent youth who are no longer in secondary school and had IEPs in effect at the time they left school)] times 100.</w:t>
      </w:r>
    </w:p>
    <w:p w14:paraId="20442BDD" w14:textId="77777777" w:rsidR="00B67038" w:rsidRPr="00781112" w:rsidRDefault="00B67038" w:rsidP="004369B2">
      <w:r w:rsidRPr="00781112">
        <w:rPr>
          <w:b/>
        </w:rPr>
        <w:t>Instructions</w:t>
      </w:r>
    </w:p>
    <w:p w14:paraId="4987E862" w14:textId="6885D117" w:rsidR="00B67038" w:rsidRPr="00781112" w:rsidRDefault="00B67038" w:rsidP="003A4027">
      <w:pPr>
        <w:spacing w:before="0" w:after="210"/>
        <w:rPr>
          <w:rFonts w:eastAsia="Times New Roman" w:cs="Arial"/>
          <w:i/>
          <w:iCs/>
          <w:szCs w:val="16"/>
        </w:rPr>
      </w:pPr>
      <w:r w:rsidRPr="00781112">
        <w:rPr>
          <w:rFonts w:eastAsia="Times New Roman" w:cs="Arial"/>
          <w:i/>
          <w:iCs/>
          <w:szCs w:val="16"/>
        </w:rPr>
        <w:t>Sampling </w:t>
      </w:r>
      <w:r w:rsidRPr="00781112">
        <w:rPr>
          <w:rFonts w:eastAsia="Times New Roman" w:cs="Arial"/>
          <w:b/>
          <w:bCs/>
          <w:i/>
          <w:iCs/>
          <w:szCs w:val="16"/>
        </w:rPr>
        <w:t>of youth who had IEPs and are no longer in secondary school</w:t>
      </w:r>
      <w:r w:rsidRPr="00781112">
        <w:rPr>
          <w:rFonts w:eastAsia="Times New Roman" w:cs="Arial"/>
          <w:i/>
          <w:iCs/>
          <w:szCs w:val="16"/>
        </w:rPr>
        <w:t> is allowed. When sampling is used, submit a description of the sampling methodology outlining how the design will yield valid and reliable estimates of the target population. (See </w:t>
      </w:r>
      <w:r w:rsidRPr="00781112">
        <w:rPr>
          <w:rFonts w:eastAsia="Times New Roman" w:cs="Arial"/>
          <w:i/>
          <w:iCs/>
          <w:szCs w:val="16"/>
          <w:u w:val="single"/>
        </w:rPr>
        <w:t>General Instructions</w:t>
      </w:r>
      <w:r w:rsidRPr="00781112">
        <w:rPr>
          <w:rFonts w:eastAsia="Times New Roman" w:cs="Arial"/>
          <w:i/>
          <w:iCs/>
          <w:szCs w:val="16"/>
        </w:rPr>
        <w:t xml:space="preserve"> on page </w:t>
      </w:r>
      <w:r w:rsidR="0042509A">
        <w:rPr>
          <w:rFonts w:eastAsia="Times New Roman" w:cs="Arial"/>
          <w:i/>
          <w:iCs/>
          <w:szCs w:val="16"/>
        </w:rPr>
        <w:t>3</w:t>
      </w:r>
      <w:r w:rsidRPr="00781112">
        <w:rPr>
          <w:rFonts w:eastAsia="Times New Roman" w:cs="Arial"/>
          <w:i/>
          <w:iCs/>
          <w:szCs w:val="16"/>
        </w:rPr>
        <w:t xml:space="preserve"> for additional instructions on sampling.)</w:t>
      </w:r>
    </w:p>
    <w:p w14:paraId="7DEAD51C" w14:textId="4E986C4E" w:rsidR="00B67038" w:rsidRPr="00781112" w:rsidRDefault="003A4027" w:rsidP="003A4027">
      <w:pPr>
        <w:spacing w:before="0" w:after="210"/>
        <w:rPr>
          <w:rFonts w:eastAsia="Times New Roman" w:cs="Arial"/>
          <w:szCs w:val="16"/>
        </w:rPr>
      </w:pPr>
      <w:r w:rsidRPr="00781112">
        <w:rPr>
          <w:rFonts w:eastAsia="Times New Roman" w:cs="Arial"/>
          <w:szCs w:val="16"/>
        </w:rPr>
        <w:t>Collect data by September 2024 on students who left school during 2022-2023, timing the data collection so that at least one year has passed since the students left school. Include students who dropped out during 2022-2023 or who were expected to return but did not return for the current school year. This includes all youth who had an IEP in effect at the time they left school, including those who graduated with a regular diploma or some other credential, dropped out, or aged out.</w:t>
      </w:r>
    </w:p>
    <w:p w14:paraId="34FE8763"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 </w:t>
      </w:r>
      <w:r w:rsidRPr="00781112">
        <w:rPr>
          <w:rFonts w:eastAsia="Times New Roman" w:cs="Arial"/>
          <w:b/>
          <w:bCs/>
          <w:i/>
          <w:iCs/>
          <w:szCs w:val="16"/>
        </w:rPr>
        <w:t>Definitions</w:t>
      </w:r>
    </w:p>
    <w:p w14:paraId="239CB051" w14:textId="357D0921"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higher education</w:t>
      </w:r>
      <w:r w:rsidRPr="00781112">
        <w:rPr>
          <w:rFonts w:eastAsia="Times New Roman" w:cs="Arial"/>
          <w:szCs w:val="16"/>
        </w:rPr>
        <w:t> as used in measures A, B, and C means youth have been enrolled on a full- or part-time basis in a community college (</w:t>
      </w:r>
      <w:r w:rsidR="00DB1150" w:rsidRPr="00781112">
        <w:rPr>
          <w:rFonts w:eastAsia="Times New Roman" w:cs="Arial"/>
          <w:szCs w:val="16"/>
        </w:rPr>
        <w:t>two-year</w:t>
      </w:r>
      <w:r w:rsidRPr="00781112">
        <w:rPr>
          <w:rFonts w:eastAsia="Times New Roman" w:cs="Arial"/>
          <w:szCs w:val="16"/>
        </w:rPr>
        <w:t xml:space="preserve"> program) or college/university (four or more year program) for at least one complete term, at any time in the year since leaving high school.</w:t>
      </w:r>
    </w:p>
    <w:p w14:paraId="4D24D49D" w14:textId="70217398" w:rsidR="00B67038" w:rsidRPr="00781112" w:rsidRDefault="003A4027" w:rsidP="003A4027">
      <w:pPr>
        <w:spacing w:before="0" w:after="210"/>
        <w:rPr>
          <w:rFonts w:eastAsia="Times New Roman" w:cs="Arial"/>
          <w:szCs w:val="16"/>
        </w:rPr>
      </w:pPr>
      <w:r w:rsidRPr="00781112">
        <w:rPr>
          <w:rFonts w:eastAsia="Times New Roman" w:cs="Arial"/>
          <w:i/>
          <w:iCs/>
          <w:szCs w:val="16"/>
        </w:rPr>
        <w:t xml:space="preserve">Competitive employment </w:t>
      </w:r>
      <w:r w:rsidRPr="00781112">
        <w:rPr>
          <w:rFonts w:eastAsia="Times New Roman" w:cs="Arial"/>
          <w:iCs/>
          <w:szCs w:val="16"/>
        </w:rPr>
        <w:t>as used in measures B and C: States have two options to report data under “competitive employment”:</w:t>
      </w:r>
    </w:p>
    <w:p w14:paraId="18FD65ED" w14:textId="77777777" w:rsidR="00B67038" w:rsidRPr="00781112" w:rsidRDefault="00B67038" w:rsidP="002D597B">
      <w:pPr>
        <w:spacing w:before="0" w:after="210"/>
        <w:rPr>
          <w:rFonts w:eastAsia="Times New Roman" w:cs="Arial"/>
          <w:szCs w:val="16"/>
        </w:rPr>
      </w:pPr>
      <w:r w:rsidRPr="00781112">
        <w:rPr>
          <w:rFonts w:eastAsia="Times New Roman" w:cs="Arial"/>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4C3BF53C" w14:textId="4E5C90D1" w:rsidR="00B67038" w:rsidRPr="00781112" w:rsidRDefault="00B67038" w:rsidP="002D597B">
      <w:pPr>
        <w:spacing w:before="0"/>
        <w:rPr>
          <w:rFonts w:eastAsia="Times New Roman" w:cs="Arial"/>
          <w:szCs w:val="16"/>
        </w:rPr>
      </w:pPr>
      <w:r w:rsidRPr="00781112">
        <w:rPr>
          <w:rFonts w:eastAsia="Times New Roman" w:cs="Arial"/>
          <w:szCs w:val="16"/>
        </w:rPr>
        <w:t>Option 2: States report in alignment with the term “competitive integrated employment” and its definition, in section 7(5) of the Rehabilitation Act of 1973, as amended by Workforce Innovation and Opportunity Act (WIOA). For the purpose of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333BEB38" w14:textId="039F8C06" w:rsidR="00B67038" w:rsidRPr="00781112" w:rsidRDefault="00B67038" w:rsidP="003A4027">
      <w:pPr>
        <w:spacing w:before="0" w:after="0"/>
        <w:rPr>
          <w:rFonts w:eastAsia="Times New Roman" w:cs="Arial"/>
          <w:b/>
          <w:bCs/>
          <w:szCs w:val="16"/>
        </w:rPr>
      </w:pPr>
    </w:p>
    <w:p w14:paraId="1CBB96D1" w14:textId="18D4158D"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other postsecondary education or training</w:t>
      </w:r>
      <w:r w:rsidRPr="00781112">
        <w:rPr>
          <w:rFonts w:eastAsia="Times New Roman" w:cs="Arial"/>
          <w:szCs w:val="16"/>
        </w:rPr>
        <w:t xml:space="preserve"> as used in measure C, means youth have been enrolled on a full- or part-time basis for at least 1 complete term at any time in the year since leaving high school in an education or training program (e.g., Job Corps, adult education, workforce development program, vocational technical school which is less than a </w:t>
      </w:r>
      <w:r w:rsidR="00DB1150" w:rsidRPr="00781112">
        <w:rPr>
          <w:rFonts w:eastAsia="Times New Roman" w:cs="Arial"/>
          <w:szCs w:val="16"/>
        </w:rPr>
        <w:t>two-year</w:t>
      </w:r>
      <w:r w:rsidRPr="00781112">
        <w:rPr>
          <w:rFonts w:eastAsia="Times New Roman" w:cs="Arial"/>
          <w:szCs w:val="16"/>
        </w:rPr>
        <w:t xml:space="preserve"> program).</w:t>
      </w:r>
    </w:p>
    <w:p w14:paraId="639590BD" w14:textId="70B345B4" w:rsidR="00B67038" w:rsidRPr="00781112" w:rsidRDefault="00B67038" w:rsidP="003A4027">
      <w:pPr>
        <w:spacing w:before="0"/>
        <w:rPr>
          <w:rFonts w:eastAsia="Times New Roman" w:cs="Arial"/>
          <w:szCs w:val="16"/>
        </w:rPr>
      </w:pPr>
      <w:r w:rsidRPr="00781112">
        <w:rPr>
          <w:rFonts w:eastAsia="Times New Roman" w:cs="Arial"/>
          <w:i/>
          <w:iCs/>
          <w:szCs w:val="16"/>
        </w:rPr>
        <w:t>Some other employment</w:t>
      </w:r>
      <w:r w:rsidRPr="00781112">
        <w:rPr>
          <w:rFonts w:eastAsia="Times New Roman" w:cs="Arial"/>
          <w:szCs w:val="16"/>
        </w:rPr>
        <w:t> as used in measure C means youth have worked for pay or been self-employed for a period of at least 90 days at any time in the year since leaving high school. This includes working in a family business (e.g., farm, store, fishing, ranching, catering services).</w:t>
      </w:r>
    </w:p>
    <w:p w14:paraId="6F699AAF" w14:textId="77777777" w:rsidR="00A45E9F" w:rsidRPr="00781112" w:rsidRDefault="00A45E9F" w:rsidP="003A4027">
      <w:pPr>
        <w:spacing w:before="0"/>
        <w:rPr>
          <w:rFonts w:eastAsia="Times New Roman" w:cs="Arial"/>
          <w:szCs w:val="16"/>
        </w:rPr>
      </w:pPr>
    </w:p>
    <w:p w14:paraId="7BDE8111"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II. </w:t>
      </w:r>
      <w:r w:rsidRPr="00781112">
        <w:rPr>
          <w:rFonts w:eastAsia="Times New Roman" w:cs="Arial"/>
          <w:b/>
          <w:bCs/>
          <w:i/>
          <w:iCs/>
          <w:szCs w:val="16"/>
        </w:rPr>
        <w:t>Data Reporting</w:t>
      </w:r>
    </w:p>
    <w:p w14:paraId="46BA4A98" w14:textId="77777777" w:rsidR="003B692F" w:rsidRPr="00781112" w:rsidRDefault="003B692F" w:rsidP="003B692F">
      <w:pPr>
        <w:spacing w:before="0" w:after="0"/>
        <w:rPr>
          <w:rFonts w:eastAsia="Times New Roman" w:cs="Arial"/>
          <w:szCs w:val="16"/>
        </w:rPr>
      </w:pPr>
      <w:r w:rsidRPr="00781112">
        <w:rPr>
          <w:rFonts w:eastAsia="Times New Roman" w:cs="Arial"/>
          <w:szCs w:val="16"/>
        </w:rPr>
        <w:t>States must describe the metric used to determine representativeness (e.g., +/- 3% discrepancy in the proportion of responders compared to target group).</w:t>
      </w:r>
    </w:p>
    <w:p w14:paraId="73CC7B43" w14:textId="77777777" w:rsidR="003B692F" w:rsidRPr="00781112" w:rsidRDefault="003B692F" w:rsidP="003B692F">
      <w:pPr>
        <w:spacing w:before="0" w:after="0"/>
        <w:rPr>
          <w:rFonts w:eastAsia="Times New Roman" w:cs="Arial"/>
          <w:szCs w:val="16"/>
        </w:rPr>
      </w:pPr>
      <w:r w:rsidRPr="00781112">
        <w:rPr>
          <w:rFonts w:eastAsia="Times New Roman" w:cs="Arial"/>
          <w:szCs w:val="16"/>
        </w:rPr>
        <w:t>Provide the total number of targeted youth in the sample or census.</w:t>
      </w:r>
    </w:p>
    <w:p w14:paraId="220A6449" w14:textId="50017A86" w:rsidR="00B67038" w:rsidRPr="00781112" w:rsidRDefault="00B67038" w:rsidP="003A4027">
      <w:pPr>
        <w:spacing w:before="0" w:after="210"/>
        <w:rPr>
          <w:rFonts w:eastAsia="Times New Roman" w:cs="Arial"/>
          <w:szCs w:val="16"/>
        </w:rPr>
      </w:pPr>
      <w:r w:rsidRPr="00781112">
        <w:rPr>
          <w:rFonts w:eastAsia="Times New Roman" w:cs="Arial"/>
          <w:szCs w:val="16"/>
        </w:rPr>
        <w:t>Provide the actual numbers for each of the following mutually exclusive categories. The actual number of “leavers” who are:</w:t>
      </w:r>
    </w:p>
    <w:p w14:paraId="03B608C9" w14:textId="51223E67" w:rsidR="00B67038" w:rsidRPr="00781112" w:rsidRDefault="006C58FD" w:rsidP="006A01BD">
      <w:pPr>
        <w:spacing w:before="0" w:after="0"/>
        <w:ind w:left="432"/>
        <w:rPr>
          <w:rFonts w:eastAsia="Times New Roman" w:cs="Arial"/>
          <w:szCs w:val="16"/>
        </w:rPr>
      </w:pPr>
      <w:r w:rsidRPr="00781112">
        <w:rPr>
          <w:rFonts w:eastAsia="Times New Roman" w:cs="Arial"/>
          <w:szCs w:val="16"/>
        </w:rPr>
        <w:tab/>
        <w:t>1. Enrolled in higher education within one year of leaving high school;</w:t>
      </w:r>
    </w:p>
    <w:p w14:paraId="797BA656" w14:textId="599F8145" w:rsidR="00B67038" w:rsidRPr="00781112" w:rsidRDefault="006C58FD" w:rsidP="006A01BD">
      <w:pPr>
        <w:spacing w:before="0" w:after="0"/>
        <w:ind w:left="432"/>
        <w:rPr>
          <w:rFonts w:eastAsia="Times New Roman" w:cs="Arial"/>
          <w:szCs w:val="16"/>
        </w:rPr>
      </w:pPr>
      <w:r w:rsidRPr="00781112">
        <w:rPr>
          <w:rFonts w:eastAsia="Times New Roman" w:cs="Arial"/>
          <w:szCs w:val="16"/>
        </w:rPr>
        <w:tab/>
        <w:t>2. Competitively employed within one year of leaving high school (but not enrolled in higher education);</w:t>
      </w:r>
    </w:p>
    <w:p w14:paraId="17A92E9A" w14:textId="38C95AA9" w:rsidR="00B67038" w:rsidRPr="00781112" w:rsidRDefault="006C58FD" w:rsidP="00856B0E">
      <w:pPr>
        <w:spacing w:before="0" w:after="0"/>
        <w:ind w:left="720"/>
        <w:rPr>
          <w:rFonts w:eastAsia="Times New Roman" w:cs="Arial"/>
          <w:szCs w:val="16"/>
        </w:rPr>
      </w:pPr>
      <w:r w:rsidRPr="00781112">
        <w:rPr>
          <w:rFonts w:eastAsia="Times New Roman" w:cs="Arial"/>
          <w:szCs w:val="16"/>
        </w:rPr>
        <w:t>3. Enrolled in some other postsecondary education or training program within one year of leaving high school (but not enrolled in higher education or competitively employed);</w:t>
      </w:r>
    </w:p>
    <w:p w14:paraId="506D7913" w14:textId="6D55FB4B" w:rsidR="00B67038" w:rsidRPr="00781112" w:rsidRDefault="006C58FD" w:rsidP="00856B0E">
      <w:pPr>
        <w:spacing w:before="0" w:after="0"/>
        <w:ind w:left="720"/>
        <w:rPr>
          <w:rFonts w:eastAsia="Times New Roman" w:cs="Arial"/>
          <w:szCs w:val="16"/>
        </w:rPr>
      </w:pPr>
      <w:r w:rsidRPr="00781112">
        <w:rPr>
          <w:rFonts w:eastAsia="Times New Roman" w:cs="Arial"/>
          <w:szCs w:val="16"/>
        </w:rPr>
        <w:t>4. In some other employment within one year of leaving high school (but not enrolled in higher education, some other postsecondary education or training program, or competitively employed).</w:t>
      </w:r>
    </w:p>
    <w:p w14:paraId="32C672D4" w14:textId="77777777" w:rsidR="006C58FD" w:rsidRPr="00781112" w:rsidRDefault="006C58FD" w:rsidP="00B67038">
      <w:pPr>
        <w:spacing w:before="0"/>
        <w:ind w:left="432"/>
        <w:rPr>
          <w:rFonts w:eastAsia="Times New Roman" w:cs="Arial"/>
          <w:szCs w:val="16"/>
        </w:rPr>
      </w:pPr>
    </w:p>
    <w:p w14:paraId="12CAB169" w14:textId="34F2A4F0" w:rsidR="00B67038" w:rsidRPr="00781112" w:rsidRDefault="00B67038" w:rsidP="00B67038">
      <w:pPr>
        <w:spacing w:before="0"/>
        <w:ind w:left="432"/>
        <w:rPr>
          <w:rFonts w:eastAsia="Times New Roman" w:cs="Arial"/>
          <w:color w:val="000000" w:themeColor="text1"/>
          <w:szCs w:val="16"/>
        </w:rPr>
      </w:pPr>
      <w:r w:rsidRPr="00781112">
        <w:rPr>
          <w:rFonts w:eastAsia="Times New Roman" w:cs="Arial"/>
          <w:szCs w:val="16"/>
        </w:rPr>
        <w:t xml:space="preserve">“Leavers” should only be counted in one of the above categories, and the categories are organized hierarchically. So, for example, “leavers” who are enrolled in full- or part-time higher education within one year of leaving high school should only be reported in category 1, even if they also </w:t>
      </w:r>
      <w:r w:rsidRPr="00781112">
        <w:rPr>
          <w:rFonts w:eastAsia="Times New Roman" w:cs="Arial"/>
          <w:szCs w:val="16"/>
        </w:rPr>
        <w:lastRenderedPageBreak/>
        <w:t>happen to be employed. Likewise, “leavers” who are not enrolled in either part- or full-time higher education</w:t>
      </w:r>
      <w:r w:rsidRPr="00781112">
        <w:rPr>
          <w:rFonts w:eastAsia="Times New Roman" w:cs="Arial"/>
          <w:color w:val="000000" w:themeColor="text1"/>
          <w:szCs w:val="16"/>
        </w:rPr>
        <w:t>, but who are competitively employed, should only be reported under category 2, even if they happen to be enrolled in some other postsecondary education or training program.</w:t>
      </w:r>
    </w:p>
    <w:p w14:paraId="4A3EA80C" w14:textId="7D5054B8" w:rsidR="00A45E9F" w:rsidRPr="00781112" w:rsidRDefault="00A45E9F" w:rsidP="00A45E9F">
      <w:pPr>
        <w:spacing w:before="0"/>
        <w:rPr>
          <w:rFonts w:eastAsia="Times New Roman" w:cs="Arial"/>
          <w:szCs w:val="16"/>
        </w:rPr>
      </w:pPr>
      <w:r w:rsidRPr="00781112">
        <w:rPr>
          <w:rFonts w:eastAsia="Times New Roman" w:cs="Arial"/>
          <w:szCs w:val="16"/>
        </w:rPr>
        <w:t>States must compare the response rate for the reporting year to the response rate for the previous year (e.g., in the FFY 2023 SPP/APR, compare the FFY 2023 response rate to the FFY 2022 response rate), and describe strategies that will be implemented which are expected to increase the response rate year over year, particularly for those groups that are underrepresented.</w:t>
      </w:r>
    </w:p>
    <w:p w14:paraId="5BAE56A4" w14:textId="0E46D158" w:rsidR="00A45E9F" w:rsidRPr="00781112" w:rsidRDefault="00A45E9F" w:rsidP="00A45E9F">
      <w:pPr>
        <w:spacing w:before="0"/>
        <w:rPr>
          <w:rFonts w:eastAsia="Times New Roman" w:cs="Arial"/>
          <w:szCs w:val="16"/>
        </w:rPr>
      </w:pPr>
      <w:r w:rsidRPr="00781112">
        <w:rPr>
          <w:rFonts w:eastAsia="Times New Roman" w:cs="Arial"/>
          <w:szCs w:val="16"/>
        </w:rPr>
        <w:t>The State must also analyze the response rate to identify potential nonresponse bias and take steps to reduce any identified bias and promote response from a broad cross section of youth who are no longer in secondary school and had IEPs in effect at the time they left school.</w:t>
      </w:r>
    </w:p>
    <w:p w14:paraId="1B5E439E" w14:textId="77777777" w:rsidR="00A45E9F" w:rsidRPr="00781112" w:rsidRDefault="00A45E9F" w:rsidP="00360DD6">
      <w:pPr>
        <w:spacing w:before="0"/>
        <w:rPr>
          <w:rFonts w:eastAsia="Times New Roman" w:cs="Arial"/>
          <w:szCs w:val="16"/>
        </w:rPr>
      </w:pPr>
    </w:p>
    <w:p w14:paraId="0504C504" w14:textId="1B4B7E8B" w:rsidR="00B67038" w:rsidRPr="00781112" w:rsidRDefault="00B67038" w:rsidP="003A4027">
      <w:pPr>
        <w:spacing w:before="0" w:after="0"/>
        <w:rPr>
          <w:rFonts w:eastAsia="Times New Roman" w:cs="Arial"/>
          <w:b/>
          <w:bCs/>
          <w:color w:val="000000" w:themeColor="text1"/>
          <w:szCs w:val="16"/>
        </w:rPr>
      </w:pPr>
      <w:r w:rsidRPr="00781112">
        <w:rPr>
          <w:rFonts w:eastAsia="Times New Roman" w:cs="Arial"/>
          <w:b/>
          <w:bCs/>
          <w:color w:val="000000" w:themeColor="text1"/>
          <w:szCs w:val="16"/>
        </w:rPr>
        <w:t>III. </w:t>
      </w:r>
      <w:r w:rsidRPr="00781112">
        <w:rPr>
          <w:rFonts w:eastAsia="Times New Roman" w:cs="Arial"/>
          <w:b/>
          <w:bCs/>
          <w:i/>
          <w:iCs/>
          <w:color w:val="000000" w:themeColor="text1"/>
          <w:szCs w:val="16"/>
        </w:rPr>
        <w:t xml:space="preserve">Reporting </w:t>
      </w:r>
      <w:r w:rsidR="00DB1150" w:rsidRPr="00781112">
        <w:rPr>
          <w:rFonts w:eastAsia="Times New Roman" w:cs="Arial"/>
          <w:b/>
          <w:bCs/>
          <w:i/>
          <w:iCs/>
          <w:color w:val="000000" w:themeColor="text1"/>
          <w:szCs w:val="16"/>
        </w:rPr>
        <w:t>on</w:t>
      </w:r>
      <w:r w:rsidRPr="00781112">
        <w:rPr>
          <w:rFonts w:eastAsia="Times New Roman" w:cs="Arial"/>
          <w:b/>
          <w:bCs/>
          <w:i/>
          <w:iCs/>
          <w:color w:val="000000" w:themeColor="text1"/>
          <w:szCs w:val="16"/>
        </w:rPr>
        <w:t xml:space="preserve"> the Measures/Indicators</w:t>
      </w:r>
    </w:p>
    <w:p w14:paraId="2306E2F3"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Targets must be established for measures A, B, and C.</w:t>
      </w:r>
    </w:p>
    <w:p w14:paraId="5A3D5C77"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 xml:space="preserve">Measure A: For purposes of reporting on the measures/indicators, please note that any youth enrolled in an institution of higher education (that meets any definition of this term in the Higher Education Act (HEA)) within one year of leaving high school </w:t>
      </w:r>
      <w:r w:rsidRPr="00BA3DBE">
        <w:rPr>
          <w:rFonts w:eastAsia="Times New Roman" w:cs="Arial"/>
          <w:i/>
          <w:iCs/>
          <w:color w:val="000000" w:themeColor="text1"/>
          <w:szCs w:val="16"/>
        </w:rPr>
        <w:t>must</w:t>
      </w:r>
      <w:r w:rsidRPr="00781112">
        <w:rPr>
          <w:rFonts w:eastAsia="Times New Roman" w:cs="Arial"/>
          <w:color w:val="000000" w:themeColor="text1"/>
          <w:szCs w:val="16"/>
        </w:rPr>
        <w:t xml:space="preserve"> be reported under measure A. This could include youth who also happen to be competitively employed, or in some other training program; however, the key outcome we are interested in here is enrollment in higher education.</w:t>
      </w:r>
    </w:p>
    <w:p w14:paraId="7F113969"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B: All youth reported under measure A should also be reported under measure B, in addition to all youth that obtain competitive employment within one year of leaving high school.</w:t>
      </w:r>
    </w:p>
    <w:p w14:paraId="52D47ED5" w14:textId="76A8EB3A" w:rsidR="00B67038"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C: All youth reported under measures A and B should also be reported under measure C, in addition to youth that are enrolled in some other postsecondary education or training program, or in some other employment.</w:t>
      </w:r>
    </w:p>
    <w:p w14:paraId="738C97A7" w14:textId="28860F3E" w:rsidR="004D1797" w:rsidRDefault="004D1797" w:rsidP="003A4027">
      <w:pPr>
        <w:spacing w:before="0" w:after="210"/>
      </w:pPr>
      <w:bookmarkStart w:id="84" w:name="_Hlk116647998"/>
      <w:r>
        <w:t>I</w:t>
      </w:r>
      <w:r w:rsidR="00DF5951">
        <w:t>nclude the State’s analysis of the extent to which the response data are representative of the demographics of youth who are no longer in secondary school and had IEPs in effect at the time they left school. States must include race/ethnicity in their analysis. In addition, the State’s analysis must include at least one of the following demographics:</w:t>
      </w:r>
      <w:r w:rsidR="00F24C95">
        <w:t xml:space="preserve"> disability category, gender, geographic location, and/or another demographic category approved through the stakeholder input process. </w:t>
      </w:r>
    </w:p>
    <w:p w14:paraId="5D1C94BB" w14:textId="13CB2664" w:rsidR="00DF5951" w:rsidRPr="006D5DC4" w:rsidRDefault="00F24C95" w:rsidP="003A4027">
      <w:pPr>
        <w:spacing w:before="0" w:after="210"/>
      </w:pPr>
      <w:r>
        <w:t>If the analysis shows that the response data are not representative of the demographics of youth who are no longer in secondary school and had IEPs in effect at the time they left school, describe the strategies that the State will use to ensure that in the future the response data are representative of those demographics. In identifying such strategies, the State should consider factors such as how the State collected the data.</w:t>
      </w:r>
    </w:p>
    <w:bookmarkEnd w:id="84"/>
    <w:p w14:paraId="3FE9961A" w14:textId="1EDBA086" w:rsidR="000301BA" w:rsidRPr="00781112" w:rsidRDefault="00172058" w:rsidP="00123D76">
      <w:pPr>
        <w:pStyle w:val="Heading2"/>
      </w:pPr>
      <w:r w:rsidRPr="00781112">
        <w:t>14 - Indicator Data</w:t>
      </w:r>
    </w:p>
    <w:bookmarkEnd w:id="83"/>
    <w:p w14:paraId="373EDCC8" w14:textId="77777777" w:rsidR="005F442C" w:rsidRPr="00781112" w:rsidRDefault="005F442C"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14HISTDATA"/>
      </w:tblPr>
      <w:tblGrid>
        <w:gridCol w:w="866"/>
        <w:gridCol w:w="1693"/>
        <w:gridCol w:w="833"/>
        <w:gridCol w:w="1480"/>
        <w:gridCol w:w="1480"/>
        <w:gridCol w:w="1480"/>
        <w:gridCol w:w="1480"/>
        <w:gridCol w:w="1478"/>
      </w:tblGrid>
      <w:tr w:rsidR="005C29F8" w:rsidRPr="00781112" w14:paraId="23017209" w14:textId="77777777" w:rsidTr="00C37CAE">
        <w:trPr>
          <w:trHeight w:val="350"/>
        </w:trPr>
        <w:tc>
          <w:tcPr>
            <w:tcW w:w="190" w:type="pct"/>
            <w:tcBorders>
              <w:top w:val="single" w:sz="4" w:space="0" w:color="auto"/>
              <w:left w:val="single" w:sz="4" w:space="0" w:color="auto"/>
              <w:bottom w:val="single" w:sz="4" w:space="0" w:color="auto"/>
              <w:right w:val="single" w:sz="4" w:space="0" w:color="auto"/>
            </w:tcBorders>
            <w:shd w:val="clear" w:color="auto" w:fill="auto"/>
          </w:tcPr>
          <w:p w14:paraId="01A8BBA7" w14:textId="09A1D650" w:rsidR="005F442C" w:rsidRPr="00781112" w:rsidRDefault="004E1996" w:rsidP="008E31C4">
            <w:pPr>
              <w:spacing w:line="276" w:lineRule="auto"/>
              <w:jc w:val="center"/>
              <w:rPr>
                <w:rFonts w:cs="Arial"/>
                <w:b/>
                <w:color w:val="000000" w:themeColor="text1"/>
                <w:szCs w:val="16"/>
              </w:rPr>
            </w:pPr>
            <w:r w:rsidRPr="00781112">
              <w:rPr>
                <w:rFonts w:cs="Arial"/>
                <w:b/>
                <w:color w:val="000000" w:themeColor="text1"/>
                <w:szCs w:val="16"/>
              </w:rPr>
              <w:t>Measure</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133A4B9" w14:textId="6C60B813"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54329BE" w14:textId="77777777"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FFY</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2CA54FD7" w14:textId="7E2CC703"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2018</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5CF4C1A5" w14:textId="184560DA"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2019</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4B5CF47" w14:textId="3E5885FF"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2020</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3DDDA5B1" w14:textId="0E359AEC"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2021</w:t>
            </w:r>
          </w:p>
        </w:tc>
        <w:tc>
          <w:tcPr>
            <w:tcW w:w="715" w:type="pct"/>
            <w:tcBorders>
              <w:top w:val="single" w:sz="4" w:space="0" w:color="auto"/>
              <w:left w:val="single" w:sz="4" w:space="0" w:color="auto"/>
              <w:bottom w:val="single" w:sz="4" w:space="0" w:color="auto"/>
              <w:right w:val="single" w:sz="4" w:space="0" w:color="auto"/>
            </w:tcBorders>
            <w:shd w:val="clear" w:color="auto" w:fill="auto"/>
            <w:hideMark/>
          </w:tcPr>
          <w:p w14:paraId="7B2A5B67" w14:textId="00166B91"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2022</w:t>
            </w:r>
          </w:p>
        </w:tc>
      </w:tr>
      <w:tr w:rsidR="005C29F8" w:rsidRPr="00781112" w14:paraId="083B463F" w14:textId="77777777" w:rsidTr="00C37CAE">
        <w:trPr>
          <w:trHeight w:val="70"/>
        </w:trPr>
        <w:tc>
          <w:tcPr>
            <w:tcW w:w="190" w:type="pct"/>
            <w:tcBorders>
              <w:top w:val="single" w:sz="4" w:space="0" w:color="auto"/>
              <w:left w:val="single" w:sz="4" w:space="0" w:color="auto"/>
              <w:right w:val="single" w:sz="4" w:space="0" w:color="auto"/>
            </w:tcBorders>
            <w:shd w:val="clear" w:color="auto" w:fill="auto"/>
            <w:vAlign w:val="center"/>
          </w:tcPr>
          <w:p w14:paraId="0980813D"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top w:val="single" w:sz="4" w:space="0" w:color="auto"/>
              <w:left w:val="single" w:sz="4" w:space="0" w:color="auto"/>
              <w:right w:val="single" w:sz="4" w:space="0" w:color="auto"/>
            </w:tcBorders>
            <w:shd w:val="clear" w:color="auto" w:fill="auto"/>
          </w:tcPr>
          <w:p w14:paraId="21EABCF5" w14:textId="1AD6B491"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FB488" w14:textId="55829AC6"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039DA1B9" w14:textId="441A6795" w:rsidR="005F442C" w:rsidRPr="00781112" w:rsidRDefault="002B7490" w:rsidP="00A018D4">
            <w:pPr>
              <w:jc w:val="center"/>
              <w:rPr>
                <w:rFonts w:cs="Arial"/>
                <w:color w:val="000000" w:themeColor="text1"/>
                <w:szCs w:val="16"/>
              </w:rPr>
            </w:pPr>
            <w:r w:rsidRPr="00781112">
              <w:rPr>
                <w:rFonts w:cs="Arial"/>
                <w:color w:val="000000" w:themeColor="text1"/>
                <w:szCs w:val="16"/>
              </w:rPr>
              <w:t>20.00%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151E14A" w14:textId="4DA0C6F7" w:rsidR="005F442C" w:rsidRPr="00781112" w:rsidRDefault="002B7490" w:rsidP="00A018D4">
            <w:pPr>
              <w:jc w:val="center"/>
              <w:rPr>
                <w:rFonts w:cs="Arial"/>
                <w:color w:val="000000" w:themeColor="text1"/>
                <w:szCs w:val="16"/>
              </w:rPr>
            </w:pPr>
            <w:r w:rsidRPr="00781112">
              <w:rPr>
                <w:rFonts w:cs="Arial"/>
                <w:color w:val="000000" w:themeColor="text1"/>
                <w:szCs w:val="16"/>
              </w:rPr>
              <w:t>21.00%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D3CBEBB" w14:textId="1729C879" w:rsidR="005F442C" w:rsidRPr="00781112" w:rsidRDefault="002B7490" w:rsidP="00A018D4">
            <w:pPr>
              <w:jc w:val="center"/>
              <w:rPr>
                <w:rFonts w:cs="Arial"/>
                <w:color w:val="000000" w:themeColor="text1"/>
                <w:szCs w:val="16"/>
              </w:rPr>
            </w:pPr>
            <w:r w:rsidRPr="00781112">
              <w:rPr>
                <w:rFonts w:cs="Arial"/>
                <w:color w:val="000000" w:themeColor="text1"/>
                <w:szCs w:val="16"/>
              </w:rPr>
              <w:t>19.03%</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6DE686" w14:textId="15B31522" w:rsidR="005F442C" w:rsidRPr="00781112" w:rsidRDefault="002B7490" w:rsidP="00A018D4">
            <w:pPr>
              <w:jc w:val="center"/>
              <w:rPr>
                <w:rFonts w:cs="Arial"/>
                <w:color w:val="000000" w:themeColor="text1"/>
                <w:szCs w:val="16"/>
              </w:rPr>
            </w:pPr>
            <w:r w:rsidRPr="00781112">
              <w:rPr>
                <w:rFonts w:cs="Arial"/>
                <w:color w:val="000000" w:themeColor="text1"/>
                <w:szCs w:val="16"/>
              </w:rPr>
              <w:t>20.03%</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49316D4F" w14:textId="0095C778" w:rsidR="005F442C" w:rsidRPr="00781112" w:rsidRDefault="002B7490" w:rsidP="00A018D4">
            <w:pPr>
              <w:jc w:val="center"/>
              <w:rPr>
                <w:rFonts w:cs="Arial"/>
                <w:color w:val="000000" w:themeColor="text1"/>
                <w:szCs w:val="16"/>
              </w:rPr>
            </w:pPr>
            <w:r w:rsidRPr="00781112">
              <w:rPr>
                <w:rFonts w:cs="Arial"/>
                <w:color w:val="000000" w:themeColor="text1"/>
                <w:szCs w:val="16"/>
              </w:rPr>
              <w:t>21.03%</w:t>
            </w:r>
          </w:p>
        </w:tc>
      </w:tr>
      <w:tr w:rsidR="005C29F8" w:rsidRPr="00781112" w14:paraId="4DFAA88C" w14:textId="77777777" w:rsidTr="00C37CAE">
        <w:trPr>
          <w:trHeight w:val="85"/>
        </w:trPr>
        <w:tc>
          <w:tcPr>
            <w:tcW w:w="190" w:type="pct"/>
            <w:tcBorders>
              <w:left w:val="single" w:sz="4" w:space="0" w:color="auto"/>
              <w:right w:val="single" w:sz="4" w:space="0" w:color="auto"/>
            </w:tcBorders>
            <w:shd w:val="clear" w:color="auto" w:fill="auto"/>
          </w:tcPr>
          <w:p w14:paraId="65028A7E" w14:textId="6CD117ED"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left w:val="single" w:sz="4" w:space="0" w:color="auto"/>
              <w:right w:val="single" w:sz="4" w:space="0" w:color="auto"/>
            </w:tcBorders>
            <w:shd w:val="clear" w:color="auto" w:fill="auto"/>
          </w:tcPr>
          <w:p w14:paraId="2D87F90A" w14:textId="5AE78B73" w:rsidR="005F442C" w:rsidRPr="00781112" w:rsidRDefault="002B7490" w:rsidP="00A018D4">
            <w:pPr>
              <w:jc w:val="center"/>
              <w:rPr>
                <w:rFonts w:cs="Arial"/>
                <w:color w:val="000000" w:themeColor="text1"/>
                <w:szCs w:val="16"/>
              </w:rPr>
            </w:pPr>
            <w:r w:rsidRPr="00781112">
              <w:rPr>
                <w:rFonts w:cs="Arial"/>
                <w:color w:val="000000" w:themeColor="text1"/>
                <w:szCs w:val="16"/>
              </w:rPr>
              <w:t>19.49%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9B25F"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ECDA20" w14:textId="748C8CB2" w:rsidR="005F442C" w:rsidRPr="00781112" w:rsidRDefault="002B7490" w:rsidP="00A018D4">
            <w:pPr>
              <w:jc w:val="center"/>
              <w:rPr>
                <w:rFonts w:cs="Arial"/>
                <w:color w:val="000000" w:themeColor="text1"/>
                <w:szCs w:val="16"/>
              </w:rPr>
            </w:pPr>
            <w:r w:rsidRPr="00781112">
              <w:rPr>
                <w:rFonts w:cs="Arial"/>
                <w:color w:val="000000" w:themeColor="text1"/>
                <w:szCs w:val="16"/>
              </w:rPr>
              <w:t>18.03%</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1A78E1E2" w14:textId="126BA5B7" w:rsidR="005F442C" w:rsidRPr="00781112" w:rsidRDefault="002B7490" w:rsidP="00A018D4">
            <w:pPr>
              <w:jc w:val="center"/>
              <w:rPr>
                <w:rFonts w:cs="Arial"/>
                <w:color w:val="000000" w:themeColor="text1"/>
                <w:szCs w:val="16"/>
              </w:rPr>
            </w:pPr>
            <w:r w:rsidRPr="00781112">
              <w:rPr>
                <w:rFonts w:cs="Arial"/>
                <w:color w:val="000000" w:themeColor="text1"/>
                <w:szCs w:val="16"/>
              </w:rPr>
              <w:t>19.86%</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A7E5014" w14:textId="76B4842F" w:rsidR="005F442C" w:rsidRPr="00781112" w:rsidRDefault="002B7490" w:rsidP="00A018D4">
            <w:pPr>
              <w:jc w:val="center"/>
              <w:rPr>
                <w:rFonts w:cs="Arial"/>
                <w:color w:val="000000" w:themeColor="text1"/>
                <w:szCs w:val="16"/>
              </w:rPr>
            </w:pPr>
            <w:r w:rsidRPr="00781112">
              <w:rPr>
                <w:rFonts w:cs="Arial"/>
                <w:color w:val="000000" w:themeColor="text1"/>
                <w:szCs w:val="16"/>
              </w:rPr>
              <w:t>10.11%</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AD2D2DA" w14:textId="5D991656" w:rsidR="005F442C" w:rsidRPr="00781112" w:rsidRDefault="002B7490" w:rsidP="00A018D4">
            <w:pPr>
              <w:jc w:val="center"/>
              <w:rPr>
                <w:rFonts w:cs="Arial"/>
                <w:color w:val="000000" w:themeColor="text1"/>
                <w:szCs w:val="16"/>
              </w:rPr>
            </w:pPr>
            <w:r w:rsidRPr="00781112">
              <w:rPr>
                <w:rFonts w:cs="Arial"/>
                <w:color w:val="000000" w:themeColor="text1"/>
                <w:szCs w:val="16"/>
              </w:rPr>
              <w:t>18.30%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4EFC8E5" w14:textId="36855126" w:rsidR="005F442C" w:rsidRPr="00781112" w:rsidRDefault="002B7490" w:rsidP="00A018D4">
            <w:pPr>
              <w:jc w:val="center"/>
              <w:rPr>
                <w:rFonts w:cs="Arial"/>
                <w:color w:val="000000" w:themeColor="text1"/>
                <w:szCs w:val="16"/>
              </w:rPr>
            </w:pPr>
            <w:r w:rsidRPr="00781112">
              <w:rPr>
                <w:rFonts w:cs="Arial"/>
                <w:color w:val="000000" w:themeColor="text1"/>
                <w:szCs w:val="16"/>
              </w:rPr>
              <w:t>16.49%</w:t>
            </w:r>
          </w:p>
        </w:tc>
      </w:tr>
      <w:tr w:rsidR="005C29F8" w:rsidRPr="00781112" w14:paraId="626D1DE5"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2420D4E8"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top w:val="single" w:sz="4" w:space="0" w:color="auto"/>
              <w:left w:val="single" w:sz="4" w:space="0" w:color="auto"/>
              <w:right w:val="single" w:sz="4" w:space="0" w:color="auto"/>
            </w:tcBorders>
            <w:shd w:val="clear" w:color="auto" w:fill="auto"/>
          </w:tcPr>
          <w:p w14:paraId="1A949E27" w14:textId="6BA6427F"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3F7C9" w14:textId="0A3252A0"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2BC5CE03" w14:textId="44707AE5" w:rsidR="005F442C" w:rsidRPr="00781112" w:rsidRDefault="002B7490" w:rsidP="00A018D4">
            <w:pPr>
              <w:jc w:val="center"/>
              <w:rPr>
                <w:rFonts w:cs="Arial"/>
                <w:color w:val="000000" w:themeColor="text1"/>
                <w:szCs w:val="16"/>
              </w:rPr>
            </w:pPr>
            <w:r w:rsidRPr="00781112">
              <w:rPr>
                <w:rFonts w:cs="Arial"/>
                <w:color w:val="000000" w:themeColor="text1"/>
                <w:szCs w:val="16"/>
              </w:rPr>
              <w:t>54.00%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E7D0375" w14:textId="72BE41AE" w:rsidR="005F442C" w:rsidRPr="00781112" w:rsidRDefault="002B7490" w:rsidP="00A018D4">
            <w:pPr>
              <w:jc w:val="center"/>
              <w:rPr>
                <w:rFonts w:cs="Arial"/>
                <w:color w:val="000000" w:themeColor="text1"/>
                <w:szCs w:val="16"/>
              </w:rPr>
            </w:pPr>
            <w:r w:rsidRPr="00781112">
              <w:rPr>
                <w:rFonts w:cs="Arial"/>
                <w:color w:val="000000" w:themeColor="text1"/>
                <w:szCs w:val="16"/>
              </w:rPr>
              <w:t>55.00%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FA8C72" w14:textId="1DBA7AD5" w:rsidR="005F442C" w:rsidRPr="00781112" w:rsidRDefault="002B7490" w:rsidP="00A018D4">
            <w:pPr>
              <w:jc w:val="center"/>
              <w:rPr>
                <w:rFonts w:cs="Arial"/>
                <w:color w:val="000000" w:themeColor="text1"/>
                <w:szCs w:val="16"/>
              </w:rPr>
            </w:pPr>
            <w:r w:rsidRPr="00781112">
              <w:rPr>
                <w:rFonts w:cs="Arial"/>
                <w:color w:val="000000" w:themeColor="text1"/>
                <w:szCs w:val="16"/>
              </w:rPr>
              <w:t>47.69%</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2EAF5AA" w14:textId="0EED287F" w:rsidR="005F442C" w:rsidRPr="00781112" w:rsidRDefault="002B7490" w:rsidP="00A018D4">
            <w:pPr>
              <w:jc w:val="center"/>
              <w:rPr>
                <w:rFonts w:cs="Arial"/>
                <w:color w:val="000000" w:themeColor="text1"/>
                <w:szCs w:val="16"/>
              </w:rPr>
            </w:pPr>
            <w:r w:rsidRPr="00781112">
              <w:rPr>
                <w:rFonts w:cs="Arial"/>
                <w:color w:val="000000" w:themeColor="text1"/>
                <w:szCs w:val="16"/>
              </w:rPr>
              <w:t>49.69%</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ADF4529" w14:textId="5459CD21" w:rsidR="005F442C" w:rsidRPr="00781112" w:rsidRDefault="002B7490" w:rsidP="00A018D4">
            <w:pPr>
              <w:jc w:val="center"/>
              <w:rPr>
                <w:rFonts w:cs="Arial"/>
                <w:color w:val="000000" w:themeColor="text1"/>
                <w:szCs w:val="16"/>
              </w:rPr>
            </w:pPr>
            <w:r w:rsidRPr="00781112">
              <w:rPr>
                <w:rFonts w:cs="Arial"/>
                <w:color w:val="000000" w:themeColor="text1"/>
                <w:szCs w:val="16"/>
              </w:rPr>
              <w:t>51.69%</w:t>
            </w:r>
          </w:p>
        </w:tc>
      </w:tr>
      <w:tr w:rsidR="005C29F8" w:rsidRPr="00781112" w14:paraId="04BD4647" w14:textId="77777777" w:rsidTr="00C37CAE">
        <w:trPr>
          <w:trHeight w:val="85"/>
        </w:trPr>
        <w:tc>
          <w:tcPr>
            <w:tcW w:w="190" w:type="pct"/>
            <w:tcBorders>
              <w:left w:val="single" w:sz="4" w:space="0" w:color="auto"/>
              <w:right w:val="single" w:sz="4" w:space="0" w:color="auto"/>
            </w:tcBorders>
            <w:shd w:val="clear" w:color="auto" w:fill="auto"/>
          </w:tcPr>
          <w:p w14:paraId="0F20B888" w14:textId="46217DEF"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left w:val="single" w:sz="4" w:space="0" w:color="auto"/>
              <w:right w:val="single" w:sz="4" w:space="0" w:color="auto"/>
            </w:tcBorders>
            <w:shd w:val="clear" w:color="auto" w:fill="auto"/>
          </w:tcPr>
          <w:p w14:paraId="7553E0D1" w14:textId="50261931" w:rsidR="005F442C" w:rsidRPr="00781112" w:rsidRDefault="002B7490" w:rsidP="00A018D4">
            <w:pPr>
              <w:jc w:val="center"/>
              <w:rPr>
                <w:rFonts w:cs="Arial"/>
                <w:color w:val="000000" w:themeColor="text1"/>
                <w:szCs w:val="16"/>
              </w:rPr>
            </w:pPr>
            <w:r w:rsidRPr="00781112">
              <w:rPr>
                <w:rFonts w:cs="Arial"/>
                <w:color w:val="000000" w:themeColor="text1"/>
                <w:szCs w:val="16"/>
              </w:rPr>
              <w:t>48.84%</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4A099"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6F1CC00" w14:textId="27BDC0A1" w:rsidR="005F442C" w:rsidRPr="00781112" w:rsidRDefault="002B7490" w:rsidP="00A018D4">
            <w:pPr>
              <w:jc w:val="center"/>
              <w:rPr>
                <w:rFonts w:cs="Arial"/>
                <w:color w:val="000000" w:themeColor="text1"/>
                <w:szCs w:val="16"/>
              </w:rPr>
            </w:pPr>
            <w:r w:rsidRPr="00781112">
              <w:rPr>
                <w:rFonts w:cs="Arial"/>
                <w:color w:val="000000" w:themeColor="text1"/>
                <w:szCs w:val="16"/>
              </w:rPr>
              <w:t>45.69%</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2BDB3D" w14:textId="7C9CDA00" w:rsidR="005F442C" w:rsidRPr="00781112" w:rsidRDefault="002B7490" w:rsidP="00A018D4">
            <w:pPr>
              <w:jc w:val="center"/>
              <w:rPr>
                <w:rFonts w:cs="Arial"/>
                <w:color w:val="000000" w:themeColor="text1"/>
                <w:szCs w:val="16"/>
              </w:rPr>
            </w:pPr>
            <w:r w:rsidRPr="00781112">
              <w:rPr>
                <w:rFonts w:cs="Arial"/>
                <w:color w:val="000000" w:themeColor="text1"/>
                <w:szCs w:val="16"/>
              </w:rPr>
              <w:t>44.97%</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8698B0" w14:textId="23886D70" w:rsidR="005F442C" w:rsidRPr="00781112" w:rsidRDefault="002B7490" w:rsidP="00A018D4">
            <w:pPr>
              <w:jc w:val="center"/>
              <w:rPr>
                <w:rFonts w:cs="Arial"/>
                <w:color w:val="000000" w:themeColor="text1"/>
                <w:szCs w:val="16"/>
              </w:rPr>
            </w:pPr>
            <w:r w:rsidRPr="00781112">
              <w:rPr>
                <w:rFonts w:cs="Arial"/>
                <w:color w:val="000000" w:themeColor="text1"/>
                <w:szCs w:val="16"/>
              </w:rPr>
              <w:t>27.01%</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9C7692" w14:textId="490F43AD" w:rsidR="005F442C" w:rsidRPr="00781112" w:rsidRDefault="002B7490" w:rsidP="00A018D4">
            <w:pPr>
              <w:jc w:val="center"/>
              <w:rPr>
                <w:rFonts w:cs="Arial"/>
                <w:color w:val="000000" w:themeColor="text1"/>
                <w:szCs w:val="16"/>
              </w:rPr>
            </w:pPr>
            <w:r w:rsidRPr="00781112">
              <w:rPr>
                <w:rFonts w:cs="Arial"/>
                <w:color w:val="000000" w:themeColor="text1"/>
                <w:szCs w:val="16"/>
              </w:rPr>
              <w:t>51.16%</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97DA8B1" w14:textId="591F0E95" w:rsidR="005F442C" w:rsidRPr="00781112" w:rsidRDefault="002B7490" w:rsidP="00A018D4">
            <w:pPr>
              <w:jc w:val="center"/>
              <w:rPr>
                <w:rFonts w:cs="Arial"/>
                <w:color w:val="000000" w:themeColor="text1"/>
                <w:szCs w:val="16"/>
              </w:rPr>
            </w:pPr>
            <w:r w:rsidRPr="00781112">
              <w:rPr>
                <w:rFonts w:cs="Arial"/>
                <w:color w:val="000000" w:themeColor="text1"/>
                <w:szCs w:val="16"/>
              </w:rPr>
              <w:t>54.10%</w:t>
            </w:r>
          </w:p>
        </w:tc>
      </w:tr>
      <w:tr w:rsidR="005C29F8" w:rsidRPr="00781112" w14:paraId="3B4797BA"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6C3DB934"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top w:val="single" w:sz="4" w:space="0" w:color="auto"/>
              <w:left w:val="single" w:sz="4" w:space="0" w:color="auto"/>
              <w:right w:val="single" w:sz="4" w:space="0" w:color="auto"/>
            </w:tcBorders>
            <w:shd w:val="clear" w:color="auto" w:fill="auto"/>
          </w:tcPr>
          <w:p w14:paraId="16F6EE90" w14:textId="5DB098B3"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C8BB" w14:textId="575B1EC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6636D2C" w14:textId="048A2FD1" w:rsidR="005F442C" w:rsidRPr="00781112" w:rsidRDefault="002B7490" w:rsidP="00A018D4">
            <w:pPr>
              <w:jc w:val="center"/>
              <w:rPr>
                <w:rFonts w:cs="Arial"/>
                <w:color w:val="000000" w:themeColor="text1"/>
                <w:szCs w:val="16"/>
              </w:rPr>
            </w:pPr>
            <w:r w:rsidRPr="00781112">
              <w:rPr>
                <w:rFonts w:cs="Arial"/>
                <w:color w:val="000000" w:themeColor="text1"/>
                <w:szCs w:val="16"/>
              </w:rPr>
              <w:t>69.00%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F601683" w14:textId="08666F48" w:rsidR="005F442C" w:rsidRPr="00781112" w:rsidRDefault="002B7490" w:rsidP="00A018D4">
            <w:pPr>
              <w:jc w:val="center"/>
              <w:rPr>
                <w:rFonts w:cs="Arial"/>
                <w:color w:val="000000" w:themeColor="text1"/>
                <w:szCs w:val="16"/>
              </w:rPr>
            </w:pPr>
            <w:r w:rsidRPr="00781112">
              <w:rPr>
                <w:rFonts w:cs="Arial"/>
                <w:color w:val="000000" w:themeColor="text1"/>
                <w:szCs w:val="16"/>
              </w:rPr>
              <w:t>70.00%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44C7E3A" w14:textId="4B31ECC3" w:rsidR="005F442C" w:rsidRPr="00781112" w:rsidRDefault="002B7490" w:rsidP="00A018D4">
            <w:pPr>
              <w:jc w:val="center"/>
              <w:rPr>
                <w:rFonts w:cs="Arial"/>
                <w:color w:val="000000" w:themeColor="text1"/>
                <w:szCs w:val="16"/>
              </w:rPr>
            </w:pPr>
            <w:r w:rsidRPr="00781112">
              <w:rPr>
                <w:rFonts w:cs="Arial"/>
                <w:color w:val="000000" w:themeColor="text1"/>
                <w:szCs w:val="16"/>
              </w:rPr>
              <w:t>71.01%</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5933A5C" w14:textId="2942912F" w:rsidR="005F442C" w:rsidRPr="00781112" w:rsidRDefault="002B7490" w:rsidP="00A018D4">
            <w:pPr>
              <w:jc w:val="center"/>
              <w:rPr>
                <w:rFonts w:cs="Arial"/>
                <w:color w:val="000000" w:themeColor="text1"/>
                <w:szCs w:val="16"/>
              </w:rPr>
            </w:pPr>
            <w:r w:rsidRPr="00781112">
              <w:rPr>
                <w:rFonts w:cs="Arial"/>
                <w:color w:val="000000" w:themeColor="text1"/>
                <w:szCs w:val="16"/>
              </w:rPr>
              <w:t>71.51%</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C32933D" w14:textId="5E0B7F18" w:rsidR="005F442C" w:rsidRPr="00781112" w:rsidRDefault="002B7490" w:rsidP="00A018D4">
            <w:pPr>
              <w:jc w:val="center"/>
              <w:rPr>
                <w:rFonts w:cs="Arial"/>
                <w:color w:val="000000" w:themeColor="text1"/>
                <w:szCs w:val="16"/>
              </w:rPr>
            </w:pPr>
            <w:r w:rsidRPr="00781112">
              <w:rPr>
                <w:rFonts w:cs="Arial"/>
                <w:color w:val="000000" w:themeColor="text1"/>
                <w:szCs w:val="16"/>
              </w:rPr>
              <w:t>72.01%</w:t>
            </w:r>
          </w:p>
        </w:tc>
      </w:tr>
      <w:tr w:rsidR="005C29F8" w:rsidRPr="00781112" w14:paraId="6F394366" w14:textId="77777777" w:rsidTr="00C37CAE">
        <w:trPr>
          <w:trHeight w:val="85"/>
        </w:trPr>
        <w:tc>
          <w:tcPr>
            <w:tcW w:w="190" w:type="pct"/>
            <w:tcBorders>
              <w:left w:val="single" w:sz="4" w:space="0" w:color="auto"/>
              <w:right w:val="single" w:sz="4" w:space="0" w:color="auto"/>
            </w:tcBorders>
            <w:shd w:val="clear" w:color="auto" w:fill="auto"/>
          </w:tcPr>
          <w:p w14:paraId="44948B1E" w14:textId="67BC5CB9"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left w:val="single" w:sz="4" w:space="0" w:color="auto"/>
              <w:right w:val="single" w:sz="4" w:space="0" w:color="auto"/>
            </w:tcBorders>
            <w:shd w:val="clear" w:color="auto" w:fill="auto"/>
          </w:tcPr>
          <w:p w14:paraId="11A9E1DB" w14:textId="6AB2315D" w:rsidR="005F442C" w:rsidRPr="00781112" w:rsidRDefault="002B7490" w:rsidP="00A018D4">
            <w:pPr>
              <w:jc w:val="center"/>
              <w:rPr>
                <w:rFonts w:cs="Arial"/>
                <w:color w:val="000000" w:themeColor="text1"/>
                <w:szCs w:val="16"/>
              </w:rPr>
            </w:pPr>
            <w:r w:rsidRPr="00781112">
              <w:rPr>
                <w:rFonts w:cs="Arial"/>
                <w:color w:val="000000" w:themeColor="text1"/>
                <w:szCs w:val="16"/>
              </w:rPr>
              <w:t>63.57%</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A4DE0"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669A5081" w14:textId="5506F90A" w:rsidR="005F442C" w:rsidRPr="00781112" w:rsidRDefault="002B7490" w:rsidP="00A018D4">
            <w:pPr>
              <w:jc w:val="center"/>
              <w:rPr>
                <w:rFonts w:cs="Arial"/>
                <w:color w:val="000000" w:themeColor="text1"/>
                <w:szCs w:val="16"/>
              </w:rPr>
            </w:pPr>
            <w:r w:rsidRPr="00781112">
              <w:rPr>
                <w:rFonts w:cs="Arial"/>
                <w:color w:val="000000" w:themeColor="text1"/>
                <w:szCs w:val="16"/>
              </w:rPr>
              <w:t>70.51%</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490F65AA" w14:textId="42AB492B" w:rsidR="005F442C" w:rsidRPr="00781112" w:rsidRDefault="002B7490" w:rsidP="00A018D4">
            <w:pPr>
              <w:jc w:val="center"/>
              <w:rPr>
                <w:rFonts w:cs="Arial"/>
                <w:color w:val="000000" w:themeColor="text1"/>
                <w:szCs w:val="16"/>
              </w:rPr>
            </w:pPr>
            <w:r w:rsidRPr="00781112">
              <w:rPr>
                <w:rFonts w:cs="Arial"/>
                <w:color w:val="000000" w:themeColor="text1"/>
                <w:szCs w:val="16"/>
              </w:rPr>
              <w:t>68.42%</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6EBC0DCF" w14:textId="12C96EDC" w:rsidR="005F442C" w:rsidRPr="00781112" w:rsidRDefault="002B7490" w:rsidP="00A018D4">
            <w:pPr>
              <w:jc w:val="center"/>
              <w:rPr>
                <w:rFonts w:cs="Arial"/>
                <w:color w:val="000000" w:themeColor="text1"/>
                <w:szCs w:val="16"/>
              </w:rPr>
            </w:pPr>
            <w:r w:rsidRPr="00781112">
              <w:rPr>
                <w:rFonts w:cs="Arial"/>
                <w:color w:val="000000" w:themeColor="text1"/>
                <w:szCs w:val="16"/>
              </w:rPr>
              <w:t>41.49%</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F6AC359" w14:textId="4DD9908A" w:rsidR="005F442C" w:rsidRPr="00781112" w:rsidRDefault="002B7490" w:rsidP="00A018D4">
            <w:pPr>
              <w:jc w:val="center"/>
              <w:rPr>
                <w:rFonts w:cs="Arial"/>
                <w:color w:val="000000" w:themeColor="text1"/>
                <w:szCs w:val="16"/>
              </w:rPr>
            </w:pPr>
            <w:r w:rsidRPr="00781112">
              <w:rPr>
                <w:rFonts w:cs="Arial"/>
                <w:color w:val="000000" w:themeColor="text1"/>
                <w:szCs w:val="16"/>
              </w:rPr>
              <w:t>74.58%</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DD4FEA0" w14:textId="22130008" w:rsidR="005F442C" w:rsidRPr="00781112" w:rsidRDefault="002B7490" w:rsidP="00A018D4">
            <w:pPr>
              <w:jc w:val="center"/>
              <w:rPr>
                <w:rFonts w:cs="Arial"/>
                <w:color w:val="000000" w:themeColor="text1"/>
                <w:szCs w:val="16"/>
              </w:rPr>
            </w:pPr>
            <w:r w:rsidRPr="00781112">
              <w:rPr>
                <w:rFonts w:cs="Arial"/>
                <w:color w:val="000000" w:themeColor="text1"/>
                <w:szCs w:val="16"/>
              </w:rPr>
              <w:t>74.63%</w:t>
            </w:r>
          </w:p>
        </w:tc>
      </w:tr>
    </w:tbl>
    <w:p w14:paraId="7084612B" w14:textId="77777777" w:rsidR="00E448E9" w:rsidRPr="00781112" w:rsidRDefault="00E448E9" w:rsidP="004369B2">
      <w:pPr>
        <w:rPr>
          <w:color w:val="000000" w:themeColor="text1"/>
        </w:rPr>
      </w:pPr>
    </w:p>
    <w:p w14:paraId="02DB82E4" w14:textId="3E48D02A" w:rsidR="005F442C" w:rsidRPr="00781112" w:rsidRDefault="00806C75" w:rsidP="004369B2">
      <w:pPr>
        <w:rPr>
          <w:color w:val="000000" w:themeColor="text1"/>
        </w:rPr>
      </w:pPr>
      <w:r w:rsidRPr="00781112">
        <w:rPr>
          <w:b/>
          <w:color w:val="000000" w:themeColor="text1"/>
        </w:rPr>
        <w:t>FFY 2021 Targets</w:t>
      </w:r>
    </w:p>
    <w:tbl>
      <w:tblPr>
        <w:tblW w:w="26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TARGETS"/>
      </w:tblPr>
      <w:tblGrid>
        <w:gridCol w:w="823"/>
        <w:gridCol w:w="1664"/>
        <w:gridCol w:w="1664"/>
        <w:gridCol w:w="1663"/>
      </w:tblGrid>
      <w:tr w:rsidR="00233EFB" w:rsidRPr="00781112" w14:paraId="0D5EED67" w14:textId="79D43F28" w:rsidTr="00FE4611">
        <w:trPr>
          <w:trHeight w:val="388"/>
        </w:trPr>
        <w:tc>
          <w:tcPr>
            <w:tcW w:w="708" w:type="pct"/>
            <w:tcBorders>
              <w:bottom w:val="single" w:sz="4" w:space="0" w:color="auto"/>
            </w:tcBorders>
            <w:shd w:val="clear" w:color="auto" w:fill="auto"/>
          </w:tcPr>
          <w:p w14:paraId="3A39086B" w14:textId="77777777" w:rsidR="00233EFB" w:rsidRPr="00781112" w:rsidRDefault="00233EFB" w:rsidP="00AF574F">
            <w:pPr>
              <w:jc w:val="center"/>
              <w:rPr>
                <w:b/>
                <w:color w:val="000000" w:themeColor="text1"/>
              </w:rPr>
            </w:pPr>
            <w:r w:rsidRPr="00781112">
              <w:rPr>
                <w:b/>
                <w:color w:val="000000" w:themeColor="text1"/>
              </w:rPr>
              <w:t>FFY</w:t>
            </w:r>
          </w:p>
        </w:tc>
        <w:tc>
          <w:tcPr>
            <w:tcW w:w="1431" w:type="pct"/>
            <w:shd w:val="clear" w:color="auto" w:fill="auto"/>
          </w:tcPr>
          <w:p w14:paraId="3904D56E" w14:textId="5A40B787" w:rsidR="00233EFB" w:rsidRPr="00781112" w:rsidRDefault="00233EFB" w:rsidP="00AF574F">
            <w:pPr>
              <w:jc w:val="center"/>
              <w:rPr>
                <w:b/>
                <w:color w:val="000000" w:themeColor="text1"/>
              </w:rPr>
            </w:pPr>
            <w:r w:rsidRPr="00781112">
              <w:rPr>
                <w:b/>
                <w:color w:val="000000" w:themeColor="text1"/>
              </w:rPr>
              <w:t>2023</w:t>
            </w:r>
          </w:p>
        </w:tc>
        <w:tc>
          <w:tcPr>
            <w:tcW w:w="1431" w:type="pct"/>
          </w:tcPr>
          <w:p w14:paraId="5E87DEBC" w14:textId="3C58C740" w:rsidR="00233EFB" w:rsidRPr="00781112" w:rsidRDefault="00233EFB" w:rsidP="00AF574F">
            <w:pPr>
              <w:jc w:val="center"/>
              <w:rPr>
                <w:b/>
                <w:color w:val="000000" w:themeColor="text1"/>
              </w:rPr>
            </w:pPr>
            <w:r w:rsidRPr="00781112">
              <w:rPr>
                <w:rFonts w:cs="Arial"/>
                <w:b/>
                <w:color w:val="000000" w:themeColor="text1"/>
                <w:szCs w:val="16"/>
              </w:rPr>
              <w:t>2024</w:t>
            </w:r>
          </w:p>
        </w:tc>
        <w:tc>
          <w:tcPr>
            <w:tcW w:w="1430" w:type="pct"/>
          </w:tcPr>
          <w:p w14:paraId="1D78C038" w14:textId="34E0A4B6" w:rsidR="00233EFB" w:rsidRPr="00781112" w:rsidRDefault="00233EFB" w:rsidP="00AF574F">
            <w:pPr>
              <w:jc w:val="center"/>
              <w:rPr>
                <w:b/>
                <w:color w:val="000000" w:themeColor="text1"/>
              </w:rPr>
            </w:pPr>
            <w:r w:rsidRPr="00781112">
              <w:rPr>
                <w:rFonts w:cs="Arial"/>
                <w:b/>
                <w:color w:val="000000" w:themeColor="text1"/>
                <w:szCs w:val="16"/>
              </w:rPr>
              <w:t>2025</w:t>
            </w:r>
          </w:p>
        </w:tc>
      </w:tr>
      <w:tr w:rsidR="00233EFB" w:rsidRPr="00781112" w14:paraId="7E2B073B" w14:textId="0B5C632B" w:rsidTr="00FE4611">
        <w:trPr>
          <w:trHeight w:val="396"/>
        </w:trPr>
        <w:tc>
          <w:tcPr>
            <w:tcW w:w="708" w:type="pct"/>
            <w:shd w:val="clear" w:color="auto" w:fill="auto"/>
          </w:tcPr>
          <w:p w14:paraId="0DC64663" w14:textId="2175F0A9" w:rsidR="00233EFB" w:rsidRPr="00781112" w:rsidRDefault="00233EFB" w:rsidP="00BA3DBE">
            <w:pPr>
              <w:jc w:val="center"/>
              <w:rPr>
                <w:rFonts w:cs="Arial"/>
                <w:color w:val="000000" w:themeColor="text1"/>
                <w:szCs w:val="16"/>
              </w:rPr>
            </w:pPr>
            <w:r w:rsidRPr="00781112">
              <w:rPr>
                <w:rFonts w:cs="Arial"/>
                <w:color w:val="000000" w:themeColor="text1"/>
                <w:szCs w:val="16"/>
              </w:rPr>
              <w:t>Target A &gt;=</w:t>
            </w:r>
          </w:p>
        </w:tc>
        <w:tc>
          <w:tcPr>
            <w:tcW w:w="1431" w:type="pct"/>
            <w:shd w:val="clear" w:color="auto" w:fill="auto"/>
            <w:vAlign w:val="center"/>
          </w:tcPr>
          <w:p w14:paraId="0A86FFC3" w14:textId="4AE9585E" w:rsidR="00233EFB" w:rsidRPr="00781112" w:rsidRDefault="00233EFB" w:rsidP="00AF574F">
            <w:pPr>
              <w:jc w:val="center"/>
              <w:rPr>
                <w:rFonts w:cs="Arial"/>
                <w:color w:val="000000" w:themeColor="text1"/>
                <w:szCs w:val="16"/>
              </w:rPr>
            </w:pPr>
            <w:r w:rsidRPr="00781112">
              <w:rPr>
                <w:rFonts w:cs="Arial"/>
                <w:color w:val="000000" w:themeColor="text1"/>
                <w:szCs w:val="16"/>
              </w:rPr>
              <w:t>22.03%</w:t>
            </w:r>
          </w:p>
        </w:tc>
        <w:tc>
          <w:tcPr>
            <w:tcW w:w="1431" w:type="pct"/>
          </w:tcPr>
          <w:p w14:paraId="72551055" w14:textId="7A9EF926" w:rsidR="00233EFB" w:rsidRPr="00781112" w:rsidRDefault="00233EFB" w:rsidP="00AF574F">
            <w:pPr>
              <w:jc w:val="center"/>
              <w:rPr>
                <w:rFonts w:cs="Arial"/>
                <w:color w:val="000000" w:themeColor="text1"/>
                <w:szCs w:val="16"/>
              </w:rPr>
            </w:pPr>
            <w:r w:rsidRPr="00781112">
              <w:rPr>
                <w:color w:val="000000" w:themeColor="text1"/>
                <w:szCs w:val="16"/>
              </w:rPr>
              <w:t>23.03%</w:t>
            </w:r>
          </w:p>
        </w:tc>
        <w:tc>
          <w:tcPr>
            <w:tcW w:w="1430" w:type="pct"/>
          </w:tcPr>
          <w:p w14:paraId="4460710F" w14:textId="653162EA" w:rsidR="00233EFB" w:rsidRPr="00781112" w:rsidRDefault="00233EFB" w:rsidP="00AF574F">
            <w:pPr>
              <w:jc w:val="center"/>
              <w:rPr>
                <w:rFonts w:cs="Arial"/>
                <w:color w:val="000000" w:themeColor="text1"/>
                <w:szCs w:val="16"/>
              </w:rPr>
            </w:pPr>
            <w:r w:rsidRPr="00781112">
              <w:rPr>
                <w:color w:val="000000" w:themeColor="text1"/>
                <w:szCs w:val="16"/>
              </w:rPr>
              <w:t>24.03%</w:t>
            </w:r>
          </w:p>
        </w:tc>
      </w:tr>
      <w:tr w:rsidR="00233EFB" w:rsidRPr="00781112" w14:paraId="0314BAE3" w14:textId="455C9C0A" w:rsidTr="00FE4611">
        <w:trPr>
          <w:trHeight w:val="396"/>
        </w:trPr>
        <w:tc>
          <w:tcPr>
            <w:tcW w:w="708" w:type="pct"/>
            <w:shd w:val="clear" w:color="auto" w:fill="auto"/>
          </w:tcPr>
          <w:p w14:paraId="53C1536D" w14:textId="615A342B" w:rsidR="00233EFB" w:rsidRPr="00781112" w:rsidRDefault="00233EFB" w:rsidP="00BA3DBE">
            <w:pPr>
              <w:jc w:val="center"/>
              <w:rPr>
                <w:rFonts w:cs="Arial"/>
                <w:color w:val="000000" w:themeColor="text1"/>
                <w:szCs w:val="16"/>
              </w:rPr>
            </w:pPr>
            <w:r w:rsidRPr="00781112">
              <w:rPr>
                <w:rFonts w:cs="Arial"/>
                <w:color w:val="000000" w:themeColor="text1"/>
                <w:szCs w:val="16"/>
              </w:rPr>
              <w:t>Target B &gt;=</w:t>
            </w:r>
          </w:p>
        </w:tc>
        <w:tc>
          <w:tcPr>
            <w:tcW w:w="1431" w:type="pct"/>
            <w:shd w:val="clear" w:color="auto" w:fill="auto"/>
            <w:vAlign w:val="center"/>
          </w:tcPr>
          <w:p w14:paraId="3AAA5324" w14:textId="5539646A" w:rsidR="00233EFB" w:rsidRPr="00781112" w:rsidRDefault="00233EFB" w:rsidP="00AF574F">
            <w:pPr>
              <w:jc w:val="center"/>
              <w:rPr>
                <w:rFonts w:cs="Arial"/>
                <w:color w:val="000000" w:themeColor="text1"/>
                <w:szCs w:val="16"/>
              </w:rPr>
            </w:pPr>
            <w:r w:rsidRPr="00781112">
              <w:rPr>
                <w:rFonts w:cs="Arial"/>
                <w:color w:val="000000" w:themeColor="text1"/>
                <w:szCs w:val="16"/>
              </w:rPr>
              <w:t>53.69%</w:t>
            </w:r>
          </w:p>
        </w:tc>
        <w:tc>
          <w:tcPr>
            <w:tcW w:w="1431" w:type="pct"/>
          </w:tcPr>
          <w:p w14:paraId="0CDB15F6" w14:textId="4F01BE13" w:rsidR="00233EFB" w:rsidRPr="00781112" w:rsidRDefault="00233EFB" w:rsidP="00AF574F">
            <w:pPr>
              <w:jc w:val="center"/>
              <w:rPr>
                <w:rFonts w:cs="Arial"/>
                <w:color w:val="000000" w:themeColor="text1"/>
                <w:szCs w:val="16"/>
              </w:rPr>
            </w:pPr>
            <w:r w:rsidRPr="00781112">
              <w:rPr>
                <w:color w:val="000000" w:themeColor="text1"/>
                <w:szCs w:val="16"/>
              </w:rPr>
              <w:t>55.69%</w:t>
            </w:r>
          </w:p>
        </w:tc>
        <w:tc>
          <w:tcPr>
            <w:tcW w:w="1430" w:type="pct"/>
          </w:tcPr>
          <w:p w14:paraId="4BE6282D" w14:textId="241D14B5" w:rsidR="00233EFB" w:rsidRPr="00781112" w:rsidRDefault="00233EFB" w:rsidP="00AF574F">
            <w:pPr>
              <w:jc w:val="center"/>
              <w:rPr>
                <w:rFonts w:cs="Arial"/>
                <w:color w:val="000000" w:themeColor="text1"/>
                <w:szCs w:val="16"/>
              </w:rPr>
            </w:pPr>
            <w:r w:rsidRPr="00781112">
              <w:rPr>
                <w:color w:val="000000" w:themeColor="text1"/>
                <w:szCs w:val="16"/>
              </w:rPr>
              <w:t>57.69%</w:t>
            </w:r>
          </w:p>
        </w:tc>
      </w:tr>
      <w:tr w:rsidR="00233EFB" w:rsidRPr="00781112" w14:paraId="571B685C" w14:textId="45446171" w:rsidTr="00FE4611">
        <w:trPr>
          <w:trHeight w:val="396"/>
        </w:trPr>
        <w:tc>
          <w:tcPr>
            <w:tcW w:w="708" w:type="pct"/>
            <w:shd w:val="clear" w:color="auto" w:fill="auto"/>
          </w:tcPr>
          <w:p w14:paraId="4D525255" w14:textId="5D1105EA" w:rsidR="00233EFB" w:rsidRPr="00781112" w:rsidRDefault="00233EFB" w:rsidP="00BA3DBE">
            <w:pPr>
              <w:jc w:val="center"/>
              <w:rPr>
                <w:rFonts w:cs="Arial"/>
                <w:color w:val="000000" w:themeColor="text1"/>
                <w:szCs w:val="16"/>
              </w:rPr>
            </w:pPr>
            <w:r w:rsidRPr="00781112">
              <w:rPr>
                <w:rFonts w:cs="Arial"/>
                <w:color w:val="000000" w:themeColor="text1"/>
                <w:szCs w:val="16"/>
              </w:rPr>
              <w:t>Target C &gt;=</w:t>
            </w:r>
          </w:p>
        </w:tc>
        <w:tc>
          <w:tcPr>
            <w:tcW w:w="1431" w:type="pct"/>
            <w:shd w:val="clear" w:color="auto" w:fill="auto"/>
            <w:vAlign w:val="center"/>
          </w:tcPr>
          <w:p w14:paraId="6A2D65BD" w14:textId="1F6D3E1F" w:rsidR="00233EFB" w:rsidRPr="00781112" w:rsidRDefault="00233EFB" w:rsidP="00AF574F">
            <w:pPr>
              <w:jc w:val="center"/>
              <w:rPr>
                <w:rFonts w:cs="Arial"/>
                <w:color w:val="000000" w:themeColor="text1"/>
                <w:szCs w:val="16"/>
              </w:rPr>
            </w:pPr>
            <w:r w:rsidRPr="00781112">
              <w:rPr>
                <w:rFonts w:cs="Arial"/>
                <w:color w:val="000000" w:themeColor="text1"/>
                <w:szCs w:val="16"/>
              </w:rPr>
              <w:t>72.51%</w:t>
            </w:r>
          </w:p>
        </w:tc>
        <w:tc>
          <w:tcPr>
            <w:tcW w:w="1431" w:type="pct"/>
          </w:tcPr>
          <w:p w14:paraId="6B5B030A" w14:textId="41C6CE98" w:rsidR="00233EFB" w:rsidRPr="00781112" w:rsidRDefault="00233EFB" w:rsidP="00AF574F">
            <w:pPr>
              <w:jc w:val="center"/>
              <w:rPr>
                <w:rFonts w:cs="Arial"/>
                <w:color w:val="000000" w:themeColor="text1"/>
                <w:szCs w:val="16"/>
              </w:rPr>
            </w:pPr>
            <w:r w:rsidRPr="00781112">
              <w:rPr>
                <w:color w:val="000000" w:themeColor="text1"/>
                <w:szCs w:val="16"/>
              </w:rPr>
              <w:t>73.01%</w:t>
            </w:r>
          </w:p>
        </w:tc>
        <w:tc>
          <w:tcPr>
            <w:tcW w:w="1430" w:type="pct"/>
          </w:tcPr>
          <w:p w14:paraId="1D90926B" w14:textId="034D06FC" w:rsidR="00233EFB" w:rsidRPr="00781112" w:rsidRDefault="00233EFB" w:rsidP="00AF574F">
            <w:pPr>
              <w:jc w:val="center"/>
              <w:rPr>
                <w:rFonts w:cs="Arial"/>
                <w:color w:val="000000" w:themeColor="text1"/>
                <w:szCs w:val="16"/>
              </w:rPr>
            </w:pPr>
            <w:r w:rsidRPr="00781112">
              <w:rPr>
                <w:color w:val="000000" w:themeColor="text1"/>
                <w:szCs w:val="16"/>
              </w:rPr>
              <w:t>73.51%</w:t>
            </w:r>
          </w:p>
        </w:tc>
      </w:tr>
    </w:tbl>
    <w:p w14:paraId="007E6F50" w14:textId="125782E4" w:rsidR="000A2C83" w:rsidRPr="00781112" w:rsidRDefault="000A2C83" w:rsidP="004369B2">
      <w:pPr>
        <w:rPr>
          <w:b/>
          <w:color w:val="000000" w:themeColor="text1"/>
        </w:rPr>
      </w:pPr>
      <w:r w:rsidRPr="00781112">
        <w:rPr>
          <w:b/>
          <w:color w:val="000000" w:themeColor="text1"/>
        </w:rPr>
        <w:t xml:space="preserve">Targets: Description of Stakeholder Input </w:t>
      </w:r>
    </w:p>
    <w:p w14:paraId="262FFC50" w14:textId="3E779EE8" w:rsidR="000A2C83" w:rsidRPr="00781112" w:rsidRDefault="002B7490" w:rsidP="000A2C83">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w:t>
      </w:r>
      <w:r w:rsidRPr="00781112">
        <w:rPr>
          <w:rFonts w:cs="Arial"/>
          <w:color w:val="000000" w:themeColor="text1"/>
          <w:szCs w:val="16"/>
        </w:rPr>
        <w:lastRenderedPageBreak/>
        <w:t xml:space="preserve">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FFY 2023</w:t>
      </w:r>
      <w:r w:rsidRPr="00781112">
        <w:rPr>
          <w:rFonts w:cs="Arial"/>
          <w:color w:val="000000" w:themeColor="text1"/>
          <w:szCs w:val="16"/>
        </w:rPr>
        <w:br/>
        <w:t>Stakeholders did not express interest in revising the Post-School Outcomes targets during any meetings throughout the reporting period; however, WVDE/OSE is receptive to any potential concerns or recommendations that stakeholders may have regarding these targets.</w:t>
      </w:r>
    </w:p>
    <w:p w14:paraId="4522ADD4" w14:textId="77777777" w:rsidR="00E448E9" w:rsidRPr="00781112" w:rsidRDefault="00E448E9" w:rsidP="004369B2">
      <w:pPr>
        <w:rPr>
          <w:color w:val="000000" w:themeColor="text1"/>
        </w:rPr>
      </w:pPr>
      <w:bookmarkStart w:id="85" w:name="_Toc392159337"/>
    </w:p>
    <w:bookmarkEnd w:id="85"/>
    <w:p w14:paraId="4202DC3A" w14:textId="074C22DE" w:rsidR="00A03EFA" w:rsidRPr="00781112" w:rsidRDefault="0047313F" w:rsidP="004369B2">
      <w:pPr>
        <w:rPr>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4CFFYAPRDATA"/>
      </w:tblPr>
      <w:tblGrid>
        <w:gridCol w:w="8395"/>
        <w:gridCol w:w="2395"/>
      </w:tblGrid>
      <w:tr w:rsidR="00090132" w:rsidRPr="00781112" w14:paraId="207EB2D1" w14:textId="77777777" w:rsidTr="00090132">
        <w:tc>
          <w:tcPr>
            <w:tcW w:w="3890" w:type="pct"/>
            <w:vAlign w:val="center"/>
          </w:tcPr>
          <w:p w14:paraId="67362B4A" w14:textId="3209EFE1" w:rsidR="00090132" w:rsidRPr="00781112" w:rsidRDefault="00090132" w:rsidP="00090132">
            <w:pPr>
              <w:keepNext/>
              <w:rPr>
                <w:rFonts w:cs="Arial"/>
                <w:color w:val="000000" w:themeColor="text1"/>
                <w:szCs w:val="16"/>
              </w:rPr>
            </w:pPr>
            <w:r>
              <w:rPr>
                <w:rFonts w:cs="Arial"/>
                <w:szCs w:val="16"/>
              </w:rPr>
              <w:t>Total</w:t>
            </w:r>
            <w:r w:rsidRPr="000B10B6">
              <w:rPr>
                <w:rFonts w:eastAsia="Times New Roman" w:cs="Arial"/>
                <w:szCs w:val="16"/>
              </w:rPr>
              <w:t xml:space="preserve"> number of targeted youth in the sample or census</w:t>
            </w:r>
          </w:p>
        </w:tc>
        <w:tc>
          <w:tcPr>
            <w:tcW w:w="1110" w:type="pct"/>
            <w:vAlign w:val="center"/>
          </w:tcPr>
          <w:p w14:paraId="2427A8AD" w14:textId="54179547" w:rsidR="00090132" w:rsidRPr="00781112" w:rsidRDefault="00090132" w:rsidP="00090132">
            <w:pPr>
              <w:jc w:val="center"/>
              <w:rPr>
                <w:rFonts w:cs="Arial"/>
                <w:color w:val="000000" w:themeColor="text1"/>
                <w:szCs w:val="16"/>
              </w:rPr>
            </w:pPr>
            <w:r>
              <w:rPr>
                <w:rFonts w:cs="Arial"/>
                <w:color w:val="000000" w:themeColor="text1"/>
                <w:szCs w:val="16"/>
              </w:rPr>
              <w:t>2,678</w:t>
            </w:r>
          </w:p>
        </w:tc>
      </w:tr>
      <w:tr w:rsidR="00090132" w:rsidRPr="00781112" w14:paraId="4BEBCF45" w14:textId="77777777" w:rsidTr="00090132">
        <w:tc>
          <w:tcPr>
            <w:tcW w:w="3890" w:type="pct"/>
            <w:vAlign w:val="center"/>
          </w:tcPr>
          <w:p w14:paraId="362898CB" w14:textId="77777777" w:rsidR="00090132" w:rsidRPr="00781112" w:rsidRDefault="00090132" w:rsidP="00090132">
            <w:pPr>
              <w:keepNext/>
              <w:rPr>
                <w:rFonts w:cs="Arial"/>
                <w:color w:val="000000" w:themeColor="text1"/>
                <w:szCs w:val="16"/>
              </w:rPr>
            </w:pPr>
            <w:r w:rsidRPr="00781112">
              <w:rPr>
                <w:rFonts w:cs="Arial"/>
                <w:color w:val="000000" w:themeColor="text1"/>
                <w:szCs w:val="16"/>
              </w:rPr>
              <w:t>Number of respondent youth who are no longer in secondary school and had IEPs in effect at the time they left school</w:t>
            </w:r>
          </w:p>
        </w:tc>
        <w:tc>
          <w:tcPr>
            <w:tcW w:w="1110" w:type="pct"/>
            <w:vAlign w:val="center"/>
          </w:tcPr>
          <w:p w14:paraId="4E7A7BCA" w14:textId="4D8CFE95" w:rsidR="00090132" w:rsidRPr="00781112" w:rsidRDefault="00090132" w:rsidP="00090132">
            <w:pPr>
              <w:jc w:val="center"/>
              <w:rPr>
                <w:rFonts w:cs="Arial"/>
                <w:color w:val="000000" w:themeColor="text1"/>
                <w:szCs w:val="16"/>
              </w:rPr>
            </w:pPr>
            <w:r w:rsidRPr="00781112">
              <w:rPr>
                <w:rFonts w:cs="Arial"/>
                <w:color w:val="000000" w:themeColor="text1"/>
                <w:szCs w:val="16"/>
              </w:rPr>
              <w:t>2,092</w:t>
            </w:r>
          </w:p>
        </w:tc>
      </w:tr>
      <w:tr w:rsidR="00090132" w:rsidRPr="00781112" w14:paraId="099154C0" w14:textId="77777777" w:rsidTr="00090132">
        <w:tc>
          <w:tcPr>
            <w:tcW w:w="3890" w:type="pct"/>
            <w:vAlign w:val="center"/>
          </w:tcPr>
          <w:p w14:paraId="5A4C399B" w14:textId="5923727A" w:rsidR="00090132" w:rsidRPr="00781112" w:rsidRDefault="00090132" w:rsidP="00090132">
            <w:pPr>
              <w:rPr>
                <w:rFonts w:cs="Arial"/>
                <w:color w:val="000000" w:themeColor="text1"/>
                <w:szCs w:val="16"/>
              </w:rPr>
            </w:pPr>
            <w:r>
              <w:rPr>
                <w:rFonts w:cs="Arial"/>
                <w:szCs w:val="16"/>
              </w:rPr>
              <w:t>Response Rate</w:t>
            </w:r>
          </w:p>
        </w:tc>
        <w:tc>
          <w:tcPr>
            <w:tcW w:w="1110" w:type="pct"/>
            <w:vAlign w:val="center"/>
          </w:tcPr>
          <w:p w14:paraId="394AE71F" w14:textId="54DFC261" w:rsidR="00090132" w:rsidRPr="00781112" w:rsidRDefault="00090132" w:rsidP="00090132">
            <w:pPr>
              <w:jc w:val="center"/>
              <w:rPr>
                <w:rFonts w:cs="Arial"/>
                <w:color w:val="000000" w:themeColor="text1"/>
                <w:szCs w:val="16"/>
              </w:rPr>
            </w:pPr>
            <w:r w:rsidRPr="00ED172B">
              <w:rPr>
                <w:rFonts w:cs="Arial"/>
                <w:color w:val="000000" w:themeColor="text1"/>
                <w:szCs w:val="16"/>
              </w:rPr>
              <w:t>78.12%</w:t>
            </w:r>
          </w:p>
        </w:tc>
      </w:tr>
      <w:tr w:rsidR="00090132" w:rsidRPr="00781112" w14:paraId="5E0C2D8D" w14:textId="77777777" w:rsidTr="00090132">
        <w:tc>
          <w:tcPr>
            <w:tcW w:w="3890" w:type="pct"/>
            <w:vAlign w:val="center"/>
          </w:tcPr>
          <w:p w14:paraId="307B7092"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1. Number of respondent youth who enrolled in higher education within one year of leaving high school </w:t>
            </w:r>
          </w:p>
        </w:tc>
        <w:tc>
          <w:tcPr>
            <w:tcW w:w="1110" w:type="pct"/>
            <w:vAlign w:val="center"/>
          </w:tcPr>
          <w:p w14:paraId="0A9A571A" w14:textId="2C7C274B" w:rsidR="00090132" w:rsidRPr="00781112" w:rsidRDefault="00090132" w:rsidP="00090132">
            <w:pPr>
              <w:jc w:val="center"/>
              <w:rPr>
                <w:rFonts w:cs="Arial"/>
                <w:color w:val="000000" w:themeColor="text1"/>
                <w:szCs w:val="16"/>
              </w:rPr>
            </w:pPr>
            <w:r w:rsidRPr="00781112">
              <w:rPr>
                <w:rFonts w:cs="Arial"/>
                <w:color w:val="000000" w:themeColor="text1"/>
                <w:szCs w:val="16"/>
              </w:rPr>
              <w:t>392</w:t>
            </w:r>
          </w:p>
        </w:tc>
      </w:tr>
      <w:tr w:rsidR="00090132" w:rsidRPr="00781112" w14:paraId="7827FDF9" w14:textId="77777777" w:rsidTr="00090132">
        <w:tc>
          <w:tcPr>
            <w:tcW w:w="3890" w:type="pct"/>
            <w:vAlign w:val="center"/>
          </w:tcPr>
          <w:p w14:paraId="143C6167"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2. Number of respondent youth who competitively employed within one year of leaving high school </w:t>
            </w:r>
          </w:p>
        </w:tc>
        <w:tc>
          <w:tcPr>
            <w:tcW w:w="1110" w:type="pct"/>
            <w:vAlign w:val="center"/>
          </w:tcPr>
          <w:p w14:paraId="6B716476" w14:textId="340D4859" w:rsidR="00090132" w:rsidRPr="00781112" w:rsidRDefault="00090132" w:rsidP="00090132">
            <w:pPr>
              <w:jc w:val="center"/>
              <w:rPr>
                <w:rFonts w:cs="Arial"/>
                <w:color w:val="000000" w:themeColor="text1"/>
                <w:szCs w:val="16"/>
              </w:rPr>
            </w:pPr>
            <w:r w:rsidRPr="00781112">
              <w:rPr>
                <w:rFonts w:cs="Arial"/>
                <w:color w:val="000000" w:themeColor="text1"/>
                <w:szCs w:val="16"/>
              </w:rPr>
              <w:t>820</w:t>
            </w:r>
          </w:p>
        </w:tc>
      </w:tr>
      <w:tr w:rsidR="00090132" w:rsidRPr="00781112" w14:paraId="5F3556EC" w14:textId="77777777" w:rsidTr="00090132">
        <w:tc>
          <w:tcPr>
            <w:tcW w:w="3890" w:type="pct"/>
            <w:vAlign w:val="center"/>
          </w:tcPr>
          <w:p w14:paraId="31472415" w14:textId="77777777" w:rsidR="00090132" w:rsidRPr="00781112" w:rsidRDefault="00090132" w:rsidP="00090132">
            <w:pPr>
              <w:rPr>
                <w:rFonts w:cs="Arial"/>
                <w:color w:val="000000" w:themeColor="text1"/>
                <w:szCs w:val="16"/>
              </w:rPr>
            </w:pPr>
            <w:r w:rsidRPr="00781112">
              <w:rPr>
                <w:rFonts w:cs="Arial"/>
                <w:color w:val="000000" w:themeColor="text1"/>
                <w:szCs w:val="16"/>
              </w:rPr>
              <w:t>3. Number of respondent youth enrolled in some other postsecondary education or training program within one year of leaving high school (but not enrolled in higher education or competitively employed)</w:t>
            </w:r>
          </w:p>
        </w:tc>
        <w:tc>
          <w:tcPr>
            <w:tcW w:w="1110" w:type="pct"/>
            <w:vAlign w:val="center"/>
          </w:tcPr>
          <w:p w14:paraId="113FFF64" w14:textId="3A694BE0" w:rsidR="00090132" w:rsidRPr="00781112" w:rsidRDefault="00090132" w:rsidP="00090132">
            <w:pPr>
              <w:jc w:val="center"/>
              <w:rPr>
                <w:rFonts w:cs="Arial"/>
                <w:color w:val="000000" w:themeColor="text1"/>
                <w:szCs w:val="16"/>
              </w:rPr>
            </w:pPr>
            <w:r w:rsidRPr="00781112">
              <w:rPr>
                <w:rFonts w:cs="Arial"/>
                <w:color w:val="000000" w:themeColor="text1"/>
                <w:szCs w:val="16"/>
              </w:rPr>
              <w:t>84</w:t>
            </w:r>
          </w:p>
        </w:tc>
      </w:tr>
      <w:tr w:rsidR="00090132" w:rsidRPr="00781112" w14:paraId="781804C6" w14:textId="77777777" w:rsidTr="00090132">
        <w:tc>
          <w:tcPr>
            <w:tcW w:w="3890" w:type="pct"/>
            <w:vAlign w:val="center"/>
          </w:tcPr>
          <w:p w14:paraId="1C549366" w14:textId="77777777" w:rsidR="00090132" w:rsidRPr="00781112" w:rsidRDefault="00090132" w:rsidP="00090132">
            <w:pPr>
              <w:rPr>
                <w:rFonts w:cs="Arial"/>
                <w:color w:val="000000" w:themeColor="text1"/>
                <w:szCs w:val="16"/>
              </w:rPr>
            </w:pPr>
            <w:r w:rsidRPr="00781112">
              <w:rPr>
                <w:rFonts w:cs="Arial"/>
                <w:color w:val="000000" w:themeColor="text1"/>
                <w:szCs w:val="16"/>
              </w:rPr>
              <w:t>4. Number of respondent youth who are in some other employment within one year of leaving high school (but not enrolled in higher education, some other postsecondary education or training program, or competitively employed).</w:t>
            </w:r>
          </w:p>
        </w:tc>
        <w:tc>
          <w:tcPr>
            <w:tcW w:w="1110" w:type="pct"/>
            <w:vAlign w:val="center"/>
          </w:tcPr>
          <w:p w14:paraId="73A7669A" w14:textId="69DC744F" w:rsidR="00090132" w:rsidRPr="00781112" w:rsidRDefault="00090132" w:rsidP="00090132">
            <w:pPr>
              <w:jc w:val="center"/>
              <w:rPr>
                <w:rFonts w:cs="Arial"/>
                <w:color w:val="000000" w:themeColor="text1"/>
                <w:szCs w:val="16"/>
              </w:rPr>
            </w:pPr>
            <w:r w:rsidRPr="00781112">
              <w:rPr>
                <w:rFonts w:cs="Arial"/>
                <w:color w:val="000000" w:themeColor="text1"/>
                <w:szCs w:val="16"/>
              </w:rPr>
              <w:t>289</w:t>
            </w:r>
          </w:p>
        </w:tc>
      </w:tr>
    </w:tbl>
    <w:p w14:paraId="4C7C103F"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CFFYAPRDATA1"/>
      </w:tblPr>
      <w:tblGrid>
        <w:gridCol w:w="1348"/>
        <w:gridCol w:w="1348"/>
        <w:gridCol w:w="1349"/>
        <w:gridCol w:w="1349"/>
        <w:gridCol w:w="1349"/>
        <w:gridCol w:w="1349"/>
        <w:gridCol w:w="1349"/>
        <w:gridCol w:w="1349"/>
      </w:tblGrid>
      <w:tr w:rsidR="00B1652C" w:rsidRPr="00781112" w14:paraId="5EEC1BAF" w14:textId="0A8A2949" w:rsidTr="0033429D">
        <w:trPr>
          <w:trHeight w:val="358"/>
          <w:tblHeader/>
        </w:trPr>
        <w:tc>
          <w:tcPr>
            <w:tcW w:w="625" w:type="pct"/>
            <w:shd w:val="clear" w:color="auto" w:fill="auto"/>
            <w:vAlign w:val="bottom"/>
          </w:tcPr>
          <w:p w14:paraId="4E882584" w14:textId="038C3477" w:rsidR="00B1652C" w:rsidRPr="00781112" w:rsidRDefault="00B1652C" w:rsidP="00B1652C">
            <w:pPr>
              <w:jc w:val="center"/>
              <w:rPr>
                <w:rFonts w:cs="Arial"/>
                <w:b/>
                <w:color w:val="000000" w:themeColor="text1"/>
                <w:szCs w:val="16"/>
              </w:rPr>
            </w:pPr>
            <w:r w:rsidRPr="00781112">
              <w:rPr>
                <w:rFonts w:cs="Arial"/>
                <w:b/>
                <w:color w:val="000000" w:themeColor="text1"/>
                <w:szCs w:val="16"/>
              </w:rPr>
              <w:t>Measure</w:t>
            </w:r>
          </w:p>
        </w:tc>
        <w:tc>
          <w:tcPr>
            <w:tcW w:w="625" w:type="pct"/>
            <w:shd w:val="clear" w:color="auto" w:fill="auto"/>
            <w:vAlign w:val="bottom"/>
          </w:tcPr>
          <w:p w14:paraId="5814109E"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w:t>
            </w:r>
          </w:p>
        </w:tc>
        <w:tc>
          <w:tcPr>
            <w:tcW w:w="625" w:type="pct"/>
            <w:shd w:val="clear" w:color="auto" w:fill="auto"/>
            <w:vAlign w:val="bottom"/>
          </w:tcPr>
          <w:p w14:paraId="14CE6B2C"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 who are no longer in secondary school and had IEPs in effect at the time they left school</w:t>
            </w:r>
          </w:p>
        </w:tc>
        <w:tc>
          <w:tcPr>
            <w:tcW w:w="625" w:type="pct"/>
            <w:shd w:val="clear" w:color="auto" w:fill="auto"/>
            <w:vAlign w:val="bottom"/>
          </w:tcPr>
          <w:p w14:paraId="12E02A36" w14:textId="0EE25427" w:rsidR="00B1652C" w:rsidRPr="006D0A52" w:rsidRDefault="00B1652C" w:rsidP="00B1652C">
            <w:pPr>
              <w:jc w:val="center"/>
              <w:rPr>
                <w:rFonts w:cs="Arial"/>
                <w:b/>
                <w:bCs/>
                <w:color w:val="000000" w:themeColor="text1"/>
                <w:szCs w:val="16"/>
              </w:rPr>
            </w:pPr>
            <w:r w:rsidRPr="006D0A52">
              <w:rPr>
                <w:b/>
                <w:bCs/>
              </w:rPr>
              <w:t>FFY 2022 Data</w:t>
            </w:r>
          </w:p>
        </w:tc>
        <w:tc>
          <w:tcPr>
            <w:tcW w:w="625" w:type="pct"/>
            <w:shd w:val="clear" w:color="auto" w:fill="auto"/>
            <w:vAlign w:val="bottom"/>
          </w:tcPr>
          <w:p w14:paraId="5152926B" w14:textId="1BC303CF" w:rsidR="00B1652C" w:rsidRPr="006D0A52" w:rsidRDefault="00B1652C" w:rsidP="00B1652C">
            <w:pPr>
              <w:jc w:val="center"/>
              <w:rPr>
                <w:rFonts w:cs="Arial"/>
                <w:b/>
                <w:bCs/>
                <w:color w:val="000000" w:themeColor="text1"/>
                <w:szCs w:val="16"/>
              </w:rPr>
            </w:pPr>
            <w:r w:rsidRPr="006D0A52">
              <w:rPr>
                <w:b/>
                <w:bCs/>
              </w:rPr>
              <w:t>FFY 2023 Target</w:t>
            </w:r>
          </w:p>
        </w:tc>
        <w:tc>
          <w:tcPr>
            <w:tcW w:w="625" w:type="pct"/>
            <w:shd w:val="clear" w:color="auto" w:fill="auto"/>
            <w:vAlign w:val="bottom"/>
          </w:tcPr>
          <w:p w14:paraId="520BBB1B" w14:textId="2375D30C" w:rsidR="00B1652C" w:rsidRPr="006D0A52" w:rsidRDefault="00B1652C" w:rsidP="00B1652C">
            <w:pPr>
              <w:jc w:val="center"/>
              <w:rPr>
                <w:rFonts w:cs="Arial"/>
                <w:b/>
                <w:bCs/>
                <w:color w:val="000000" w:themeColor="text1"/>
                <w:szCs w:val="16"/>
              </w:rPr>
            </w:pPr>
            <w:r w:rsidRPr="006D0A52">
              <w:rPr>
                <w:b/>
                <w:bCs/>
              </w:rPr>
              <w:t>FFY 2023 Data</w:t>
            </w:r>
          </w:p>
        </w:tc>
        <w:tc>
          <w:tcPr>
            <w:tcW w:w="625" w:type="pct"/>
            <w:shd w:val="clear" w:color="auto" w:fill="auto"/>
            <w:vAlign w:val="bottom"/>
          </w:tcPr>
          <w:p w14:paraId="4E9CD96E" w14:textId="648B12F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625" w:type="pct"/>
            <w:shd w:val="clear" w:color="auto" w:fill="auto"/>
            <w:vAlign w:val="bottom"/>
          </w:tcPr>
          <w:p w14:paraId="715E8BB1" w14:textId="2FE9D03B"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2526E003" w14:textId="5321EBA7" w:rsidTr="0033429D">
        <w:trPr>
          <w:trHeight w:val="365"/>
        </w:trPr>
        <w:tc>
          <w:tcPr>
            <w:tcW w:w="625" w:type="pct"/>
            <w:shd w:val="clear" w:color="auto" w:fill="auto"/>
            <w:vAlign w:val="center"/>
          </w:tcPr>
          <w:p w14:paraId="4322DAA7" w14:textId="775B971A" w:rsidR="00C66181" w:rsidRPr="00781112" w:rsidRDefault="00C66181" w:rsidP="00C66181">
            <w:pPr>
              <w:rPr>
                <w:rFonts w:cs="Arial"/>
                <w:color w:val="000000" w:themeColor="text1"/>
                <w:szCs w:val="16"/>
              </w:rPr>
            </w:pPr>
            <w:r w:rsidRPr="00781112">
              <w:rPr>
                <w:rFonts w:cs="Arial"/>
                <w:color w:val="000000" w:themeColor="text1"/>
                <w:szCs w:val="16"/>
              </w:rPr>
              <w:t>A. Enrolled in higher education (1)</w:t>
            </w:r>
          </w:p>
        </w:tc>
        <w:tc>
          <w:tcPr>
            <w:tcW w:w="625" w:type="pct"/>
            <w:shd w:val="clear" w:color="auto" w:fill="auto"/>
            <w:vAlign w:val="center"/>
          </w:tcPr>
          <w:p w14:paraId="2B2B0998" w14:textId="349D0F93" w:rsidR="00C66181" w:rsidRPr="00781112" w:rsidRDefault="002B7490" w:rsidP="00A018D4">
            <w:pPr>
              <w:jc w:val="center"/>
              <w:rPr>
                <w:rFonts w:cs="Arial"/>
                <w:color w:val="000000" w:themeColor="text1"/>
                <w:szCs w:val="16"/>
              </w:rPr>
            </w:pPr>
            <w:r w:rsidRPr="00781112">
              <w:rPr>
                <w:rFonts w:cs="Arial"/>
                <w:color w:val="000000" w:themeColor="text1"/>
                <w:szCs w:val="16"/>
              </w:rPr>
              <w:t>392</w:t>
            </w:r>
          </w:p>
        </w:tc>
        <w:tc>
          <w:tcPr>
            <w:tcW w:w="625" w:type="pct"/>
            <w:shd w:val="clear" w:color="auto" w:fill="auto"/>
            <w:vAlign w:val="center"/>
          </w:tcPr>
          <w:p w14:paraId="2D1BC64A" w14:textId="15C5A024" w:rsidR="00C66181" w:rsidRPr="00781112" w:rsidRDefault="002B7490" w:rsidP="00A018D4">
            <w:pPr>
              <w:jc w:val="center"/>
              <w:rPr>
                <w:rFonts w:cs="Arial"/>
                <w:color w:val="000000" w:themeColor="text1"/>
                <w:szCs w:val="16"/>
              </w:rPr>
            </w:pPr>
            <w:r w:rsidRPr="00781112">
              <w:rPr>
                <w:rFonts w:cs="Arial"/>
                <w:color w:val="000000" w:themeColor="text1"/>
                <w:szCs w:val="16"/>
              </w:rPr>
              <w:t>2,092</w:t>
            </w:r>
          </w:p>
        </w:tc>
        <w:tc>
          <w:tcPr>
            <w:tcW w:w="625" w:type="pct"/>
            <w:shd w:val="clear" w:color="auto" w:fill="auto"/>
            <w:vAlign w:val="center"/>
          </w:tcPr>
          <w:p w14:paraId="3243FB0B" w14:textId="028EEEBB" w:rsidR="00C66181" w:rsidRPr="00781112" w:rsidRDefault="002B7490" w:rsidP="00A018D4">
            <w:pPr>
              <w:jc w:val="center"/>
              <w:rPr>
                <w:rFonts w:cs="Arial"/>
                <w:color w:val="000000" w:themeColor="text1"/>
                <w:szCs w:val="16"/>
              </w:rPr>
            </w:pPr>
            <w:r w:rsidRPr="00781112">
              <w:rPr>
                <w:rFonts w:cs="Arial"/>
                <w:color w:val="000000" w:themeColor="text1"/>
                <w:szCs w:val="16"/>
              </w:rPr>
              <w:t>16.49%</w:t>
            </w:r>
          </w:p>
        </w:tc>
        <w:tc>
          <w:tcPr>
            <w:tcW w:w="625" w:type="pct"/>
            <w:shd w:val="clear" w:color="auto" w:fill="auto"/>
            <w:vAlign w:val="center"/>
          </w:tcPr>
          <w:p w14:paraId="7BCB140B" w14:textId="02D0AFDC" w:rsidR="00C66181" w:rsidRPr="00781112" w:rsidRDefault="002B7490" w:rsidP="00A018D4">
            <w:pPr>
              <w:jc w:val="center"/>
              <w:rPr>
                <w:rFonts w:cs="Arial"/>
                <w:color w:val="000000" w:themeColor="text1"/>
                <w:szCs w:val="16"/>
              </w:rPr>
            </w:pPr>
            <w:r w:rsidRPr="00781112">
              <w:rPr>
                <w:rFonts w:cs="Arial"/>
                <w:color w:val="000000" w:themeColor="text1"/>
                <w:szCs w:val="16"/>
              </w:rPr>
              <w:t>22.03%</w:t>
            </w:r>
          </w:p>
        </w:tc>
        <w:tc>
          <w:tcPr>
            <w:tcW w:w="625" w:type="pct"/>
            <w:shd w:val="clear" w:color="auto" w:fill="auto"/>
            <w:vAlign w:val="center"/>
          </w:tcPr>
          <w:p w14:paraId="0D6600A4" w14:textId="4E0FD8C8" w:rsidR="00C66181" w:rsidRPr="00781112" w:rsidRDefault="002B7490" w:rsidP="00A018D4">
            <w:pPr>
              <w:jc w:val="center"/>
              <w:rPr>
                <w:rFonts w:cs="Arial"/>
                <w:color w:val="000000" w:themeColor="text1"/>
                <w:szCs w:val="16"/>
              </w:rPr>
            </w:pPr>
            <w:r w:rsidRPr="00781112">
              <w:rPr>
                <w:rFonts w:cs="Arial"/>
                <w:color w:val="000000" w:themeColor="text1"/>
                <w:szCs w:val="16"/>
              </w:rPr>
              <w:t>18.74%</w:t>
            </w:r>
          </w:p>
        </w:tc>
        <w:tc>
          <w:tcPr>
            <w:tcW w:w="625" w:type="pct"/>
            <w:shd w:val="clear" w:color="auto" w:fill="auto"/>
            <w:vAlign w:val="center"/>
          </w:tcPr>
          <w:p w14:paraId="3C766484" w14:textId="7B272BC5"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575A444D" w14:textId="78F1C14C"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90D8194" w14:textId="3CFB279F" w:rsidTr="0033429D">
        <w:trPr>
          <w:trHeight w:val="365"/>
        </w:trPr>
        <w:tc>
          <w:tcPr>
            <w:tcW w:w="625" w:type="pct"/>
            <w:shd w:val="clear" w:color="auto" w:fill="auto"/>
            <w:vAlign w:val="center"/>
          </w:tcPr>
          <w:p w14:paraId="64A6757D" w14:textId="0FC0A9B9" w:rsidR="00C66181" w:rsidRPr="00781112" w:rsidRDefault="00C66181" w:rsidP="00C66181">
            <w:pPr>
              <w:rPr>
                <w:rFonts w:cs="Arial"/>
                <w:color w:val="000000" w:themeColor="text1"/>
                <w:szCs w:val="16"/>
              </w:rPr>
            </w:pPr>
            <w:r w:rsidRPr="00781112">
              <w:rPr>
                <w:rFonts w:cs="Arial"/>
                <w:color w:val="000000" w:themeColor="text1"/>
                <w:szCs w:val="16"/>
              </w:rPr>
              <w:t>B. Enrolled in higher education or competitively employed within one year of leaving high school (1 +2)</w:t>
            </w:r>
          </w:p>
        </w:tc>
        <w:tc>
          <w:tcPr>
            <w:tcW w:w="625" w:type="pct"/>
            <w:shd w:val="clear" w:color="auto" w:fill="auto"/>
            <w:vAlign w:val="center"/>
          </w:tcPr>
          <w:p w14:paraId="60F6248F" w14:textId="7EC302DD" w:rsidR="00C66181" w:rsidRPr="00781112" w:rsidRDefault="002B7490" w:rsidP="00A018D4">
            <w:pPr>
              <w:jc w:val="center"/>
              <w:rPr>
                <w:rFonts w:cs="Arial"/>
                <w:color w:val="000000" w:themeColor="text1"/>
                <w:szCs w:val="16"/>
              </w:rPr>
            </w:pPr>
            <w:r w:rsidRPr="00781112">
              <w:rPr>
                <w:rFonts w:cs="Arial"/>
                <w:color w:val="000000" w:themeColor="text1"/>
                <w:szCs w:val="16"/>
              </w:rPr>
              <w:t>1,212</w:t>
            </w:r>
          </w:p>
        </w:tc>
        <w:tc>
          <w:tcPr>
            <w:tcW w:w="625" w:type="pct"/>
            <w:shd w:val="clear" w:color="auto" w:fill="auto"/>
            <w:vAlign w:val="center"/>
          </w:tcPr>
          <w:p w14:paraId="5DE56E38" w14:textId="525AF49A" w:rsidR="00C66181" w:rsidRPr="00781112" w:rsidRDefault="002B7490" w:rsidP="00A018D4">
            <w:pPr>
              <w:jc w:val="center"/>
              <w:rPr>
                <w:rFonts w:cs="Arial"/>
                <w:color w:val="000000" w:themeColor="text1"/>
                <w:szCs w:val="16"/>
              </w:rPr>
            </w:pPr>
            <w:r w:rsidRPr="00781112">
              <w:rPr>
                <w:rFonts w:cs="Arial"/>
                <w:color w:val="000000" w:themeColor="text1"/>
                <w:szCs w:val="16"/>
              </w:rPr>
              <w:t>2,092</w:t>
            </w:r>
          </w:p>
        </w:tc>
        <w:tc>
          <w:tcPr>
            <w:tcW w:w="625" w:type="pct"/>
            <w:shd w:val="clear" w:color="auto" w:fill="auto"/>
            <w:vAlign w:val="center"/>
          </w:tcPr>
          <w:p w14:paraId="7FF1FC54" w14:textId="2A5DA1E3" w:rsidR="00C66181" w:rsidRPr="00781112" w:rsidRDefault="002B7490" w:rsidP="00A018D4">
            <w:pPr>
              <w:jc w:val="center"/>
              <w:rPr>
                <w:rFonts w:cs="Arial"/>
                <w:color w:val="000000" w:themeColor="text1"/>
                <w:szCs w:val="16"/>
              </w:rPr>
            </w:pPr>
            <w:r w:rsidRPr="00781112">
              <w:rPr>
                <w:rFonts w:cs="Arial"/>
                <w:color w:val="000000" w:themeColor="text1"/>
                <w:szCs w:val="16"/>
              </w:rPr>
              <w:t>54.10%</w:t>
            </w:r>
          </w:p>
        </w:tc>
        <w:tc>
          <w:tcPr>
            <w:tcW w:w="625" w:type="pct"/>
            <w:shd w:val="clear" w:color="auto" w:fill="auto"/>
            <w:vAlign w:val="center"/>
          </w:tcPr>
          <w:p w14:paraId="296C6AD3" w14:textId="560D60D3" w:rsidR="00C66181" w:rsidRPr="00781112" w:rsidRDefault="002B7490" w:rsidP="00A018D4">
            <w:pPr>
              <w:jc w:val="center"/>
              <w:rPr>
                <w:rFonts w:cs="Arial"/>
                <w:color w:val="000000" w:themeColor="text1"/>
                <w:szCs w:val="16"/>
              </w:rPr>
            </w:pPr>
            <w:r w:rsidRPr="00781112">
              <w:rPr>
                <w:rFonts w:cs="Arial"/>
                <w:color w:val="000000" w:themeColor="text1"/>
                <w:szCs w:val="16"/>
              </w:rPr>
              <w:t>53.69%</w:t>
            </w:r>
          </w:p>
        </w:tc>
        <w:tc>
          <w:tcPr>
            <w:tcW w:w="625" w:type="pct"/>
            <w:shd w:val="clear" w:color="auto" w:fill="auto"/>
            <w:vAlign w:val="center"/>
          </w:tcPr>
          <w:p w14:paraId="54BDC44C" w14:textId="0AE0B920" w:rsidR="00C66181" w:rsidRPr="00781112" w:rsidRDefault="002B7490" w:rsidP="00A018D4">
            <w:pPr>
              <w:jc w:val="center"/>
              <w:rPr>
                <w:rFonts w:cs="Arial"/>
                <w:color w:val="000000" w:themeColor="text1"/>
                <w:szCs w:val="16"/>
              </w:rPr>
            </w:pPr>
            <w:r w:rsidRPr="00781112">
              <w:rPr>
                <w:rFonts w:cs="Arial"/>
                <w:color w:val="000000" w:themeColor="text1"/>
                <w:szCs w:val="16"/>
              </w:rPr>
              <w:t>57.93%</w:t>
            </w:r>
          </w:p>
        </w:tc>
        <w:tc>
          <w:tcPr>
            <w:tcW w:w="625" w:type="pct"/>
            <w:shd w:val="clear" w:color="auto" w:fill="auto"/>
            <w:vAlign w:val="center"/>
          </w:tcPr>
          <w:p w14:paraId="48B49570" w14:textId="038E3826" w:rsidR="00C66181"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5" w:type="pct"/>
            <w:shd w:val="clear" w:color="auto" w:fill="auto"/>
            <w:vAlign w:val="center"/>
          </w:tcPr>
          <w:p w14:paraId="0A2BDCF3" w14:textId="3B0044C6"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93DA09A" w14:textId="4FC8161E" w:rsidTr="0033429D">
        <w:trPr>
          <w:trHeight w:val="365"/>
        </w:trPr>
        <w:tc>
          <w:tcPr>
            <w:tcW w:w="625" w:type="pct"/>
            <w:shd w:val="clear" w:color="auto" w:fill="auto"/>
            <w:vAlign w:val="center"/>
          </w:tcPr>
          <w:p w14:paraId="3D517963" w14:textId="6D3BD99F" w:rsidR="00C66181" w:rsidRPr="00781112" w:rsidRDefault="00C66181" w:rsidP="00C66181">
            <w:pPr>
              <w:rPr>
                <w:rFonts w:cs="Arial"/>
                <w:color w:val="000000" w:themeColor="text1"/>
                <w:szCs w:val="16"/>
              </w:rPr>
            </w:pPr>
            <w:r w:rsidRPr="00781112">
              <w:rPr>
                <w:rFonts w:cs="Arial"/>
                <w:color w:val="000000" w:themeColor="text1"/>
                <w:szCs w:val="16"/>
              </w:rPr>
              <w:t>C. Enrolled in higher education, or in some other postsecondary education or training program; or competitively employed or in some other employment (1+2+3+4)</w:t>
            </w:r>
          </w:p>
        </w:tc>
        <w:tc>
          <w:tcPr>
            <w:tcW w:w="625" w:type="pct"/>
            <w:shd w:val="clear" w:color="auto" w:fill="auto"/>
            <w:vAlign w:val="center"/>
          </w:tcPr>
          <w:p w14:paraId="79AA91FE" w14:textId="0803E2EE" w:rsidR="00C66181" w:rsidRPr="00781112" w:rsidRDefault="002B7490" w:rsidP="00A018D4">
            <w:pPr>
              <w:jc w:val="center"/>
              <w:rPr>
                <w:rFonts w:cs="Arial"/>
                <w:color w:val="000000" w:themeColor="text1"/>
                <w:szCs w:val="16"/>
              </w:rPr>
            </w:pPr>
            <w:r w:rsidRPr="00781112">
              <w:rPr>
                <w:rFonts w:cs="Arial"/>
                <w:color w:val="000000" w:themeColor="text1"/>
                <w:szCs w:val="16"/>
              </w:rPr>
              <w:t>1,585</w:t>
            </w:r>
          </w:p>
        </w:tc>
        <w:tc>
          <w:tcPr>
            <w:tcW w:w="625" w:type="pct"/>
            <w:shd w:val="clear" w:color="auto" w:fill="auto"/>
            <w:vAlign w:val="center"/>
          </w:tcPr>
          <w:p w14:paraId="1FAFC4F9" w14:textId="70DE7F33" w:rsidR="00C66181" w:rsidRPr="00781112" w:rsidRDefault="002B7490" w:rsidP="00A018D4">
            <w:pPr>
              <w:jc w:val="center"/>
              <w:rPr>
                <w:rFonts w:cs="Arial"/>
                <w:color w:val="000000" w:themeColor="text1"/>
                <w:szCs w:val="16"/>
              </w:rPr>
            </w:pPr>
            <w:r w:rsidRPr="00781112">
              <w:rPr>
                <w:rFonts w:cs="Arial"/>
                <w:color w:val="000000" w:themeColor="text1"/>
                <w:szCs w:val="16"/>
              </w:rPr>
              <w:t>2,092</w:t>
            </w:r>
          </w:p>
        </w:tc>
        <w:tc>
          <w:tcPr>
            <w:tcW w:w="625" w:type="pct"/>
            <w:shd w:val="clear" w:color="auto" w:fill="auto"/>
            <w:vAlign w:val="center"/>
          </w:tcPr>
          <w:p w14:paraId="5FB73F1B" w14:textId="26275AAA" w:rsidR="00C66181" w:rsidRPr="00781112" w:rsidRDefault="002B7490" w:rsidP="00A018D4">
            <w:pPr>
              <w:jc w:val="center"/>
              <w:rPr>
                <w:rFonts w:cs="Arial"/>
                <w:color w:val="000000" w:themeColor="text1"/>
                <w:szCs w:val="16"/>
              </w:rPr>
            </w:pPr>
            <w:r w:rsidRPr="00781112">
              <w:rPr>
                <w:rFonts w:cs="Arial"/>
                <w:color w:val="000000" w:themeColor="text1"/>
                <w:szCs w:val="16"/>
              </w:rPr>
              <w:t>74.63%</w:t>
            </w:r>
          </w:p>
        </w:tc>
        <w:tc>
          <w:tcPr>
            <w:tcW w:w="625" w:type="pct"/>
            <w:shd w:val="clear" w:color="auto" w:fill="auto"/>
            <w:vAlign w:val="center"/>
          </w:tcPr>
          <w:p w14:paraId="3A75A593" w14:textId="74B21849" w:rsidR="00C66181" w:rsidRPr="00781112" w:rsidRDefault="002B7490" w:rsidP="00A018D4">
            <w:pPr>
              <w:jc w:val="center"/>
              <w:rPr>
                <w:rFonts w:cs="Arial"/>
                <w:color w:val="000000" w:themeColor="text1"/>
                <w:szCs w:val="16"/>
              </w:rPr>
            </w:pPr>
            <w:r w:rsidRPr="00781112">
              <w:rPr>
                <w:rFonts w:cs="Arial"/>
                <w:color w:val="000000" w:themeColor="text1"/>
                <w:szCs w:val="16"/>
              </w:rPr>
              <w:t>72.51%</w:t>
            </w:r>
          </w:p>
        </w:tc>
        <w:tc>
          <w:tcPr>
            <w:tcW w:w="625" w:type="pct"/>
            <w:shd w:val="clear" w:color="auto" w:fill="auto"/>
            <w:vAlign w:val="center"/>
          </w:tcPr>
          <w:p w14:paraId="6D78DA3F" w14:textId="61DB3CB1" w:rsidR="00C66181" w:rsidRPr="00781112" w:rsidRDefault="002B7490" w:rsidP="00A018D4">
            <w:pPr>
              <w:jc w:val="center"/>
              <w:rPr>
                <w:rFonts w:cs="Arial"/>
                <w:color w:val="000000" w:themeColor="text1"/>
                <w:szCs w:val="16"/>
              </w:rPr>
            </w:pPr>
            <w:r w:rsidRPr="00781112">
              <w:rPr>
                <w:rFonts w:cs="Arial"/>
                <w:color w:val="000000" w:themeColor="text1"/>
                <w:szCs w:val="16"/>
              </w:rPr>
              <w:t>75.76%</w:t>
            </w:r>
          </w:p>
        </w:tc>
        <w:tc>
          <w:tcPr>
            <w:tcW w:w="625" w:type="pct"/>
            <w:shd w:val="clear" w:color="auto" w:fill="auto"/>
            <w:vAlign w:val="center"/>
          </w:tcPr>
          <w:p w14:paraId="6E5BDC78" w14:textId="48EDE622" w:rsidR="00C66181"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5" w:type="pct"/>
            <w:shd w:val="clear" w:color="auto" w:fill="auto"/>
            <w:vAlign w:val="center"/>
          </w:tcPr>
          <w:p w14:paraId="4A054D72" w14:textId="19B24E43"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A5381A2" w14:textId="3787227C" w:rsidR="001773E7" w:rsidRPr="00781112" w:rsidRDefault="001773E7" w:rsidP="00C66181">
      <w:pPr>
        <w:rPr>
          <w:rFonts w:cs="Arial"/>
          <w:i/>
          <w:color w:val="000000" w:themeColor="text1"/>
          <w:szCs w:val="16"/>
        </w:rPr>
      </w:pPr>
    </w:p>
    <w:p w14:paraId="2B9D1101" w14:textId="12285E81" w:rsidR="00C95094" w:rsidRPr="00781112" w:rsidRDefault="0077712B" w:rsidP="00C66181">
      <w:pPr>
        <w:rPr>
          <w:rFonts w:cs="Arial"/>
          <w:b/>
          <w:color w:val="000000" w:themeColor="text1"/>
          <w:szCs w:val="16"/>
        </w:rPr>
      </w:pPr>
      <w:r w:rsidRPr="00781112">
        <w:rPr>
          <w:rFonts w:cs="Arial"/>
          <w:b/>
          <w:color w:val="000000" w:themeColor="text1"/>
          <w:szCs w:val="16"/>
        </w:rPr>
        <w:t xml:space="preserve">Please select the reporting option your State is using: </w:t>
      </w:r>
    </w:p>
    <w:p w14:paraId="5C46FD26" w14:textId="5673980D" w:rsidR="000070D5" w:rsidRPr="00781112" w:rsidRDefault="002B7490" w:rsidP="00C66181">
      <w:pPr>
        <w:rPr>
          <w:rFonts w:cs="Arial"/>
          <w:color w:val="000000" w:themeColor="text1"/>
          <w:szCs w:val="16"/>
        </w:rPr>
      </w:pPr>
      <w:r w:rsidRPr="00781112">
        <w:rPr>
          <w:rFonts w:cs="Arial"/>
          <w:color w:val="000000" w:themeColor="text1"/>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6A816945" w14:textId="687D218F" w:rsidR="00090132" w:rsidRDefault="00090132" w:rsidP="00C66181">
      <w:pPr>
        <w:rPr>
          <w:rFonts w:cs="Arial"/>
          <w:color w:val="000000" w:themeColor="text1"/>
          <w:szCs w:val="16"/>
        </w:rPr>
      </w:pPr>
    </w:p>
    <w:p w14:paraId="18E71DFF" w14:textId="77777777" w:rsidR="00090132" w:rsidRPr="00E578E2" w:rsidRDefault="00090132" w:rsidP="00090132">
      <w:pPr>
        <w:rPr>
          <w:rFonts w:cs="Arial"/>
          <w:b/>
          <w:bCs/>
          <w:szCs w:val="16"/>
        </w:rPr>
      </w:pPr>
      <w:r w:rsidRPr="00E578E2">
        <w:rPr>
          <w:rFonts w:cs="Arial"/>
          <w:b/>
          <w:bCs/>
          <w:szCs w:val="16"/>
        </w:rPr>
        <w:t>Response Rate</w:t>
      </w:r>
    </w:p>
    <w:tbl>
      <w:tblPr>
        <w:tblStyle w:val="TableGrid"/>
        <w:tblW w:w="0" w:type="auto"/>
        <w:tblLook w:val="04A0" w:firstRow="1" w:lastRow="0" w:firstColumn="1" w:lastColumn="0" w:noHBand="0" w:noVBand="1"/>
        <w:tblCaption w:val="B14CFFYRSPRTE"/>
      </w:tblPr>
      <w:tblGrid>
        <w:gridCol w:w="1885"/>
        <w:gridCol w:w="1453"/>
        <w:gridCol w:w="1284"/>
      </w:tblGrid>
      <w:tr w:rsidR="00090132" w:rsidRPr="00353E62" w14:paraId="5280416F" w14:textId="77777777" w:rsidTr="00DF5DC9">
        <w:tc>
          <w:tcPr>
            <w:tcW w:w="1885" w:type="dxa"/>
            <w:shd w:val="clear" w:color="auto" w:fill="auto"/>
          </w:tcPr>
          <w:p w14:paraId="7576786E" w14:textId="77777777" w:rsidR="00090132" w:rsidRPr="008D51F2" w:rsidRDefault="00090132" w:rsidP="00DF5DC9">
            <w:pPr>
              <w:jc w:val="center"/>
              <w:rPr>
                <w:rFonts w:cs="Arial"/>
                <w:b/>
                <w:szCs w:val="16"/>
              </w:rPr>
            </w:pPr>
            <w:r w:rsidRPr="008D51F2">
              <w:rPr>
                <w:rFonts w:cs="Arial"/>
                <w:b/>
                <w:szCs w:val="16"/>
              </w:rPr>
              <w:t>FFY</w:t>
            </w:r>
          </w:p>
        </w:tc>
        <w:tc>
          <w:tcPr>
            <w:tcW w:w="1453" w:type="dxa"/>
            <w:shd w:val="clear" w:color="auto" w:fill="auto"/>
            <w:vAlign w:val="center"/>
          </w:tcPr>
          <w:p w14:paraId="5CF70806" w14:textId="77777777" w:rsidR="00090132" w:rsidRPr="008D51F2" w:rsidRDefault="00090132" w:rsidP="00DF5DC9">
            <w:pPr>
              <w:jc w:val="center"/>
              <w:rPr>
                <w:rFonts w:cs="Arial"/>
                <w:b/>
                <w:szCs w:val="16"/>
              </w:rPr>
            </w:pPr>
            <w:r w:rsidRPr="008D51F2">
              <w:rPr>
                <w:rFonts w:cs="Arial"/>
                <w:b/>
                <w:color w:val="000000" w:themeColor="text1"/>
                <w:szCs w:val="16"/>
              </w:rPr>
              <w:t>2022</w:t>
            </w:r>
          </w:p>
        </w:tc>
        <w:tc>
          <w:tcPr>
            <w:tcW w:w="1284" w:type="dxa"/>
            <w:shd w:val="clear" w:color="auto" w:fill="auto"/>
          </w:tcPr>
          <w:p w14:paraId="0BFBB5F5" w14:textId="77777777" w:rsidR="00090132" w:rsidRPr="008D51F2" w:rsidRDefault="00090132" w:rsidP="00DF5DC9">
            <w:pPr>
              <w:jc w:val="center"/>
              <w:rPr>
                <w:rFonts w:cs="Arial"/>
                <w:b/>
                <w:szCs w:val="16"/>
              </w:rPr>
            </w:pPr>
            <w:r w:rsidRPr="008D51F2">
              <w:rPr>
                <w:rFonts w:cs="Arial"/>
                <w:b/>
                <w:color w:val="000000" w:themeColor="text1"/>
                <w:szCs w:val="16"/>
              </w:rPr>
              <w:t>2023</w:t>
            </w:r>
          </w:p>
        </w:tc>
      </w:tr>
      <w:tr w:rsidR="00090132" w14:paraId="576CCA3B" w14:textId="77777777" w:rsidTr="00DF5DC9">
        <w:tc>
          <w:tcPr>
            <w:tcW w:w="1885" w:type="dxa"/>
            <w:shd w:val="clear" w:color="auto" w:fill="auto"/>
          </w:tcPr>
          <w:p w14:paraId="1D5B1977" w14:textId="77777777" w:rsidR="00090132" w:rsidRPr="008D51F2" w:rsidRDefault="00090132" w:rsidP="00DF5DC9">
            <w:pPr>
              <w:rPr>
                <w:rFonts w:cs="Arial"/>
                <w:szCs w:val="16"/>
              </w:rPr>
            </w:pPr>
            <w:r w:rsidRPr="008D51F2">
              <w:rPr>
                <w:rFonts w:cs="Arial"/>
                <w:szCs w:val="16"/>
              </w:rPr>
              <w:t xml:space="preserve">Response Rate </w:t>
            </w:r>
          </w:p>
        </w:tc>
        <w:tc>
          <w:tcPr>
            <w:tcW w:w="1453" w:type="dxa"/>
            <w:shd w:val="clear" w:color="auto" w:fill="auto"/>
            <w:vAlign w:val="center"/>
          </w:tcPr>
          <w:p w14:paraId="4AECB169" w14:textId="3ECBE4F7" w:rsidR="00090132" w:rsidRPr="008D51F2" w:rsidRDefault="00090132" w:rsidP="00DF5DC9">
            <w:pPr>
              <w:jc w:val="center"/>
              <w:rPr>
                <w:rFonts w:cs="Arial"/>
                <w:szCs w:val="16"/>
              </w:rPr>
            </w:pPr>
            <w:r w:rsidRPr="008D51F2">
              <w:rPr>
                <w:color w:val="000000" w:themeColor="text1"/>
              </w:rPr>
              <w:t>75.92%</w:t>
            </w:r>
          </w:p>
        </w:tc>
        <w:tc>
          <w:tcPr>
            <w:tcW w:w="1284" w:type="dxa"/>
            <w:shd w:val="clear" w:color="auto" w:fill="auto"/>
            <w:vAlign w:val="center"/>
          </w:tcPr>
          <w:p w14:paraId="755EF869" w14:textId="2F1BA7D5" w:rsidR="00090132" w:rsidRPr="008D51F2" w:rsidRDefault="00090132" w:rsidP="00DF5DC9">
            <w:pPr>
              <w:jc w:val="center"/>
              <w:rPr>
                <w:rFonts w:cs="Arial"/>
                <w:szCs w:val="16"/>
              </w:rPr>
            </w:pPr>
            <w:r w:rsidRPr="008D51F2">
              <w:rPr>
                <w:rFonts w:cs="Arial"/>
                <w:color w:val="000000" w:themeColor="text1"/>
                <w:szCs w:val="16"/>
              </w:rPr>
              <w:t>78.12%</w:t>
            </w:r>
          </w:p>
        </w:tc>
      </w:tr>
    </w:tbl>
    <w:p w14:paraId="03971D78" w14:textId="77777777" w:rsidR="00090132" w:rsidRDefault="00090132" w:rsidP="00090132">
      <w:pPr>
        <w:pStyle w:val="Header"/>
        <w:tabs>
          <w:tab w:val="clear" w:pos="4320"/>
          <w:tab w:val="clear" w:pos="8640"/>
        </w:tabs>
        <w:spacing w:before="0"/>
        <w:rPr>
          <w:rFonts w:ascii="Arial" w:hAnsi="Arial" w:cs="Arial"/>
          <w:bCs/>
          <w:sz w:val="16"/>
          <w:szCs w:val="16"/>
          <w:highlight w:val="yellow"/>
        </w:rPr>
      </w:pPr>
    </w:p>
    <w:p w14:paraId="5820FDED" w14:textId="77777777" w:rsidR="00156FDD" w:rsidRPr="005C202C" w:rsidRDefault="00156FDD" w:rsidP="00156FDD">
      <w:pPr>
        <w:rPr>
          <w:b/>
          <w:bCs/>
        </w:rPr>
      </w:pPr>
      <w:r w:rsidRPr="005C202C">
        <w:rPr>
          <w:b/>
          <w:bCs/>
        </w:rPr>
        <w:lastRenderedPageBreak/>
        <w:t>Describe the metric used to determine representativeness (e.g., +/- 3% discrepancy in the proportion of responders compared to target group).</w:t>
      </w:r>
    </w:p>
    <w:p w14:paraId="04BA4870" w14:textId="77777777" w:rsidR="00156FDD" w:rsidRDefault="00156FDD" w:rsidP="00156FDD">
      <w:pPr>
        <w:pStyle w:val="Subhed"/>
        <w:rPr>
          <w:b w:val="0"/>
        </w:rPr>
      </w:pPr>
      <w:r w:rsidRPr="008D51F2">
        <w:rPr>
          <w:b w:val="0"/>
        </w:rPr>
        <w:t>To determine representativeness, WVDE/OSE compares the percentage point difference between survey respondents and the students who exited in SY 2022-23. Any data that exhibit an absolute difference of more than 3.0 percentage points indicates areas of over- or underrepresentation.</w:t>
      </w:r>
    </w:p>
    <w:p w14:paraId="06AC8AE1" w14:textId="77777777" w:rsidR="00156FDD" w:rsidRDefault="00156FDD" w:rsidP="00090132">
      <w:pPr>
        <w:rPr>
          <w:b/>
          <w:bCs/>
        </w:rPr>
      </w:pPr>
    </w:p>
    <w:p w14:paraId="16C9E9FA" w14:textId="77777777" w:rsidR="00156FDD" w:rsidRPr="00F03088" w:rsidRDefault="00156FDD" w:rsidP="00156FDD">
      <w:pPr>
        <w:spacing w:before="0"/>
        <w:rPr>
          <w:rFonts w:eastAsia="Times New Roman" w:cs="Arial"/>
          <w:b/>
          <w:bCs/>
          <w:szCs w:val="16"/>
        </w:rPr>
      </w:pPr>
      <w:r w:rsidRPr="00F03088">
        <w:rPr>
          <w:b/>
          <w:bCs/>
        </w:rPr>
        <w:t>Include the State’s analyses of the extent to which the response data are representative of the demographics of youth who are no longer in secondary school and had IEPs in effect at the time they left school.</w:t>
      </w:r>
      <w:r w:rsidRPr="00F03088">
        <w:rPr>
          <w:rFonts w:eastAsia="Times New Roman" w:cs="Arial"/>
          <w:b/>
          <w:bCs/>
          <w:szCs w:val="16"/>
        </w:rPr>
        <w:t xml:space="preserve"> States must include race/ethnicity in its analysis. In addition, the State’s analysis must include at least one of the following demographics: disability category, gender, geographic location, and/or another demographic category approved through the stakeholder input process.</w:t>
      </w:r>
    </w:p>
    <w:p w14:paraId="73A0DF3C" w14:textId="77777777" w:rsidR="00156FDD" w:rsidRPr="00560FEE" w:rsidRDefault="00156FDD" w:rsidP="00156FDD">
      <w:r w:rsidRPr="008D51F2">
        <w:t xml:space="preserve">WVDE/OSE performed analyses to measure the representativeness of youth who are no longer in secondary school and had IEPs in effect at the time they left school who responded to the One-Year Follow-Up Survey (the measurement tool used for Indicator 14). </w:t>
      </w:r>
      <w:r w:rsidRPr="008D51F2">
        <w:br/>
        <w:t>To determine representativeness, WVDE/OSE compares the percentage point difference between survey respondents and the students who exited in SY 2022-23. Any data that exhibit an absolute difference of more than 3.0 percentage points indicates areas of over- or underrepresentation. The following results indicate the survey responses are representative of all youth who are no longer in secondary school and had IEPs in effect at the time they left school during SY 2022-23.</w:t>
      </w:r>
      <w:r w:rsidRPr="008D51F2">
        <w:br/>
        <w:t>Among youth of differing race/ethnicities, survey respondents were representative of their peers. While racial and ethnic diversity is increasing, West Virginia remains relatively homogeneous. WV’s student body is predominantly “White” (88.91%), followed by “Black or African American” (5.41%), and “Two or More Races” (4.11%). All race/ethnicity groups were within the -/+3.0% margin (range: -0.28 — 0.34).</w:t>
      </w:r>
      <w:r w:rsidRPr="008D51F2">
        <w:br/>
        <w:t xml:space="preserve">All disability categories were adequately represented in the response data and each category was within the +/-3% margin (range: -1.45 — 1.71) as compared to the distribution of disability categories across all students who exited during SY 2022-23. </w:t>
      </w:r>
      <w:r w:rsidRPr="008D51F2">
        <w:br/>
        <w:t xml:space="preserve">Representativeness by exit type was examined for those exiting with a regular diploma, exiting with an alternate diploma, reaching the maximum age of 21, and for youth who dropped out. Each exit type was within the +/-3% margin (range: -2.28 — 2.49).  </w:t>
      </w:r>
    </w:p>
    <w:p w14:paraId="2E51EAA1" w14:textId="77777777" w:rsidR="00156FDD" w:rsidRPr="005C202C" w:rsidRDefault="00156FDD" w:rsidP="00156FDD">
      <w:pPr>
        <w:rPr>
          <w:b/>
          <w:bCs/>
        </w:rPr>
      </w:pPr>
      <w:r w:rsidRPr="005C202C">
        <w:rPr>
          <w:b/>
          <w:bCs/>
        </w:rPr>
        <w:t>The response data is representative of the demographics of youth who are no longer in school and had IEPs in effect at the time they left school. (yes/no)</w:t>
      </w:r>
    </w:p>
    <w:p w14:paraId="2390BBAE" w14:textId="77777777" w:rsidR="00156FDD" w:rsidRPr="00560FEE" w:rsidRDefault="00156FDD" w:rsidP="00156FDD">
      <w:pPr>
        <w:pStyle w:val="Subhed"/>
        <w:rPr>
          <w:b w:val="0"/>
          <w:bCs/>
        </w:rPr>
      </w:pPr>
      <w:r w:rsidRPr="008D51F2">
        <w:rPr>
          <w:b w:val="0"/>
          <w:bCs/>
        </w:rPr>
        <w:t>YES</w:t>
      </w:r>
    </w:p>
    <w:p w14:paraId="027CD8C2" w14:textId="77777777" w:rsidR="00156FDD" w:rsidRPr="005C202C" w:rsidRDefault="00156FDD" w:rsidP="00156FDD">
      <w:pPr>
        <w:rPr>
          <w:b/>
          <w:bCs/>
        </w:rPr>
      </w:pPr>
      <w:r w:rsidRPr="005C202C">
        <w:rPr>
          <w:b/>
          <w:bCs/>
        </w:rPr>
        <w:t>If no, describe the strategies that the State will use to ensure that in the future the response data are representative of those demographics.</w:t>
      </w:r>
    </w:p>
    <w:p w14:paraId="0A943617" w14:textId="77777777" w:rsidR="00156FDD" w:rsidRPr="00560FEE" w:rsidRDefault="00156FDD" w:rsidP="00156FDD">
      <w:pPr>
        <w:pStyle w:val="Subhed"/>
        <w:rPr>
          <w:b w:val="0"/>
        </w:rPr>
      </w:pPr>
    </w:p>
    <w:p w14:paraId="5B213212" w14:textId="77777777" w:rsidR="00156FDD" w:rsidRDefault="00156FDD" w:rsidP="00090132">
      <w:pPr>
        <w:rPr>
          <w:b/>
          <w:bCs/>
        </w:rPr>
      </w:pPr>
    </w:p>
    <w:p w14:paraId="57522483" w14:textId="26E9319E" w:rsidR="00090132" w:rsidRPr="00002B33" w:rsidRDefault="00090132" w:rsidP="00090132">
      <w:pPr>
        <w:rPr>
          <w:b/>
          <w:bCs/>
        </w:rPr>
      </w:pPr>
      <w:r w:rsidRPr="00002B33">
        <w:rPr>
          <w:b/>
          <w:bCs/>
        </w:rPr>
        <w:t>Describe strategies that will be implemented which are expected to increase the response rate year over year, particularly for those groups that are underrepresented.</w:t>
      </w:r>
    </w:p>
    <w:p w14:paraId="054F9DF8" w14:textId="77777777" w:rsidR="00090132" w:rsidRPr="00B551F2" w:rsidRDefault="00090132" w:rsidP="00090132">
      <w:r w:rsidRPr="00B551F2">
        <w:t xml:space="preserve">WVDE/OSE will continue to work with LEAs to support the collection of representative survey data. </w:t>
      </w:r>
      <w:r w:rsidRPr="00B551F2">
        <w:br/>
        <w:t xml:space="preserve">Strategies include: </w:t>
      </w:r>
      <w:r w:rsidRPr="00B551F2">
        <w:br/>
        <w:t>-Including language in the students' Summary of Performance document regarding the One Year Follow-Up Exit Survey.</w:t>
      </w:r>
      <w:r w:rsidRPr="00B551F2">
        <w:br/>
        <w:t>-Providing LEAs with additional guidance on notifying students who drop out, as well as their families, that a survey will be available to them one year after they leave school.</w:t>
      </w:r>
      <w:r w:rsidRPr="00B551F2">
        <w:br/>
        <w:t>-Asking students and their families for their current contact information at the time of exiting.</w:t>
      </w:r>
      <w:r w:rsidRPr="00B551F2">
        <w:br/>
        <w:t>-Developing inventive and resourceful methods to locate students or their families after they leave public school.</w:t>
      </w:r>
      <w:r w:rsidRPr="00B551F2">
        <w:br/>
        <w:t>-Offering reminders and technical assistance from WVDE/OSE on how to review students who have yet to respond to the survey.</w:t>
      </w:r>
      <w:r w:rsidRPr="00B551F2">
        <w:br/>
        <w:t>-Emphasizing and encouraging responses from groups that are less likely to respond.</w:t>
      </w:r>
    </w:p>
    <w:p w14:paraId="5A6BE78B" w14:textId="77777777" w:rsidR="00090132" w:rsidRPr="00002B33" w:rsidRDefault="00090132" w:rsidP="00090132">
      <w:pPr>
        <w:rPr>
          <w:b/>
          <w:bCs/>
        </w:rPr>
      </w:pPr>
      <w:r w:rsidRPr="00002B33">
        <w:rPr>
          <w:b/>
          <w:bCs/>
        </w:rPr>
        <w:t>Describe the analysis of the response rate including any nonresponse bias that was identified, and the steps taken to reduce any identified bias and promote response from a broad cross section of youth who are no longer in secondary school and had IEPs in effect at the time they left school.</w:t>
      </w:r>
    </w:p>
    <w:p w14:paraId="789E9F07" w14:textId="77777777" w:rsidR="00090132" w:rsidRPr="00B551F2" w:rsidRDefault="00090132" w:rsidP="00090132">
      <w:r w:rsidRPr="00B551F2">
        <w:t xml:space="preserve">The response rate of 78.12% proves large enough to be representative of the SY 2022-23 cohort when examining the demographic characteristics of race/ethnicity, exit reason, and primary exceptionality. With a survey-eligible population of 2,678, at a 95% confidence level, and a 3% margin of error, the minimum sample size required is 763, which is equivalent to a 28.49% overall response rate. The current rate is more than double that level. Further, the response rate increased by 2.20% compared to the FFY 2022 data. </w:t>
      </w:r>
      <w:r w:rsidRPr="00B551F2">
        <w:br/>
      </w:r>
      <w:r w:rsidRPr="00B551F2">
        <w:br/>
        <w:t xml:space="preserve">All demographic subgroups reported in the survey were adequately represented, with none exhibiting over- or underrepresentation. The proportion of respondents in each subgroup differed by no more than 3% from the corresponding target population, ensuring a balanced representation across all categories. Because there was no over- or underrepresentation in one or more demographic subgroups consistent with WV’s metric for determining representativeness, nonresponse bias was not identified in the survey data with respect to the demographic subgroups examined. </w:t>
      </w:r>
    </w:p>
    <w:p w14:paraId="72EBB8E4" w14:textId="77777777" w:rsidR="00090132" w:rsidRPr="00560FEE" w:rsidRDefault="00090132" w:rsidP="00090132">
      <w:pPr>
        <w:pStyle w:val="Subhed"/>
        <w:rPr>
          <w:b w:val="0"/>
        </w:rPr>
      </w:pPr>
    </w:p>
    <w:p w14:paraId="237D4C5C" w14:textId="77777777" w:rsidR="00090132" w:rsidRPr="00781112" w:rsidRDefault="00090132" w:rsidP="00C66181">
      <w:pPr>
        <w:rPr>
          <w:rFonts w:cs="Arial"/>
          <w:color w:val="000000" w:themeColor="text1"/>
          <w:szCs w:val="16"/>
        </w:rPr>
      </w:pPr>
    </w:p>
    <w:tbl>
      <w:tblPr>
        <w:tblStyle w:val="TableGrid"/>
        <w:tblW w:w="0" w:type="auto"/>
        <w:tblLook w:val="04A0" w:firstRow="1" w:lastRow="0" w:firstColumn="1" w:lastColumn="0" w:noHBand="0" w:noVBand="1"/>
        <w:tblCaption w:val="B14SAMPLEUSED"/>
      </w:tblPr>
      <w:tblGrid>
        <w:gridCol w:w="8306"/>
        <w:gridCol w:w="2484"/>
      </w:tblGrid>
      <w:tr w:rsidR="005C29F8" w:rsidRPr="00781112" w14:paraId="10AC36E3" w14:textId="77777777" w:rsidTr="0033429D">
        <w:trPr>
          <w:tblHeader/>
        </w:trPr>
        <w:tc>
          <w:tcPr>
            <w:tcW w:w="8310" w:type="dxa"/>
            <w:tcBorders>
              <w:top w:val="single" w:sz="4" w:space="0" w:color="auto"/>
              <w:left w:val="single" w:sz="4" w:space="0" w:color="auto"/>
            </w:tcBorders>
            <w:shd w:val="clear" w:color="auto" w:fill="auto"/>
          </w:tcPr>
          <w:p w14:paraId="01371920" w14:textId="2568990B" w:rsidR="00763780" w:rsidRPr="00781112" w:rsidRDefault="00CC2002" w:rsidP="00BA3DBE">
            <w:pPr>
              <w:jc w:val="center"/>
              <w:rPr>
                <w:rFonts w:cs="Arial"/>
                <w:b/>
                <w:bCs/>
                <w:color w:val="000000" w:themeColor="text1"/>
                <w:szCs w:val="16"/>
              </w:rPr>
            </w:pPr>
            <w:r w:rsidRPr="00781112">
              <w:rPr>
                <w:rFonts w:cs="Arial"/>
                <w:b/>
                <w:bCs/>
                <w:color w:val="000000" w:themeColor="text1"/>
                <w:szCs w:val="16"/>
              </w:rPr>
              <w:t>Sampling Question</w:t>
            </w:r>
          </w:p>
        </w:tc>
        <w:tc>
          <w:tcPr>
            <w:tcW w:w="2485" w:type="dxa"/>
            <w:tcBorders>
              <w:top w:val="single" w:sz="4" w:space="0" w:color="auto"/>
            </w:tcBorders>
            <w:shd w:val="clear" w:color="auto" w:fill="auto"/>
          </w:tcPr>
          <w:p w14:paraId="39CB8232" w14:textId="5BE196A9" w:rsidR="00763780" w:rsidRPr="00781112" w:rsidRDefault="00763780"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08903DE" w14:textId="1FE95128" w:rsidTr="0033429D">
        <w:tc>
          <w:tcPr>
            <w:tcW w:w="8310" w:type="dxa"/>
            <w:shd w:val="clear" w:color="auto" w:fill="auto"/>
          </w:tcPr>
          <w:p w14:paraId="0472BB53" w14:textId="55673E5F" w:rsidR="00763780" w:rsidRPr="00781112" w:rsidRDefault="00763780" w:rsidP="008E31C4">
            <w:pPr>
              <w:rPr>
                <w:rFonts w:cs="Arial"/>
                <w:color w:val="000000" w:themeColor="text1"/>
                <w:szCs w:val="16"/>
              </w:rPr>
            </w:pPr>
            <w:r w:rsidRPr="00781112">
              <w:rPr>
                <w:rFonts w:cs="Arial"/>
                <w:color w:val="000000" w:themeColor="text1"/>
                <w:szCs w:val="16"/>
              </w:rPr>
              <w:t xml:space="preserve">Was sampling used? </w:t>
            </w:r>
          </w:p>
        </w:tc>
        <w:tc>
          <w:tcPr>
            <w:tcW w:w="2485" w:type="dxa"/>
            <w:shd w:val="clear" w:color="auto" w:fill="auto"/>
          </w:tcPr>
          <w:p w14:paraId="0BA01DE6" w14:textId="013EE38E" w:rsidR="00763780"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0E2BC2A3" w14:textId="77777777" w:rsidTr="0033429D">
        <w:trPr>
          <w:tblHeader/>
        </w:trPr>
        <w:tc>
          <w:tcPr>
            <w:tcW w:w="3849" w:type="pct"/>
            <w:tcBorders>
              <w:top w:val="single" w:sz="4" w:space="0" w:color="auto"/>
              <w:left w:val="single" w:sz="4" w:space="0" w:color="auto"/>
            </w:tcBorders>
            <w:shd w:val="clear" w:color="auto" w:fill="auto"/>
          </w:tcPr>
          <w:p w14:paraId="2EA51A3E" w14:textId="6A33A9D8" w:rsidR="00BC4655" w:rsidRPr="00781112" w:rsidRDefault="00CC2002" w:rsidP="00BA3DBE">
            <w:pPr>
              <w:jc w:val="center"/>
              <w:rPr>
                <w:rFonts w:cs="Arial"/>
                <w:b/>
                <w:bCs/>
                <w:color w:val="000000" w:themeColor="text1"/>
                <w:szCs w:val="16"/>
              </w:rPr>
            </w:pPr>
            <w:r w:rsidRPr="00781112">
              <w:rPr>
                <w:rFonts w:cs="Arial"/>
                <w:b/>
                <w:bCs/>
                <w:color w:val="000000" w:themeColor="text1"/>
                <w:szCs w:val="16"/>
              </w:rPr>
              <w:t>Survey Question</w:t>
            </w:r>
          </w:p>
        </w:tc>
        <w:tc>
          <w:tcPr>
            <w:tcW w:w="1151" w:type="pct"/>
            <w:tcBorders>
              <w:top w:val="single" w:sz="4" w:space="0" w:color="auto"/>
            </w:tcBorders>
            <w:shd w:val="clear" w:color="auto" w:fill="auto"/>
          </w:tcPr>
          <w:p w14:paraId="0EEC81FC" w14:textId="73C14A3F" w:rsidR="00BC4655" w:rsidRPr="00781112" w:rsidRDefault="00BC465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901B015" w14:textId="2CE4C417" w:rsidTr="0033429D">
        <w:tc>
          <w:tcPr>
            <w:tcW w:w="3849" w:type="pct"/>
            <w:shd w:val="clear" w:color="auto" w:fill="auto"/>
          </w:tcPr>
          <w:p w14:paraId="0856121E" w14:textId="5B1AD843" w:rsidR="00BC4655" w:rsidRPr="00781112" w:rsidRDefault="00BC4655" w:rsidP="008E31C4">
            <w:pPr>
              <w:rPr>
                <w:rFonts w:cs="Arial"/>
                <w:color w:val="000000" w:themeColor="text1"/>
                <w:szCs w:val="16"/>
              </w:rPr>
            </w:pPr>
            <w:r w:rsidRPr="00781112">
              <w:rPr>
                <w:rFonts w:cs="Arial"/>
                <w:color w:val="000000" w:themeColor="text1"/>
                <w:szCs w:val="16"/>
              </w:rPr>
              <w:t xml:space="preserve">Was a survey used? </w:t>
            </w:r>
          </w:p>
        </w:tc>
        <w:tc>
          <w:tcPr>
            <w:tcW w:w="1151" w:type="pct"/>
            <w:shd w:val="clear" w:color="auto" w:fill="auto"/>
          </w:tcPr>
          <w:p w14:paraId="47AE85B8" w14:textId="2FE77A74" w:rsidR="00BC465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649D8839" w14:textId="3AAB3A92" w:rsidTr="0033429D">
        <w:tc>
          <w:tcPr>
            <w:tcW w:w="3849" w:type="pct"/>
            <w:shd w:val="clear" w:color="auto" w:fill="auto"/>
          </w:tcPr>
          <w:p w14:paraId="56C87E2E" w14:textId="1890EBD8" w:rsidR="00BC4655" w:rsidRPr="00781112" w:rsidRDefault="003805D3" w:rsidP="008E31C4">
            <w:pPr>
              <w:rPr>
                <w:rFonts w:cs="Arial"/>
                <w:color w:val="000000" w:themeColor="text1"/>
                <w:szCs w:val="16"/>
              </w:rPr>
            </w:pPr>
            <w:r w:rsidRPr="00781112">
              <w:rPr>
                <w:rFonts w:cs="Arial"/>
                <w:color w:val="000000" w:themeColor="text1"/>
                <w:szCs w:val="16"/>
              </w:rPr>
              <w:t>If yes, is it a new or revised survey?</w:t>
            </w:r>
          </w:p>
        </w:tc>
        <w:tc>
          <w:tcPr>
            <w:tcW w:w="1151" w:type="pct"/>
            <w:shd w:val="clear" w:color="auto" w:fill="auto"/>
          </w:tcPr>
          <w:p w14:paraId="53803AF8" w14:textId="54EB33AD" w:rsidR="00BC465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62361D73" w14:textId="77777777" w:rsidR="00644AC8" w:rsidRPr="00781112" w:rsidRDefault="00644AC8" w:rsidP="00644AC8">
      <w:pPr>
        <w:rPr>
          <w:rFonts w:cs="Arial"/>
          <w:b/>
          <w:color w:val="000000" w:themeColor="text1"/>
          <w:szCs w:val="16"/>
        </w:rPr>
      </w:pPr>
      <w:bookmarkStart w:id="86" w:name="_Toc382082390"/>
      <w:bookmarkStart w:id="87" w:name="_Toc392159339"/>
      <w:r w:rsidRPr="00781112">
        <w:rPr>
          <w:rFonts w:cs="Arial"/>
          <w:b/>
          <w:color w:val="000000" w:themeColor="text1"/>
          <w:szCs w:val="16"/>
        </w:rPr>
        <w:t>Provide additional information about this indicator (optional)</w:t>
      </w:r>
    </w:p>
    <w:p w14:paraId="30BD41D2" w14:textId="40D58B63" w:rsidR="00293C7E" w:rsidRPr="00781112" w:rsidRDefault="00293C7E" w:rsidP="007D435F">
      <w:pPr>
        <w:rPr>
          <w:rFonts w:cs="Arial"/>
          <w:color w:val="000000" w:themeColor="text1"/>
          <w:szCs w:val="16"/>
        </w:rPr>
      </w:pPr>
    </w:p>
    <w:p w14:paraId="7B9DDAF2" w14:textId="6AA9F8CA" w:rsidR="000A2C83" w:rsidRPr="00781112" w:rsidRDefault="00172058" w:rsidP="00123D76">
      <w:pPr>
        <w:pStyle w:val="Heading2"/>
      </w:pPr>
      <w:r w:rsidRPr="00781112">
        <w:t>14</w:t>
      </w:r>
      <w:r w:rsidR="001D508D" w:rsidRPr="00781112">
        <w:t xml:space="preserve"> </w:t>
      </w:r>
      <w:r w:rsidRPr="00781112">
        <w:t xml:space="preserve">- </w:t>
      </w:r>
      <w:r w:rsidR="000A2C83" w:rsidRPr="00781112">
        <w:t>Prior FFY Required Actions</w:t>
      </w:r>
    </w:p>
    <w:p w14:paraId="3812AD37" w14:textId="58CBF83D" w:rsidR="009F69E7" w:rsidRPr="00781112" w:rsidRDefault="002B7490" w:rsidP="000A2C83">
      <w:pPr>
        <w:rPr>
          <w:rFonts w:cs="Arial"/>
          <w:color w:val="000000" w:themeColor="text1"/>
          <w:szCs w:val="16"/>
        </w:rPr>
      </w:pPr>
      <w:r w:rsidRPr="00781112">
        <w:rPr>
          <w:rFonts w:cs="Arial"/>
          <w:color w:val="000000" w:themeColor="text1"/>
          <w:szCs w:val="16"/>
        </w:rPr>
        <w:t>None</w:t>
      </w:r>
    </w:p>
    <w:p w14:paraId="5408D9B6" w14:textId="3CB80FFF"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59CF3C2B" w14:textId="15BA3B7F" w:rsidR="00644AC8" w:rsidRPr="00781112" w:rsidRDefault="00172058" w:rsidP="00123D76">
      <w:pPr>
        <w:pStyle w:val="Heading2"/>
      </w:pPr>
      <w:r w:rsidRPr="00781112">
        <w:lastRenderedPageBreak/>
        <w:t>14 - OSEP Response</w:t>
      </w:r>
    </w:p>
    <w:p w14:paraId="29D70E23" w14:textId="165DA616" w:rsidR="00293C7E" w:rsidRPr="00781112" w:rsidRDefault="00293C7E" w:rsidP="001F692C">
      <w:pPr>
        <w:rPr>
          <w:rFonts w:cs="Arial"/>
          <w:color w:val="000000" w:themeColor="text1"/>
          <w:szCs w:val="16"/>
        </w:rPr>
      </w:pPr>
    </w:p>
    <w:p w14:paraId="18F151E0" w14:textId="24893002" w:rsidR="00644AC8" w:rsidRPr="00781112" w:rsidRDefault="00172058" w:rsidP="00123D76">
      <w:pPr>
        <w:pStyle w:val="Heading2"/>
      </w:pPr>
      <w:r w:rsidRPr="00781112">
        <w:t>14 - Required Actions</w:t>
      </w:r>
    </w:p>
    <w:p w14:paraId="623F356B" w14:textId="668EB2DD" w:rsidR="00293C7E" w:rsidRPr="00781112" w:rsidRDefault="00293C7E" w:rsidP="001F692C">
      <w:pPr>
        <w:rPr>
          <w:rFonts w:cs="Arial"/>
          <w:color w:val="000000" w:themeColor="text1"/>
          <w:szCs w:val="16"/>
        </w:rPr>
      </w:pPr>
    </w:p>
    <w:p w14:paraId="1ADD288B"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7E15DEAF" w14:textId="72984127" w:rsidR="00B3462E" w:rsidRPr="00781112" w:rsidRDefault="00B3462E" w:rsidP="000444E2">
      <w:pPr>
        <w:pStyle w:val="Heading1"/>
        <w:rPr>
          <w:color w:val="000000" w:themeColor="text1"/>
          <w:sz w:val="22"/>
        </w:rPr>
      </w:pPr>
      <w:r w:rsidRPr="00781112">
        <w:rPr>
          <w:color w:val="000000" w:themeColor="text1"/>
          <w:sz w:val="22"/>
        </w:rPr>
        <w:lastRenderedPageBreak/>
        <w:t>Indicator 15: Resolution Sessions</w:t>
      </w:r>
      <w:bookmarkEnd w:id="86"/>
      <w:bookmarkEnd w:id="87"/>
    </w:p>
    <w:p w14:paraId="7EA31497" w14:textId="6754F874" w:rsidR="005B0B58" w:rsidRPr="002C274F" w:rsidRDefault="005B0B58" w:rsidP="002C274F">
      <w:pPr>
        <w:rPr>
          <w:b/>
          <w:bCs/>
          <w:sz w:val="20"/>
          <w:szCs w:val="20"/>
        </w:rPr>
      </w:pPr>
      <w:bookmarkStart w:id="88" w:name="_Toc381786822"/>
      <w:bookmarkStart w:id="89" w:name="_Toc382731911"/>
      <w:bookmarkStart w:id="90" w:name="_Toc382731912"/>
      <w:bookmarkStart w:id="91" w:name="_Toc392159340"/>
      <w:bookmarkEnd w:id="88"/>
      <w:bookmarkEnd w:id="89"/>
      <w:r w:rsidRPr="002C274F">
        <w:rPr>
          <w:b/>
          <w:bCs/>
          <w:sz w:val="20"/>
          <w:szCs w:val="20"/>
        </w:rPr>
        <w:t>Instructions and Measurement</w:t>
      </w:r>
    </w:p>
    <w:p w14:paraId="280CD956" w14:textId="60A4C66A" w:rsidR="009B6586" w:rsidRPr="00781112" w:rsidRDefault="009B6586" w:rsidP="00206890">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676E98EE" w14:textId="77777777" w:rsidR="00692B95" w:rsidRPr="00781112" w:rsidRDefault="009B6586" w:rsidP="00206890">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hearing requests that went to resolution sessions that were resolved through resolution session settlement agreements.</w:t>
      </w:r>
    </w:p>
    <w:p w14:paraId="0FFA722A" w14:textId="6CF0A81F" w:rsidR="009B6586" w:rsidRPr="00781112" w:rsidRDefault="009B6586" w:rsidP="00206890">
      <w:pPr>
        <w:rPr>
          <w:rFonts w:cs="Arial"/>
          <w:color w:val="000000" w:themeColor="text1"/>
          <w:szCs w:val="16"/>
        </w:rPr>
      </w:pPr>
      <w:r w:rsidRPr="00781112">
        <w:rPr>
          <w:rFonts w:cs="Arial"/>
          <w:color w:val="000000" w:themeColor="text1"/>
          <w:szCs w:val="16"/>
        </w:rPr>
        <w:t xml:space="preserve"> (20 U.S.C. 1416(a)(3)(B))</w:t>
      </w:r>
    </w:p>
    <w:p w14:paraId="40DC2407" w14:textId="77777777" w:rsidR="00B14746" w:rsidRPr="00781112" w:rsidRDefault="00B14746" w:rsidP="004369B2">
      <w:pPr>
        <w:rPr>
          <w:color w:val="000000" w:themeColor="text1"/>
        </w:rPr>
      </w:pPr>
      <w:r w:rsidRPr="00781112">
        <w:rPr>
          <w:b/>
          <w:color w:val="000000" w:themeColor="text1"/>
        </w:rPr>
        <w:t>Data Source</w:t>
      </w:r>
    </w:p>
    <w:p w14:paraId="585EF86F" w14:textId="2E239104" w:rsidR="00B14746" w:rsidRPr="00781112" w:rsidRDefault="00B14746" w:rsidP="00206890">
      <w:pPr>
        <w:rPr>
          <w:rFonts w:cs="Arial"/>
          <w:color w:val="000000" w:themeColor="text1"/>
          <w:szCs w:val="16"/>
        </w:rPr>
      </w:pPr>
      <w:r w:rsidRPr="00781112">
        <w:rPr>
          <w:rFonts w:cs="Arial"/>
          <w:color w:val="000000" w:themeColor="text1"/>
          <w:szCs w:val="16"/>
        </w:rPr>
        <w:t>Data collected under section 618 of the IDEA (IDEA Part B Dispute Resolution Survey in the ED</w:t>
      </w:r>
      <w:r w:rsidRPr="00BA3DBE">
        <w:rPr>
          <w:rFonts w:cs="Arial"/>
          <w:i/>
          <w:iCs/>
          <w:color w:val="000000" w:themeColor="text1"/>
          <w:szCs w:val="16"/>
        </w:rPr>
        <w:t>Facts</w:t>
      </w:r>
      <w:r w:rsidRPr="00781112">
        <w:rPr>
          <w:rFonts w:cs="Arial"/>
          <w:color w:val="000000" w:themeColor="text1"/>
          <w:szCs w:val="16"/>
        </w:rPr>
        <w:t xml:space="preserve"> Metadata and Process System (E</w:t>
      </w:r>
      <w:r w:rsidR="00E65E32" w:rsidRPr="00781112">
        <w:rPr>
          <w:rFonts w:cs="Arial"/>
          <w:i/>
          <w:color w:val="000000" w:themeColor="text1"/>
          <w:szCs w:val="16"/>
        </w:rPr>
        <w:t>MAPS</w:t>
      </w:r>
      <w:r w:rsidRPr="00781112">
        <w:rPr>
          <w:rFonts w:cs="Arial"/>
          <w:color w:val="000000" w:themeColor="text1"/>
          <w:szCs w:val="16"/>
        </w:rPr>
        <w:t>)).</w:t>
      </w:r>
    </w:p>
    <w:p w14:paraId="4E6D96A3" w14:textId="77777777" w:rsidR="00B14746" w:rsidRPr="00781112" w:rsidRDefault="00B14746" w:rsidP="004369B2">
      <w:pPr>
        <w:rPr>
          <w:color w:val="000000" w:themeColor="text1"/>
        </w:rPr>
      </w:pPr>
      <w:r w:rsidRPr="00781112">
        <w:rPr>
          <w:b/>
          <w:color w:val="000000" w:themeColor="text1"/>
        </w:rPr>
        <w:t>Measurement</w:t>
      </w:r>
    </w:p>
    <w:p w14:paraId="64AA8A3E" w14:textId="743F9348" w:rsidR="00B14746" w:rsidRPr="00781112" w:rsidRDefault="00B14746" w:rsidP="00206890">
      <w:pPr>
        <w:rPr>
          <w:rFonts w:cs="Arial"/>
          <w:color w:val="000000" w:themeColor="text1"/>
          <w:szCs w:val="16"/>
        </w:rPr>
      </w:pPr>
      <w:r w:rsidRPr="00781112">
        <w:rPr>
          <w:rFonts w:cs="Arial"/>
          <w:color w:val="000000" w:themeColor="text1"/>
          <w:szCs w:val="16"/>
        </w:rPr>
        <w:t>Percent = (3.1(a) divided by 3.1) times 100.</w:t>
      </w:r>
    </w:p>
    <w:p w14:paraId="7D86471C" w14:textId="77777777" w:rsidR="00B14746" w:rsidRPr="00781112" w:rsidRDefault="00B14746" w:rsidP="004369B2">
      <w:pPr>
        <w:rPr>
          <w:color w:val="000000" w:themeColor="text1"/>
        </w:rPr>
      </w:pPr>
      <w:r w:rsidRPr="00781112">
        <w:rPr>
          <w:b/>
          <w:color w:val="000000" w:themeColor="text1"/>
        </w:rPr>
        <w:t>Instructions</w:t>
      </w:r>
    </w:p>
    <w:p w14:paraId="7F1341EF" w14:textId="77777777" w:rsidR="00B14746" w:rsidRPr="00781112" w:rsidRDefault="00B14746" w:rsidP="00286BDF">
      <w:pPr>
        <w:rPr>
          <w:rFonts w:cs="Arial"/>
          <w:i/>
          <w:iCs/>
          <w:color w:val="000000" w:themeColor="text1"/>
          <w:szCs w:val="16"/>
        </w:rPr>
      </w:pPr>
      <w:r w:rsidRPr="00781112">
        <w:rPr>
          <w:rFonts w:cs="Arial"/>
          <w:i/>
          <w:iCs/>
          <w:color w:val="000000" w:themeColor="text1"/>
          <w:szCs w:val="16"/>
        </w:rPr>
        <w:t>Sampling is not allowed.</w:t>
      </w:r>
    </w:p>
    <w:p w14:paraId="20D56B7B" w14:textId="77777777" w:rsidR="00B14746" w:rsidRPr="00781112" w:rsidRDefault="00B1474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368918B0" w14:textId="3A1BE909" w:rsidR="00B14746" w:rsidRPr="00781112" w:rsidRDefault="00B14746" w:rsidP="00286BDF">
      <w:pPr>
        <w:rPr>
          <w:rFonts w:cs="Arial"/>
          <w:color w:val="000000" w:themeColor="text1"/>
          <w:szCs w:val="16"/>
        </w:rPr>
      </w:pPr>
      <w:r w:rsidRPr="00781112">
        <w:rPr>
          <w:rFonts w:cs="Arial"/>
          <w:color w:val="000000" w:themeColor="text1"/>
          <w:szCs w:val="16"/>
        </w:rPr>
        <w:t>States are not required to establish baselines or targets if the number of resolution sessions is less than 10. In a reporting period when the number of resolution sessions reaches 10 or greater, develop baseline and targets and report on them in the corresponding SPP/APR.</w:t>
      </w:r>
    </w:p>
    <w:p w14:paraId="4484EAF5" w14:textId="77777777" w:rsidR="00B14746" w:rsidRPr="00781112" w:rsidRDefault="00B14746" w:rsidP="00286BDF">
      <w:pPr>
        <w:rPr>
          <w:rFonts w:cs="Arial"/>
          <w:color w:val="000000" w:themeColor="text1"/>
          <w:szCs w:val="16"/>
        </w:rPr>
      </w:pPr>
      <w:r w:rsidRPr="00781112">
        <w:rPr>
          <w:rFonts w:cs="Arial"/>
          <w:color w:val="000000" w:themeColor="text1"/>
          <w:szCs w:val="16"/>
        </w:rPr>
        <w:t>States may express their targets in a range (e.g., 75-85%).</w:t>
      </w:r>
    </w:p>
    <w:p w14:paraId="3A369CBC" w14:textId="77777777" w:rsidR="00B14746" w:rsidRPr="00781112" w:rsidRDefault="00B14746"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5C27A911" w14:textId="0F93F55A" w:rsidR="00B14746" w:rsidRPr="00781112" w:rsidRDefault="00B14746" w:rsidP="00286BDF">
      <w:pPr>
        <w:rPr>
          <w:rFonts w:cs="Arial"/>
          <w:color w:val="000000" w:themeColor="text1"/>
          <w:szCs w:val="16"/>
        </w:rPr>
      </w:pPr>
      <w:r w:rsidRPr="00781112">
        <w:rPr>
          <w:rFonts w:cs="Arial"/>
          <w:color w:val="000000" w:themeColor="text1"/>
          <w:szCs w:val="16"/>
        </w:rPr>
        <w:t>States are not required to report data at the LEA level.</w:t>
      </w:r>
    </w:p>
    <w:p w14:paraId="64F7E7AF" w14:textId="3E039165" w:rsidR="00575F02" w:rsidRPr="00781112" w:rsidRDefault="00DF2D3A" w:rsidP="00123D76">
      <w:pPr>
        <w:pStyle w:val="Heading2"/>
      </w:pPr>
      <w:r w:rsidRPr="00781112">
        <w:t>15</w:t>
      </w:r>
      <w:r w:rsidR="001D508D" w:rsidRPr="00781112">
        <w:t xml:space="preserve"> </w:t>
      </w:r>
      <w:r w:rsidRPr="00781112">
        <w:t xml:space="preserve">- </w:t>
      </w:r>
      <w:r w:rsidR="00575F02" w:rsidRPr="00781112">
        <w:t>Indicator Data</w:t>
      </w:r>
    </w:p>
    <w:p w14:paraId="787F4BF1" w14:textId="4407EA15" w:rsidR="004A33CD" w:rsidRPr="00781112" w:rsidRDefault="00E31E29" w:rsidP="004A33CD">
      <w:pPr>
        <w:rPr>
          <w:rFonts w:cs="Arial"/>
          <w:color w:val="000000" w:themeColor="text1"/>
          <w:szCs w:val="16"/>
        </w:rPr>
      </w:pPr>
      <w:r w:rsidRPr="00781112">
        <w:rPr>
          <w:rFonts w:cs="Arial"/>
          <w:color w:val="000000" w:themeColor="text1"/>
          <w:szCs w:val="16"/>
        </w:rPr>
        <w:t>Select yes to use target ranges</w:t>
      </w:r>
    </w:p>
    <w:p w14:paraId="28345E9C" w14:textId="1A461958" w:rsidR="004A33CD" w:rsidRPr="00781112" w:rsidRDefault="004A33CD" w:rsidP="004369B2">
      <w:pPr>
        <w:rPr>
          <w:color w:val="000000" w:themeColor="text1"/>
        </w:rPr>
      </w:pPr>
      <w:r w:rsidRPr="00781112">
        <w:rPr>
          <w:rFonts w:cs="Arial"/>
          <w:color w:val="000000" w:themeColor="text1"/>
          <w:szCs w:val="16"/>
        </w:rPr>
        <w:t>Target Range not used</w:t>
      </w:r>
    </w:p>
    <w:bookmarkEnd w:id="90"/>
    <w:bookmarkEnd w:id="91"/>
    <w:p w14:paraId="2C183615" w14:textId="77777777" w:rsidR="00CE0C68" w:rsidRPr="00781112" w:rsidRDefault="00CE0C68" w:rsidP="004369B2">
      <w:pPr>
        <w:rPr>
          <w:color w:val="000000" w:themeColor="text1"/>
        </w:rPr>
      </w:pPr>
    </w:p>
    <w:p w14:paraId="23EC0320" w14:textId="2C5AA27C" w:rsidR="00372DF8" w:rsidRPr="00781112" w:rsidRDefault="00372DF8"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5PREPOPDATA"/>
      </w:tblPr>
      <w:tblGrid>
        <w:gridCol w:w="2605"/>
        <w:gridCol w:w="2700"/>
        <w:gridCol w:w="3571"/>
        <w:gridCol w:w="1914"/>
      </w:tblGrid>
      <w:tr w:rsidR="005C29F8" w:rsidRPr="00781112" w14:paraId="6639EAF6" w14:textId="77777777" w:rsidTr="00AB0D6A">
        <w:trPr>
          <w:trHeight w:val="372"/>
          <w:tblHeader/>
        </w:trPr>
        <w:tc>
          <w:tcPr>
            <w:tcW w:w="1207" w:type="pct"/>
            <w:shd w:val="clear" w:color="auto" w:fill="auto"/>
          </w:tcPr>
          <w:p w14:paraId="3040A217"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Source</w:t>
            </w:r>
          </w:p>
        </w:tc>
        <w:tc>
          <w:tcPr>
            <w:tcW w:w="1251" w:type="pct"/>
            <w:shd w:val="clear" w:color="auto" w:fill="auto"/>
          </w:tcPr>
          <w:p w14:paraId="3A97206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Date</w:t>
            </w:r>
          </w:p>
        </w:tc>
        <w:tc>
          <w:tcPr>
            <w:tcW w:w="1655" w:type="pct"/>
            <w:shd w:val="clear" w:color="auto" w:fill="auto"/>
          </w:tcPr>
          <w:p w14:paraId="52C3C7CB"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Description</w:t>
            </w:r>
          </w:p>
        </w:tc>
        <w:tc>
          <w:tcPr>
            <w:tcW w:w="887" w:type="pct"/>
            <w:shd w:val="clear" w:color="auto" w:fill="auto"/>
          </w:tcPr>
          <w:p w14:paraId="3BD49A8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50C4DB70" w14:textId="77777777" w:rsidTr="00AB0D6A">
        <w:trPr>
          <w:trHeight w:val="380"/>
        </w:trPr>
        <w:tc>
          <w:tcPr>
            <w:tcW w:w="1207" w:type="pct"/>
            <w:shd w:val="clear" w:color="auto" w:fill="auto"/>
          </w:tcPr>
          <w:p w14:paraId="56F7D41B" w14:textId="55A36B40" w:rsidR="001126C3" w:rsidRPr="00781112" w:rsidRDefault="002B7490" w:rsidP="001126C3">
            <w:pPr>
              <w:jc w:val="center"/>
              <w:rPr>
                <w:rFonts w:cs="Arial"/>
                <w:color w:val="000000" w:themeColor="text1"/>
                <w:szCs w:val="16"/>
              </w:rPr>
            </w:pPr>
            <w:r w:rsidRPr="00781112">
              <w:rPr>
                <w:rFonts w:cs="Arial"/>
                <w:color w:val="000000" w:themeColor="text1"/>
                <w:szCs w:val="16"/>
              </w:rPr>
              <w:t>SY 2023-24 EMAPS IDEA Part B Dispute Resolution Survey; Section C: Due Process Complaints</w:t>
            </w:r>
          </w:p>
        </w:tc>
        <w:tc>
          <w:tcPr>
            <w:tcW w:w="1251" w:type="pct"/>
            <w:shd w:val="clear" w:color="auto" w:fill="auto"/>
          </w:tcPr>
          <w:p w14:paraId="7C90E97F" w14:textId="79564898"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55" w:type="pct"/>
            <w:shd w:val="clear" w:color="auto" w:fill="auto"/>
          </w:tcPr>
          <w:p w14:paraId="5E5A973C" w14:textId="77777777" w:rsidR="001126C3" w:rsidRPr="00781112" w:rsidRDefault="001126C3" w:rsidP="001126C3">
            <w:pPr>
              <w:rPr>
                <w:rFonts w:cs="Arial"/>
                <w:color w:val="000000" w:themeColor="text1"/>
                <w:szCs w:val="16"/>
              </w:rPr>
            </w:pPr>
            <w:r w:rsidRPr="00781112">
              <w:rPr>
                <w:rFonts w:cs="Arial"/>
                <w:color w:val="000000" w:themeColor="text1"/>
                <w:szCs w:val="16"/>
              </w:rPr>
              <w:t>3.1 Number of resolution sessions</w:t>
            </w:r>
          </w:p>
        </w:tc>
        <w:tc>
          <w:tcPr>
            <w:tcW w:w="887" w:type="pct"/>
            <w:shd w:val="clear" w:color="auto" w:fill="auto"/>
          </w:tcPr>
          <w:p w14:paraId="5468BA6D" w14:textId="1A6A859B" w:rsidR="001126C3" w:rsidRPr="00781112" w:rsidRDefault="002B7490" w:rsidP="00A018D4">
            <w:pPr>
              <w:jc w:val="center"/>
              <w:rPr>
                <w:rFonts w:cs="Arial"/>
                <w:color w:val="000000" w:themeColor="text1"/>
                <w:szCs w:val="16"/>
              </w:rPr>
            </w:pPr>
            <w:r w:rsidRPr="00781112">
              <w:rPr>
                <w:rFonts w:cs="Arial"/>
                <w:color w:val="000000" w:themeColor="text1"/>
                <w:szCs w:val="16"/>
              </w:rPr>
              <w:t>6</w:t>
            </w:r>
          </w:p>
        </w:tc>
      </w:tr>
      <w:tr w:rsidR="005C29F8" w:rsidRPr="00781112" w14:paraId="2E50DA19" w14:textId="77777777" w:rsidTr="00AB0D6A">
        <w:trPr>
          <w:trHeight w:val="380"/>
        </w:trPr>
        <w:tc>
          <w:tcPr>
            <w:tcW w:w="1207" w:type="pct"/>
            <w:shd w:val="clear" w:color="auto" w:fill="auto"/>
          </w:tcPr>
          <w:p w14:paraId="2B232A7C" w14:textId="7E2BE0F5" w:rsidR="001126C3" w:rsidRPr="00781112" w:rsidRDefault="008174C3" w:rsidP="001126C3">
            <w:pPr>
              <w:jc w:val="center"/>
              <w:rPr>
                <w:rFonts w:cs="Arial"/>
                <w:color w:val="000000" w:themeColor="text1"/>
                <w:szCs w:val="16"/>
              </w:rPr>
            </w:pPr>
            <w:r w:rsidRPr="00781112">
              <w:rPr>
                <w:rFonts w:cs="Arial"/>
                <w:color w:val="000000" w:themeColor="text1"/>
                <w:szCs w:val="16"/>
              </w:rPr>
              <w:t>SY 2023-24 EMAPS IDEA Part B Dispute Resolution Survey; Section C: Due Process Complaints</w:t>
            </w:r>
          </w:p>
        </w:tc>
        <w:tc>
          <w:tcPr>
            <w:tcW w:w="1251" w:type="pct"/>
            <w:shd w:val="clear" w:color="auto" w:fill="auto"/>
          </w:tcPr>
          <w:p w14:paraId="7F21A5DE" w14:textId="74620D03"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55" w:type="pct"/>
            <w:shd w:val="clear" w:color="auto" w:fill="auto"/>
          </w:tcPr>
          <w:p w14:paraId="48E53926" w14:textId="77777777" w:rsidR="001126C3" w:rsidRPr="00781112" w:rsidRDefault="001126C3" w:rsidP="001126C3">
            <w:pPr>
              <w:rPr>
                <w:rFonts w:cs="Arial"/>
                <w:color w:val="000000" w:themeColor="text1"/>
                <w:szCs w:val="16"/>
              </w:rPr>
            </w:pPr>
            <w:r w:rsidRPr="00781112">
              <w:rPr>
                <w:rFonts w:cs="Arial"/>
                <w:color w:val="000000" w:themeColor="text1"/>
                <w:szCs w:val="16"/>
              </w:rPr>
              <w:t>3.1(a) Number resolution sessions resolved through settlement agreements</w:t>
            </w:r>
          </w:p>
        </w:tc>
        <w:tc>
          <w:tcPr>
            <w:tcW w:w="887" w:type="pct"/>
            <w:shd w:val="clear" w:color="auto" w:fill="auto"/>
          </w:tcPr>
          <w:p w14:paraId="1CCE3841" w14:textId="455ECD7A" w:rsidR="001126C3" w:rsidRPr="00781112" w:rsidRDefault="002B7490" w:rsidP="00A018D4">
            <w:pPr>
              <w:jc w:val="center"/>
              <w:rPr>
                <w:rFonts w:cs="Arial"/>
                <w:color w:val="000000" w:themeColor="text1"/>
                <w:szCs w:val="16"/>
              </w:rPr>
            </w:pPr>
            <w:r w:rsidRPr="00781112">
              <w:rPr>
                <w:rFonts w:cs="Arial"/>
                <w:color w:val="000000" w:themeColor="text1"/>
                <w:szCs w:val="16"/>
              </w:rPr>
              <w:t>6</w:t>
            </w:r>
          </w:p>
        </w:tc>
      </w:tr>
    </w:tbl>
    <w:p w14:paraId="162CEFB3" w14:textId="55A4ED3A" w:rsidR="004A33CD" w:rsidRPr="00781112" w:rsidRDefault="00E31E29">
      <w:pPr>
        <w:rPr>
          <w:b/>
          <w:color w:val="000000" w:themeColor="text1"/>
        </w:rPr>
      </w:pPr>
      <w:bookmarkStart w:id="92" w:name="_Toc382731913"/>
      <w:bookmarkStart w:id="93" w:name="_Toc392159341"/>
      <w:r w:rsidRPr="00781112">
        <w:rPr>
          <w:b/>
          <w:color w:val="000000" w:themeColor="text1"/>
        </w:rPr>
        <w:t>Select yes if the data reported in this indicator are not the same as the State’s data reported under section 618 of the IDEA.</w:t>
      </w:r>
    </w:p>
    <w:p w14:paraId="619A5AA7" w14:textId="55E9BEAB" w:rsidR="004A33CD" w:rsidRPr="00781112" w:rsidRDefault="004A33CD">
      <w:pPr>
        <w:rPr>
          <w:color w:val="000000" w:themeColor="text1"/>
        </w:rPr>
      </w:pPr>
      <w:r w:rsidRPr="00781112">
        <w:rPr>
          <w:color w:val="000000" w:themeColor="text1"/>
        </w:rPr>
        <w:t>NO</w:t>
      </w:r>
    </w:p>
    <w:p w14:paraId="25CD6A7B" w14:textId="77777777" w:rsidR="000657A8" w:rsidRPr="00781112" w:rsidRDefault="000657A8" w:rsidP="004369B2">
      <w:pPr>
        <w:rPr>
          <w:color w:val="000000" w:themeColor="text1"/>
        </w:rPr>
      </w:pPr>
    </w:p>
    <w:p w14:paraId="2AFA559A" w14:textId="46CC9076" w:rsidR="000A2C83" w:rsidRPr="00781112" w:rsidRDefault="000A2C83" w:rsidP="004369B2">
      <w:pPr>
        <w:rPr>
          <w:b/>
          <w:color w:val="000000" w:themeColor="text1"/>
        </w:rPr>
      </w:pPr>
      <w:r w:rsidRPr="00781112">
        <w:rPr>
          <w:b/>
          <w:color w:val="000000" w:themeColor="text1"/>
        </w:rPr>
        <w:t xml:space="preserve">Targets: Description of Stakeholder Input </w:t>
      </w:r>
    </w:p>
    <w:p w14:paraId="43B1695A" w14:textId="2970A905" w:rsidR="000A2C83" w:rsidRPr="00781112" w:rsidRDefault="002B7490" w:rsidP="000A2C83">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The baseline for this indicator was presented to stakeholders and updated based on the most current year of data that was not impacted by COVID-19 in order to get the most accurate picture of the number of resolution sessions and their efforts to resolve disputes fairly. The targets were set to maintain a slight increase from 75% each year from FFY 2020 through 2025. This target takes into consideration the low number of resolution sessions handled by the state most years. The stakeholders indicated acceptance of this baseline and targets were set to 75%, but the targets were revised based on feedback from OSEP.</w:t>
      </w:r>
      <w:r w:rsidRPr="00781112">
        <w:rPr>
          <w:rFonts w:cs="Arial"/>
          <w:color w:val="000000" w:themeColor="text1"/>
          <w:szCs w:val="16"/>
        </w:rPr>
        <w:br/>
      </w:r>
      <w:r w:rsidRPr="00781112">
        <w:rPr>
          <w:rFonts w:cs="Arial"/>
          <w:color w:val="000000" w:themeColor="text1"/>
          <w:szCs w:val="16"/>
        </w:rPr>
        <w:br/>
        <w:t>FFY 2023</w:t>
      </w:r>
      <w:r w:rsidRPr="00781112">
        <w:rPr>
          <w:rFonts w:cs="Arial"/>
          <w:color w:val="000000" w:themeColor="text1"/>
          <w:szCs w:val="16"/>
        </w:rPr>
        <w:br/>
        <w:t xml:space="preserve">Stakeholders did not express interest in revising the Resolution Sessions targets during any meetings throughout the reporting period; however, WVDE/OSE is open to hearing and addressing any potential concerns or recommendations that stakeholders may have regarding these targets. </w:t>
      </w:r>
    </w:p>
    <w:bookmarkEnd w:id="92"/>
    <w:bookmarkEnd w:id="93"/>
    <w:p w14:paraId="3A708A87" w14:textId="77777777" w:rsidR="00CE0C68" w:rsidRPr="00781112" w:rsidRDefault="00CE0C68" w:rsidP="00127006">
      <w:pPr>
        <w:pStyle w:val="Bold"/>
        <w:rPr>
          <w:color w:val="000000" w:themeColor="text1"/>
        </w:rPr>
      </w:pPr>
    </w:p>
    <w:p w14:paraId="4E8407A2" w14:textId="6977F9E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5BASELINEDATA"/>
      </w:tblPr>
      <w:tblGrid>
        <w:gridCol w:w="1797"/>
        <w:gridCol w:w="1798"/>
      </w:tblGrid>
      <w:tr w:rsidR="00956DFE" w:rsidRPr="00781112" w14:paraId="4BC2AEC0" w14:textId="77777777" w:rsidTr="00123D76">
        <w:trPr>
          <w:trHeight w:val="311"/>
          <w:tblHeader/>
        </w:trPr>
        <w:tc>
          <w:tcPr>
            <w:tcW w:w="1797" w:type="dxa"/>
          </w:tcPr>
          <w:p w14:paraId="5C965FC2" w14:textId="77777777" w:rsidR="00956DFE" w:rsidRPr="00781112" w:rsidRDefault="00956DFE" w:rsidP="00123D76">
            <w:pPr>
              <w:jc w:val="center"/>
              <w:rPr>
                <w:b/>
                <w:color w:val="000000" w:themeColor="text1"/>
              </w:rPr>
            </w:pPr>
            <w:r w:rsidRPr="00781112">
              <w:rPr>
                <w:rFonts w:cs="Arial"/>
                <w:b/>
                <w:color w:val="000000" w:themeColor="text1"/>
                <w:szCs w:val="16"/>
              </w:rPr>
              <w:lastRenderedPageBreak/>
              <w:t>Baseline Year</w:t>
            </w:r>
          </w:p>
        </w:tc>
        <w:tc>
          <w:tcPr>
            <w:tcW w:w="1798" w:type="dxa"/>
          </w:tcPr>
          <w:p w14:paraId="0FE47E01" w14:textId="77777777" w:rsidR="00956DFE" w:rsidRPr="00781112" w:rsidRDefault="00956DFE" w:rsidP="00123D76">
            <w:pPr>
              <w:jc w:val="center"/>
              <w:rPr>
                <w:b/>
                <w:color w:val="000000" w:themeColor="text1"/>
              </w:rPr>
            </w:pPr>
            <w:r w:rsidRPr="00781112">
              <w:rPr>
                <w:b/>
                <w:color w:val="000000" w:themeColor="text1"/>
              </w:rPr>
              <w:t>Baseline Data</w:t>
            </w:r>
          </w:p>
        </w:tc>
      </w:tr>
      <w:tr w:rsidR="00956DFE" w:rsidRPr="00781112" w14:paraId="4061AB26" w14:textId="77777777" w:rsidTr="00123D76">
        <w:trPr>
          <w:trHeight w:val="311"/>
        </w:trPr>
        <w:tc>
          <w:tcPr>
            <w:tcW w:w="1797" w:type="dxa"/>
            <w:vAlign w:val="center"/>
          </w:tcPr>
          <w:p w14:paraId="06B6D30C" w14:textId="2AF9B55C" w:rsidR="00956DFE" w:rsidRPr="00781112" w:rsidRDefault="00956DFE" w:rsidP="00123D76">
            <w:pPr>
              <w:jc w:val="center"/>
              <w:rPr>
                <w:bCs/>
                <w:color w:val="000000" w:themeColor="text1"/>
              </w:rPr>
            </w:pPr>
            <w:r w:rsidRPr="00781112">
              <w:rPr>
                <w:bCs/>
                <w:color w:val="000000" w:themeColor="text1"/>
              </w:rPr>
              <w:t>2019</w:t>
            </w:r>
          </w:p>
        </w:tc>
        <w:tc>
          <w:tcPr>
            <w:tcW w:w="1798" w:type="dxa"/>
            <w:vAlign w:val="center"/>
          </w:tcPr>
          <w:p w14:paraId="2ECB17ED" w14:textId="53ECEEAF" w:rsidR="00956DFE" w:rsidRPr="00781112" w:rsidRDefault="00956DFE" w:rsidP="00123D76">
            <w:pPr>
              <w:jc w:val="center"/>
              <w:rPr>
                <w:bCs/>
                <w:color w:val="000000" w:themeColor="text1"/>
              </w:rPr>
            </w:pPr>
            <w:r w:rsidRPr="00781112">
              <w:rPr>
                <w:bCs/>
                <w:color w:val="000000" w:themeColor="text1"/>
              </w:rPr>
              <w:t>75.00%</w:t>
            </w:r>
          </w:p>
        </w:tc>
      </w:tr>
    </w:tbl>
    <w:p w14:paraId="3ABC15A0" w14:textId="77777777" w:rsidR="00956DFE" w:rsidRPr="00781112" w:rsidRDefault="00956DFE"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5HISTDATA"/>
      </w:tblPr>
      <w:tblGrid>
        <w:gridCol w:w="1798"/>
        <w:gridCol w:w="1798"/>
        <w:gridCol w:w="1798"/>
        <w:gridCol w:w="1798"/>
        <w:gridCol w:w="1798"/>
        <w:gridCol w:w="1800"/>
      </w:tblGrid>
      <w:tr w:rsidR="005C29F8" w:rsidRPr="00781112" w14:paraId="4E412341" w14:textId="77777777" w:rsidTr="004B2960">
        <w:trPr>
          <w:trHeight w:val="350"/>
        </w:trPr>
        <w:tc>
          <w:tcPr>
            <w:tcW w:w="833" w:type="pct"/>
            <w:tcBorders>
              <w:bottom w:val="single" w:sz="4" w:space="0" w:color="auto"/>
            </w:tcBorders>
            <w:shd w:val="clear" w:color="auto" w:fill="auto"/>
          </w:tcPr>
          <w:p w14:paraId="3BCF53D4" w14:textId="77777777" w:rsidR="00206890" w:rsidRPr="00781112" w:rsidRDefault="00206890"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BCFC70E" w14:textId="1BB5B5A8" w:rsidR="00206890"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0D14322A" w14:textId="6BD4D2D0" w:rsidR="00206890"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5AD53313" w14:textId="5FC8C632" w:rsidR="00206890"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4015341F" w14:textId="703AE838" w:rsidR="00206890"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087D6966" w14:textId="6C948B8E" w:rsidR="00206890" w:rsidRPr="00781112" w:rsidRDefault="002B7490" w:rsidP="008E31C4">
            <w:pPr>
              <w:jc w:val="center"/>
              <w:rPr>
                <w:rFonts w:cs="Arial"/>
                <w:b/>
                <w:color w:val="000000" w:themeColor="text1"/>
                <w:szCs w:val="16"/>
              </w:rPr>
            </w:pPr>
            <w:r w:rsidRPr="00781112">
              <w:rPr>
                <w:rFonts w:cs="Arial"/>
                <w:b/>
                <w:color w:val="000000" w:themeColor="text1"/>
                <w:szCs w:val="16"/>
              </w:rPr>
              <w:t>2022</w:t>
            </w:r>
          </w:p>
        </w:tc>
      </w:tr>
      <w:tr w:rsidR="005C29F8" w:rsidRPr="00781112" w14:paraId="2C55BF13" w14:textId="77777777" w:rsidTr="004B2960">
        <w:trPr>
          <w:trHeight w:val="357"/>
        </w:trPr>
        <w:tc>
          <w:tcPr>
            <w:tcW w:w="833" w:type="pct"/>
            <w:shd w:val="clear" w:color="auto" w:fill="auto"/>
          </w:tcPr>
          <w:p w14:paraId="33F24D1B" w14:textId="209B7194" w:rsidR="00206890" w:rsidRPr="00781112" w:rsidRDefault="00206890"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7184CC23" w14:textId="0660F716" w:rsidR="00206890"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833" w:type="pct"/>
            <w:shd w:val="clear" w:color="auto" w:fill="auto"/>
          </w:tcPr>
          <w:p w14:paraId="0E9857EC" w14:textId="50F3C2EF" w:rsidR="00206890"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833" w:type="pct"/>
            <w:shd w:val="clear" w:color="auto" w:fill="auto"/>
            <w:vAlign w:val="center"/>
          </w:tcPr>
          <w:p w14:paraId="0571C04B" w14:textId="328A30A7" w:rsidR="00206890" w:rsidRPr="00781112" w:rsidRDefault="002B7490" w:rsidP="00A018D4">
            <w:pPr>
              <w:jc w:val="center"/>
              <w:rPr>
                <w:rFonts w:cs="Arial"/>
                <w:color w:val="000000" w:themeColor="text1"/>
                <w:szCs w:val="16"/>
              </w:rPr>
            </w:pPr>
            <w:r w:rsidRPr="00781112">
              <w:rPr>
                <w:rFonts w:cs="Arial"/>
                <w:color w:val="000000" w:themeColor="text1"/>
                <w:szCs w:val="16"/>
              </w:rPr>
              <w:t>76.00%</w:t>
            </w:r>
          </w:p>
        </w:tc>
        <w:tc>
          <w:tcPr>
            <w:tcW w:w="833" w:type="pct"/>
            <w:shd w:val="clear" w:color="auto" w:fill="auto"/>
            <w:vAlign w:val="center"/>
          </w:tcPr>
          <w:p w14:paraId="77EAC2A0" w14:textId="7A794ABC" w:rsidR="00206890" w:rsidRPr="00781112" w:rsidRDefault="002B7490" w:rsidP="00A018D4">
            <w:pPr>
              <w:jc w:val="center"/>
              <w:rPr>
                <w:rFonts w:cs="Arial"/>
                <w:color w:val="000000" w:themeColor="text1"/>
                <w:szCs w:val="16"/>
              </w:rPr>
            </w:pPr>
            <w:r w:rsidRPr="00781112">
              <w:rPr>
                <w:rFonts w:cs="Arial"/>
                <w:color w:val="000000" w:themeColor="text1"/>
                <w:szCs w:val="16"/>
              </w:rPr>
              <w:t>76.50%</w:t>
            </w:r>
          </w:p>
        </w:tc>
        <w:tc>
          <w:tcPr>
            <w:tcW w:w="834" w:type="pct"/>
            <w:shd w:val="clear" w:color="auto" w:fill="auto"/>
            <w:vAlign w:val="center"/>
          </w:tcPr>
          <w:p w14:paraId="04397BF9" w14:textId="1A3506DC" w:rsidR="00206890" w:rsidRPr="00781112" w:rsidRDefault="002B7490" w:rsidP="00A018D4">
            <w:pPr>
              <w:jc w:val="center"/>
              <w:rPr>
                <w:rFonts w:cs="Arial"/>
                <w:color w:val="000000" w:themeColor="text1"/>
                <w:szCs w:val="16"/>
              </w:rPr>
            </w:pPr>
            <w:r w:rsidRPr="00781112">
              <w:rPr>
                <w:rFonts w:cs="Arial"/>
                <w:color w:val="000000" w:themeColor="text1"/>
                <w:szCs w:val="16"/>
              </w:rPr>
              <w:t>77.00%</w:t>
            </w:r>
          </w:p>
        </w:tc>
      </w:tr>
      <w:tr w:rsidR="005C29F8" w:rsidRPr="00781112" w14:paraId="10C8B4B5" w14:textId="77777777" w:rsidTr="004B2960">
        <w:trPr>
          <w:trHeight w:val="85"/>
        </w:trPr>
        <w:tc>
          <w:tcPr>
            <w:tcW w:w="833" w:type="pct"/>
            <w:shd w:val="clear" w:color="auto" w:fill="auto"/>
          </w:tcPr>
          <w:p w14:paraId="708FF78B" w14:textId="77777777" w:rsidR="00206890" w:rsidRPr="00781112" w:rsidRDefault="00206890"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E187FD0" w14:textId="3237A264" w:rsidR="00206890" w:rsidRPr="00781112" w:rsidRDefault="002B7490" w:rsidP="00A018D4">
            <w:pPr>
              <w:jc w:val="center"/>
              <w:rPr>
                <w:rFonts w:cs="Arial"/>
                <w:color w:val="000000" w:themeColor="text1"/>
                <w:szCs w:val="16"/>
              </w:rPr>
            </w:pPr>
            <w:r w:rsidRPr="00781112">
              <w:rPr>
                <w:rFonts w:cs="Arial"/>
                <w:color w:val="000000" w:themeColor="text1"/>
                <w:szCs w:val="16"/>
              </w:rPr>
              <w:t>90.00%</w:t>
            </w:r>
          </w:p>
        </w:tc>
        <w:tc>
          <w:tcPr>
            <w:tcW w:w="833" w:type="pct"/>
            <w:shd w:val="clear" w:color="auto" w:fill="auto"/>
          </w:tcPr>
          <w:p w14:paraId="6CEC3330" w14:textId="5E8A3E06" w:rsidR="00206890"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833" w:type="pct"/>
            <w:tcBorders>
              <w:bottom w:val="single" w:sz="4" w:space="0" w:color="auto"/>
            </w:tcBorders>
            <w:shd w:val="clear" w:color="auto" w:fill="auto"/>
            <w:vAlign w:val="center"/>
          </w:tcPr>
          <w:p w14:paraId="3C74B678" w14:textId="22746FF8" w:rsidR="00206890"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833" w:type="pct"/>
            <w:tcBorders>
              <w:bottom w:val="single" w:sz="4" w:space="0" w:color="auto"/>
            </w:tcBorders>
            <w:shd w:val="clear" w:color="auto" w:fill="auto"/>
            <w:vAlign w:val="center"/>
          </w:tcPr>
          <w:p w14:paraId="6488E126" w14:textId="74B63322" w:rsidR="00206890"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834" w:type="pct"/>
            <w:tcBorders>
              <w:bottom w:val="single" w:sz="4" w:space="0" w:color="auto"/>
            </w:tcBorders>
            <w:shd w:val="clear" w:color="auto" w:fill="auto"/>
            <w:vAlign w:val="center"/>
          </w:tcPr>
          <w:p w14:paraId="72325A8D" w14:textId="79CE876D" w:rsidR="00206890" w:rsidRPr="00781112" w:rsidRDefault="002B7490" w:rsidP="00A018D4">
            <w:pPr>
              <w:jc w:val="center"/>
              <w:rPr>
                <w:rFonts w:cs="Arial"/>
                <w:color w:val="000000" w:themeColor="text1"/>
                <w:szCs w:val="16"/>
              </w:rPr>
            </w:pPr>
            <w:r w:rsidRPr="00781112">
              <w:rPr>
                <w:rFonts w:cs="Arial"/>
                <w:color w:val="000000" w:themeColor="text1"/>
                <w:szCs w:val="16"/>
              </w:rPr>
              <w:t>100.00%</w:t>
            </w:r>
          </w:p>
        </w:tc>
      </w:tr>
    </w:tbl>
    <w:p w14:paraId="49D45707" w14:textId="4136C190" w:rsidR="00CE0C68" w:rsidRPr="00781112" w:rsidRDefault="00CE0C68">
      <w:pPr>
        <w:rPr>
          <w:color w:val="000000" w:themeColor="text1"/>
        </w:rPr>
      </w:pPr>
    </w:p>
    <w:p w14:paraId="0B3CADC6" w14:textId="0A7F1EFC" w:rsidR="00372DF8" w:rsidRPr="00781112" w:rsidRDefault="00372DF8" w:rsidP="004369B2">
      <w:pPr>
        <w:rPr>
          <w:color w:val="000000" w:themeColor="text1"/>
        </w:rPr>
      </w:pPr>
      <w:r w:rsidRPr="00781112">
        <w:rPr>
          <w:b/>
          <w:color w:val="000000" w:themeColor="text1"/>
        </w:rPr>
        <w:t>Targets</w:t>
      </w:r>
    </w:p>
    <w:tbl>
      <w:tblPr>
        <w:tblW w:w="2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TARGETSOPT1"/>
      </w:tblPr>
      <w:tblGrid>
        <w:gridCol w:w="918"/>
        <w:gridCol w:w="2016"/>
        <w:gridCol w:w="1554"/>
        <w:gridCol w:w="1554"/>
      </w:tblGrid>
      <w:tr w:rsidR="00233EFB" w:rsidRPr="00781112" w14:paraId="5B5B06C7" w14:textId="5314EC59" w:rsidTr="00FE4611">
        <w:trPr>
          <w:trHeight w:val="431"/>
        </w:trPr>
        <w:tc>
          <w:tcPr>
            <w:tcW w:w="760" w:type="pct"/>
            <w:tcBorders>
              <w:bottom w:val="single" w:sz="4" w:space="0" w:color="auto"/>
            </w:tcBorders>
            <w:shd w:val="clear" w:color="auto" w:fill="auto"/>
          </w:tcPr>
          <w:p w14:paraId="31E34DD6" w14:textId="77777777" w:rsidR="00233EFB" w:rsidRPr="00781112" w:rsidRDefault="00233EFB" w:rsidP="00AF574F">
            <w:pPr>
              <w:jc w:val="center"/>
              <w:rPr>
                <w:b/>
                <w:color w:val="000000" w:themeColor="text1"/>
              </w:rPr>
            </w:pPr>
            <w:r w:rsidRPr="00781112">
              <w:rPr>
                <w:b/>
                <w:color w:val="000000" w:themeColor="text1"/>
              </w:rPr>
              <w:t>FFY</w:t>
            </w:r>
          </w:p>
        </w:tc>
        <w:tc>
          <w:tcPr>
            <w:tcW w:w="1668" w:type="pct"/>
            <w:shd w:val="clear" w:color="auto" w:fill="auto"/>
          </w:tcPr>
          <w:p w14:paraId="782DDA76" w14:textId="193A6DE4" w:rsidR="00233EFB" w:rsidRPr="00781112" w:rsidRDefault="00233EFB" w:rsidP="00AF574F">
            <w:pPr>
              <w:jc w:val="center"/>
              <w:rPr>
                <w:b/>
                <w:color w:val="000000" w:themeColor="text1"/>
              </w:rPr>
            </w:pPr>
            <w:r w:rsidRPr="00781112">
              <w:rPr>
                <w:b/>
                <w:color w:val="000000" w:themeColor="text1"/>
              </w:rPr>
              <w:t>2023</w:t>
            </w:r>
          </w:p>
        </w:tc>
        <w:tc>
          <w:tcPr>
            <w:tcW w:w="1286" w:type="pct"/>
          </w:tcPr>
          <w:p w14:paraId="64BBFFA7" w14:textId="5A89DD6A" w:rsidR="00233EFB" w:rsidRPr="00781112" w:rsidRDefault="00233EFB" w:rsidP="00AD75EE">
            <w:pPr>
              <w:spacing w:before="0" w:after="200" w:line="276" w:lineRule="auto"/>
              <w:jc w:val="center"/>
            </w:pPr>
            <w:r w:rsidRPr="00781112">
              <w:rPr>
                <w:rFonts w:cs="Arial"/>
                <w:b/>
                <w:color w:val="000000" w:themeColor="text1"/>
                <w:szCs w:val="16"/>
              </w:rPr>
              <w:t>2024</w:t>
            </w:r>
          </w:p>
        </w:tc>
        <w:tc>
          <w:tcPr>
            <w:tcW w:w="1286" w:type="pct"/>
          </w:tcPr>
          <w:p w14:paraId="1B4B8409" w14:textId="760000D9" w:rsidR="00233EFB" w:rsidRPr="00781112" w:rsidRDefault="00233EFB" w:rsidP="00AD75EE">
            <w:pPr>
              <w:spacing w:before="0" w:after="200" w:line="276" w:lineRule="auto"/>
              <w:jc w:val="center"/>
            </w:pPr>
            <w:r w:rsidRPr="00781112">
              <w:rPr>
                <w:rFonts w:cs="Arial"/>
                <w:b/>
                <w:color w:val="000000" w:themeColor="text1"/>
                <w:szCs w:val="16"/>
              </w:rPr>
              <w:t>2025</w:t>
            </w:r>
          </w:p>
        </w:tc>
      </w:tr>
      <w:tr w:rsidR="00233EFB" w:rsidRPr="00781112" w14:paraId="2E97FCFB" w14:textId="76FCB4DE" w:rsidTr="00FE4611">
        <w:trPr>
          <w:trHeight w:val="521"/>
        </w:trPr>
        <w:tc>
          <w:tcPr>
            <w:tcW w:w="760" w:type="pct"/>
            <w:shd w:val="clear" w:color="auto" w:fill="auto"/>
          </w:tcPr>
          <w:p w14:paraId="4E1FED50" w14:textId="35E6081C" w:rsidR="00233EFB" w:rsidRPr="00781112" w:rsidRDefault="00233EFB" w:rsidP="00BA3DBE">
            <w:pPr>
              <w:jc w:val="center"/>
              <w:rPr>
                <w:rFonts w:cs="Arial"/>
                <w:color w:val="000000" w:themeColor="text1"/>
                <w:szCs w:val="16"/>
              </w:rPr>
            </w:pPr>
            <w:r w:rsidRPr="00781112">
              <w:rPr>
                <w:rFonts w:cs="Arial"/>
                <w:color w:val="000000" w:themeColor="text1"/>
                <w:szCs w:val="16"/>
              </w:rPr>
              <w:t>Target &gt;=</w:t>
            </w:r>
          </w:p>
        </w:tc>
        <w:tc>
          <w:tcPr>
            <w:tcW w:w="1668" w:type="pct"/>
            <w:shd w:val="clear" w:color="auto" w:fill="auto"/>
            <w:vAlign w:val="center"/>
          </w:tcPr>
          <w:p w14:paraId="39DFFAEB" w14:textId="54D1D7D6" w:rsidR="00233EFB" w:rsidRPr="00781112" w:rsidRDefault="00233EFB" w:rsidP="008D24E3">
            <w:pPr>
              <w:jc w:val="center"/>
              <w:rPr>
                <w:rFonts w:cs="Arial"/>
                <w:color w:val="000000" w:themeColor="text1"/>
                <w:szCs w:val="16"/>
              </w:rPr>
            </w:pPr>
            <w:r w:rsidRPr="00781112">
              <w:rPr>
                <w:rFonts w:cs="Arial"/>
                <w:color w:val="000000" w:themeColor="text1"/>
                <w:szCs w:val="16"/>
              </w:rPr>
              <w:t>77.50%</w:t>
            </w:r>
          </w:p>
        </w:tc>
        <w:tc>
          <w:tcPr>
            <w:tcW w:w="1286" w:type="pct"/>
          </w:tcPr>
          <w:p w14:paraId="57B3A075" w14:textId="21F2B25E" w:rsidR="00233EFB" w:rsidRPr="00781112" w:rsidRDefault="00233EFB" w:rsidP="008D24E3">
            <w:pPr>
              <w:spacing w:before="0" w:after="200" w:line="276" w:lineRule="auto"/>
              <w:jc w:val="center"/>
            </w:pPr>
            <w:r w:rsidRPr="00781112">
              <w:rPr>
                <w:color w:val="000000" w:themeColor="text1"/>
                <w:szCs w:val="16"/>
              </w:rPr>
              <w:t>78.00%</w:t>
            </w:r>
          </w:p>
        </w:tc>
        <w:tc>
          <w:tcPr>
            <w:tcW w:w="1286" w:type="pct"/>
          </w:tcPr>
          <w:p w14:paraId="211F936E" w14:textId="58F0DC2F" w:rsidR="00233EFB" w:rsidRPr="00781112" w:rsidRDefault="00233EFB" w:rsidP="008D24E3">
            <w:pPr>
              <w:spacing w:before="0" w:after="200" w:line="276" w:lineRule="auto"/>
              <w:jc w:val="center"/>
            </w:pPr>
            <w:r w:rsidRPr="00781112">
              <w:rPr>
                <w:color w:val="000000" w:themeColor="text1"/>
                <w:szCs w:val="16"/>
              </w:rPr>
              <w:t>78.50%</w:t>
            </w:r>
          </w:p>
        </w:tc>
      </w:tr>
    </w:tbl>
    <w:p w14:paraId="25B7ED55" w14:textId="77777777" w:rsidR="00CE0C68" w:rsidRPr="00781112" w:rsidRDefault="00CE0C68" w:rsidP="004369B2">
      <w:pPr>
        <w:rPr>
          <w:color w:val="000000" w:themeColor="text1"/>
        </w:rPr>
      </w:pPr>
    </w:p>
    <w:p w14:paraId="639445A0" w14:textId="283AE359" w:rsidR="00634AD8" w:rsidRPr="00781112" w:rsidRDefault="0047313F">
      <w:pPr>
        <w:rPr>
          <w:b/>
          <w:color w:val="000000" w:themeColor="text1"/>
        </w:rPr>
      </w:pPr>
      <w:r>
        <w:rPr>
          <w:b/>
          <w:color w:val="000000" w:themeColor="text1"/>
        </w:rPr>
        <w:t>FFY 2023 SPP/APR Data</w:t>
      </w:r>
    </w:p>
    <w:p w14:paraId="59EF63A0" w14:textId="77777777" w:rsidR="00127006" w:rsidRPr="00781112" w:rsidRDefault="00127006"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5CFFYAPRDATA1OPT1"/>
      </w:tblPr>
      <w:tblGrid>
        <w:gridCol w:w="1634"/>
        <w:gridCol w:w="1625"/>
        <w:gridCol w:w="1271"/>
        <w:gridCol w:w="1908"/>
        <w:gridCol w:w="1493"/>
        <w:gridCol w:w="1452"/>
        <w:gridCol w:w="1407"/>
      </w:tblGrid>
      <w:tr w:rsidR="00B21923" w:rsidRPr="00781112" w14:paraId="7CE022CD" w14:textId="689D2875" w:rsidTr="00877012">
        <w:trPr>
          <w:trHeight w:val="354"/>
          <w:tblHeader/>
        </w:trPr>
        <w:tc>
          <w:tcPr>
            <w:tcW w:w="757" w:type="pct"/>
            <w:shd w:val="clear" w:color="auto" w:fill="auto"/>
            <w:vAlign w:val="bottom"/>
          </w:tcPr>
          <w:p w14:paraId="4A4004E2"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3.1(a) Number resolutions sessions resolved through settlement agreements</w:t>
            </w:r>
          </w:p>
        </w:tc>
        <w:tc>
          <w:tcPr>
            <w:tcW w:w="753" w:type="pct"/>
            <w:shd w:val="clear" w:color="auto" w:fill="auto"/>
            <w:vAlign w:val="bottom"/>
          </w:tcPr>
          <w:p w14:paraId="15083250"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 Number of resolutions sessions</w:t>
            </w:r>
          </w:p>
        </w:tc>
        <w:tc>
          <w:tcPr>
            <w:tcW w:w="589" w:type="pct"/>
            <w:shd w:val="clear" w:color="auto" w:fill="auto"/>
            <w:vAlign w:val="bottom"/>
          </w:tcPr>
          <w:p w14:paraId="61FCEFFA" w14:textId="76309496" w:rsidR="00B21923" w:rsidRPr="006D0A52" w:rsidRDefault="00B21923" w:rsidP="00B21923">
            <w:pPr>
              <w:jc w:val="center"/>
              <w:rPr>
                <w:rFonts w:cs="Arial"/>
                <w:b/>
                <w:bCs/>
                <w:color w:val="000000" w:themeColor="text1"/>
                <w:szCs w:val="16"/>
              </w:rPr>
            </w:pPr>
            <w:r w:rsidRPr="006D0A52">
              <w:rPr>
                <w:b/>
                <w:bCs/>
              </w:rPr>
              <w:t>FFY 2022 Data</w:t>
            </w:r>
          </w:p>
        </w:tc>
        <w:tc>
          <w:tcPr>
            <w:tcW w:w="884" w:type="pct"/>
            <w:shd w:val="clear" w:color="auto" w:fill="auto"/>
            <w:vAlign w:val="bottom"/>
          </w:tcPr>
          <w:p w14:paraId="5285C3DA" w14:textId="40C134BB" w:rsidR="00B21923" w:rsidRPr="006D0A52" w:rsidRDefault="00B21923" w:rsidP="00B21923">
            <w:pPr>
              <w:jc w:val="center"/>
              <w:rPr>
                <w:rFonts w:cs="Arial"/>
                <w:b/>
                <w:bCs/>
                <w:color w:val="000000" w:themeColor="text1"/>
                <w:szCs w:val="16"/>
              </w:rPr>
            </w:pPr>
            <w:r w:rsidRPr="006D0A52">
              <w:rPr>
                <w:b/>
                <w:bCs/>
              </w:rPr>
              <w:t>FFY 2023 Target</w:t>
            </w:r>
          </w:p>
        </w:tc>
        <w:tc>
          <w:tcPr>
            <w:tcW w:w="692" w:type="pct"/>
            <w:shd w:val="clear" w:color="auto" w:fill="auto"/>
            <w:vAlign w:val="bottom"/>
          </w:tcPr>
          <w:p w14:paraId="767EE33A" w14:textId="4F10B5AF" w:rsidR="00B21923" w:rsidRPr="006D0A52" w:rsidRDefault="00B21923" w:rsidP="00B21923">
            <w:pPr>
              <w:jc w:val="center"/>
              <w:rPr>
                <w:rFonts w:cs="Arial"/>
                <w:b/>
                <w:bCs/>
                <w:color w:val="000000" w:themeColor="text1"/>
                <w:szCs w:val="16"/>
              </w:rPr>
            </w:pPr>
            <w:r w:rsidRPr="006D0A52">
              <w:rPr>
                <w:b/>
                <w:bCs/>
              </w:rPr>
              <w:t>FFY 2023 Data</w:t>
            </w:r>
          </w:p>
        </w:tc>
        <w:tc>
          <w:tcPr>
            <w:tcW w:w="673" w:type="pct"/>
            <w:shd w:val="clear" w:color="auto" w:fill="auto"/>
            <w:vAlign w:val="bottom"/>
          </w:tcPr>
          <w:p w14:paraId="3FC7FD1C" w14:textId="7EA4D921"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652" w:type="pct"/>
            <w:shd w:val="clear" w:color="auto" w:fill="auto"/>
            <w:vAlign w:val="bottom"/>
          </w:tcPr>
          <w:p w14:paraId="7025F3A2" w14:textId="466A0744"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104AFA36" w14:textId="7B00739A" w:rsidTr="00877012">
        <w:trPr>
          <w:trHeight w:val="361"/>
        </w:trPr>
        <w:tc>
          <w:tcPr>
            <w:tcW w:w="757" w:type="pct"/>
            <w:shd w:val="clear" w:color="auto" w:fill="auto"/>
            <w:vAlign w:val="center"/>
          </w:tcPr>
          <w:p w14:paraId="3DA400B1" w14:textId="063A879F" w:rsidR="00372DF8" w:rsidRPr="00781112" w:rsidRDefault="002B7490" w:rsidP="00A018D4">
            <w:pPr>
              <w:jc w:val="center"/>
              <w:rPr>
                <w:rFonts w:cs="Arial"/>
                <w:color w:val="000000" w:themeColor="text1"/>
                <w:szCs w:val="16"/>
              </w:rPr>
            </w:pPr>
            <w:r w:rsidRPr="00781112">
              <w:rPr>
                <w:rFonts w:cs="Arial"/>
                <w:color w:val="000000" w:themeColor="text1"/>
                <w:szCs w:val="16"/>
              </w:rPr>
              <w:t>6</w:t>
            </w:r>
          </w:p>
        </w:tc>
        <w:tc>
          <w:tcPr>
            <w:tcW w:w="753" w:type="pct"/>
            <w:shd w:val="clear" w:color="auto" w:fill="auto"/>
          </w:tcPr>
          <w:p w14:paraId="57BB67A2" w14:textId="2B997355" w:rsidR="00372DF8" w:rsidRPr="00781112" w:rsidRDefault="002B7490" w:rsidP="00A018D4">
            <w:pPr>
              <w:jc w:val="center"/>
              <w:rPr>
                <w:rFonts w:cs="Arial"/>
                <w:color w:val="000000" w:themeColor="text1"/>
                <w:szCs w:val="16"/>
              </w:rPr>
            </w:pPr>
            <w:r w:rsidRPr="00781112">
              <w:rPr>
                <w:rFonts w:cs="Arial"/>
                <w:color w:val="000000" w:themeColor="text1"/>
                <w:szCs w:val="16"/>
              </w:rPr>
              <w:t>6</w:t>
            </w:r>
          </w:p>
        </w:tc>
        <w:tc>
          <w:tcPr>
            <w:tcW w:w="589" w:type="pct"/>
            <w:shd w:val="clear" w:color="auto" w:fill="auto"/>
          </w:tcPr>
          <w:p w14:paraId="759C2AEB" w14:textId="7C5FF94E" w:rsidR="00372DF8"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884" w:type="pct"/>
            <w:shd w:val="clear" w:color="auto" w:fill="auto"/>
          </w:tcPr>
          <w:p w14:paraId="446CA14A" w14:textId="2AFBAFDB" w:rsidR="00372DF8" w:rsidRPr="00781112" w:rsidRDefault="002B7490" w:rsidP="00A018D4">
            <w:pPr>
              <w:jc w:val="center"/>
              <w:rPr>
                <w:rFonts w:cs="Arial"/>
                <w:color w:val="000000" w:themeColor="text1"/>
                <w:szCs w:val="16"/>
              </w:rPr>
            </w:pPr>
            <w:r w:rsidRPr="00781112">
              <w:rPr>
                <w:rFonts w:cs="Arial"/>
                <w:color w:val="000000" w:themeColor="text1"/>
                <w:szCs w:val="16"/>
              </w:rPr>
              <w:t>77.50%</w:t>
            </w:r>
          </w:p>
        </w:tc>
        <w:tc>
          <w:tcPr>
            <w:tcW w:w="692" w:type="pct"/>
            <w:shd w:val="clear" w:color="auto" w:fill="auto"/>
          </w:tcPr>
          <w:p w14:paraId="4B8389D1" w14:textId="31159250" w:rsidR="00372DF8"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673" w:type="pct"/>
            <w:shd w:val="clear" w:color="auto" w:fill="auto"/>
          </w:tcPr>
          <w:p w14:paraId="73DE10E2" w14:textId="0659DF1D" w:rsidR="00372DF8"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52" w:type="pct"/>
            <w:shd w:val="clear" w:color="auto" w:fill="auto"/>
          </w:tcPr>
          <w:p w14:paraId="5B5FCE8F" w14:textId="2E877FC8" w:rsidR="00372DF8"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1C1290A" w14:textId="0F368A1B"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225AF7B0" w14:textId="0953EFAC" w:rsidR="00293C7E" w:rsidRPr="00781112" w:rsidRDefault="00293C7E" w:rsidP="007D435F">
      <w:pPr>
        <w:rPr>
          <w:rFonts w:cs="Arial"/>
          <w:color w:val="000000" w:themeColor="text1"/>
          <w:szCs w:val="16"/>
        </w:rPr>
      </w:pPr>
    </w:p>
    <w:p w14:paraId="69486921" w14:textId="29EDB346" w:rsidR="00293C7E" w:rsidRPr="00781112" w:rsidRDefault="00DF2D3A" w:rsidP="00123D76">
      <w:pPr>
        <w:pStyle w:val="Heading2"/>
      </w:pPr>
      <w:r w:rsidRPr="00781112">
        <w:t>15</w:t>
      </w:r>
      <w:r w:rsidR="001D508D" w:rsidRPr="00781112">
        <w:t xml:space="preserve"> </w:t>
      </w:r>
      <w:r w:rsidRPr="00781112">
        <w:t xml:space="preserve">- </w:t>
      </w:r>
      <w:r w:rsidR="00293C7E" w:rsidRPr="00781112">
        <w:t>Prior FFY Required Actions</w:t>
      </w:r>
    </w:p>
    <w:p w14:paraId="19F5FEB1" w14:textId="2905DE18" w:rsidR="00293C7E" w:rsidRPr="00781112" w:rsidRDefault="002B7490" w:rsidP="00293C7E">
      <w:pPr>
        <w:rPr>
          <w:rFonts w:cs="Arial"/>
          <w:color w:val="000000" w:themeColor="text1"/>
          <w:szCs w:val="16"/>
        </w:rPr>
      </w:pPr>
      <w:r w:rsidRPr="00781112">
        <w:rPr>
          <w:rFonts w:cs="Arial"/>
          <w:color w:val="000000" w:themeColor="text1"/>
          <w:szCs w:val="16"/>
        </w:rPr>
        <w:t>None</w:t>
      </w:r>
    </w:p>
    <w:p w14:paraId="6506D351" w14:textId="1F034745" w:rsidR="00913A33" w:rsidRPr="00781112" w:rsidRDefault="00DF2D3A" w:rsidP="00123D76">
      <w:pPr>
        <w:pStyle w:val="Heading2"/>
      </w:pPr>
      <w:r w:rsidRPr="00781112">
        <w:t>15 - OSEP Response</w:t>
      </w:r>
    </w:p>
    <w:p w14:paraId="639FEA08" w14:textId="30C19155" w:rsidR="00293C7E" w:rsidRPr="00781112" w:rsidRDefault="002B7490" w:rsidP="001F692C">
      <w:pPr>
        <w:rPr>
          <w:rFonts w:cs="Arial"/>
          <w:color w:val="000000" w:themeColor="text1"/>
          <w:szCs w:val="16"/>
        </w:rPr>
      </w:pPr>
      <w:r w:rsidRPr="00781112">
        <w:rPr>
          <w:rFonts w:cs="Arial"/>
          <w:color w:val="000000" w:themeColor="text1"/>
          <w:szCs w:val="16"/>
        </w:rPr>
        <w:t>The State reported fewer than ten resolution sessions held in FFY 2023. The State is not required to meet its targets until any fiscal year in which ten or more resolution sessions were held.</w:t>
      </w:r>
    </w:p>
    <w:p w14:paraId="7634025D" w14:textId="5BD1D671" w:rsidR="00913A33" w:rsidRPr="00781112" w:rsidRDefault="00DF2D3A" w:rsidP="00123D76">
      <w:pPr>
        <w:pStyle w:val="Heading2"/>
      </w:pPr>
      <w:r w:rsidRPr="00781112">
        <w:t>15 - Required Actions</w:t>
      </w:r>
    </w:p>
    <w:p w14:paraId="06C735B1" w14:textId="277EA689" w:rsidR="00293C7E" w:rsidRPr="00781112" w:rsidRDefault="00293C7E" w:rsidP="001F692C">
      <w:pPr>
        <w:rPr>
          <w:rFonts w:cs="Arial"/>
          <w:color w:val="000000" w:themeColor="text1"/>
          <w:szCs w:val="16"/>
        </w:rPr>
      </w:pPr>
    </w:p>
    <w:p w14:paraId="259DEDCC" w14:textId="77777777" w:rsidR="000C60E1" w:rsidRPr="00781112" w:rsidRDefault="000C60E1">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3B0D4FE" w14:textId="095B9B99" w:rsidR="007F0CEC" w:rsidRPr="00781112" w:rsidRDefault="007F0CEC" w:rsidP="000444E2">
      <w:pPr>
        <w:pStyle w:val="Heading1"/>
        <w:rPr>
          <w:color w:val="000000" w:themeColor="text1"/>
          <w:sz w:val="22"/>
        </w:rPr>
      </w:pPr>
      <w:r w:rsidRPr="00781112">
        <w:rPr>
          <w:color w:val="000000" w:themeColor="text1"/>
          <w:sz w:val="22"/>
        </w:rPr>
        <w:lastRenderedPageBreak/>
        <w:t>Indicator 16: Mediation</w:t>
      </w:r>
    </w:p>
    <w:p w14:paraId="589E185D" w14:textId="446D5125" w:rsidR="00BF232E" w:rsidRPr="002C274F" w:rsidRDefault="00BF232E" w:rsidP="002C274F">
      <w:pPr>
        <w:rPr>
          <w:b/>
          <w:bCs/>
          <w:sz w:val="20"/>
          <w:szCs w:val="20"/>
        </w:rPr>
      </w:pPr>
      <w:bookmarkStart w:id="94" w:name="_Toc382731916"/>
      <w:bookmarkStart w:id="95" w:name="_Toc392159344"/>
      <w:r w:rsidRPr="002C274F">
        <w:rPr>
          <w:b/>
          <w:bCs/>
          <w:sz w:val="20"/>
          <w:szCs w:val="20"/>
        </w:rPr>
        <w:t>Instructions and Measurement</w:t>
      </w:r>
    </w:p>
    <w:p w14:paraId="41E7E4F9" w14:textId="500BC36F" w:rsidR="009B6586" w:rsidRPr="00781112" w:rsidRDefault="009B6586" w:rsidP="008E31C4">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573A26D5" w14:textId="77777777" w:rsidR="00692B95" w:rsidRPr="00781112" w:rsidRDefault="009B6586" w:rsidP="008E31C4">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mediations held that resulted in mediation agreements.</w:t>
      </w:r>
      <w:r w:rsidR="00131842" w:rsidRPr="00781112">
        <w:rPr>
          <w:rFonts w:cs="Arial"/>
          <w:color w:val="000000" w:themeColor="text1"/>
          <w:szCs w:val="16"/>
        </w:rPr>
        <w:t xml:space="preserve"> </w:t>
      </w:r>
    </w:p>
    <w:p w14:paraId="7847EFFB" w14:textId="03A11F4B" w:rsidR="009B6586" w:rsidRPr="00781112" w:rsidRDefault="009B6586" w:rsidP="008E31C4">
      <w:pPr>
        <w:rPr>
          <w:rFonts w:cs="Arial"/>
          <w:color w:val="000000" w:themeColor="text1"/>
          <w:szCs w:val="16"/>
        </w:rPr>
      </w:pPr>
      <w:r w:rsidRPr="00781112">
        <w:rPr>
          <w:rFonts w:cs="Arial"/>
          <w:color w:val="000000" w:themeColor="text1"/>
          <w:szCs w:val="16"/>
        </w:rPr>
        <w:t>(20 U.S.C. 1416(a)(3(B))</w:t>
      </w:r>
    </w:p>
    <w:p w14:paraId="0F859DBB" w14:textId="77777777" w:rsidR="00692B95" w:rsidRPr="00781112" w:rsidRDefault="00692B95" w:rsidP="004369B2">
      <w:pPr>
        <w:rPr>
          <w:color w:val="000000" w:themeColor="text1"/>
        </w:rPr>
      </w:pPr>
      <w:r w:rsidRPr="00781112">
        <w:rPr>
          <w:b/>
          <w:color w:val="000000" w:themeColor="text1"/>
        </w:rPr>
        <w:t>Data Source</w:t>
      </w:r>
    </w:p>
    <w:p w14:paraId="1400D43F" w14:textId="253D0B1A" w:rsidR="00692B95" w:rsidRPr="00781112" w:rsidRDefault="00692B95" w:rsidP="008E31C4">
      <w:pPr>
        <w:rPr>
          <w:rFonts w:cs="Arial"/>
          <w:color w:val="000000" w:themeColor="text1"/>
          <w:szCs w:val="16"/>
        </w:rPr>
      </w:pPr>
      <w:r w:rsidRPr="00781112">
        <w:rPr>
          <w:rFonts w:cs="Arial"/>
          <w:color w:val="000000" w:themeColor="text1"/>
          <w:szCs w:val="16"/>
        </w:rPr>
        <w:t>Data collected under section 618 of the IDEA (IDEA Part B Dispute Resolution Survey in the ED</w:t>
      </w:r>
      <w:r w:rsidRPr="00BA3DBE">
        <w:rPr>
          <w:rFonts w:cs="Arial"/>
          <w:i/>
          <w:iCs/>
          <w:color w:val="000000" w:themeColor="text1"/>
          <w:szCs w:val="16"/>
        </w:rPr>
        <w:t>Facts</w:t>
      </w:r>
      <w:r w:rsidRPr="00781112">
        <w:rPr>
          <w:rFonts w:cs="Arial"/>
          <w:color w:val="000000" w:themeColor="text1"/>
          <w:szCs w:val="16"/>
        </w:rPr>
        <w:t xml:space="preserve"> Metadata and Process System (E</w:t>
      </w:r>
      <w:r w:rsidR="00E65E32" w:rsidRPr="00781112">
        <w:rPr>
          <w:rFonts w:cs="Arial"/>
          <w:i/>
          <w:color w:val="000000" w:themeColor="text1"/>
          <w:szCs w:val="16"/>
        </w:rPr>
        <w:t>MAPS</w:t>
      </w:r>
      <w:r w:rsidRPr="00781112">
        <w:rPr>
          <w:rFonts w:cs="Arial"/>
          <w:color w:val="000000" w:themeColor="text1"/>
          <w:szCs w:val="16"/>
        </w:rPr>
        <w:t>)).</w:t>
      </w:r>
    </w:p>
    <w:p w14:paraId="7EDB2909" w14:textId="77777777" w:rsidR="00692B95" w:rsidRPr="00781112" w:rsidRDefault="00692B95" w:rsidP="004369B2">
      <w:pPr>
        <w:rPr>
          <w:color w:val="000000" w:themeColor="text1"/>
        </w:rPr>
      </w:pPr>
      <w:r w:rsidRPr="00781112">
        <w:rPr>
          <w:b/>
          <w:color w:val="000000" w:themeColor="text1"/>
        </w:rPr>
        <w:t>Measurement</w:t>
      </w:r>
    </w:p>
    <w:p w14:paraId="38C2284B" w14:textId="1E75D304" w:rsidR="00692B95" w:rsidRPr="00781112" w:rsidRDefault="00692B95" w:rsidP="008E31C4">
      <w:pPr>
        <w:rPr>
          <w:rFonts w:cs="Arial"/>
          <w:color w:val="000000" w:themeColor="text1"/>
          <w:szCs w:val="16"/>
        </w:rPr>
      </w:pPr>
      <w:r w:rsidRPr="00781112">
        <w:rPr>
          <w:rFonts w:cs="Arial"/>
          <w:color w:val="000000" w:themeColor="text1"/>
          <w:szCs w:val="16"/>
        </w:rPr>
        <w:t>Percent = (2.1(a)(i) + 2.1(b)(i)) divided by 2.1) times 100.</w:t>
      </w:r>
    </w:p>
    <w:p w14:paraId="0B909FFD" w14:textId="77777777" w:rsidR="00692B95" w:rsidRPr="00781112" w:rsidRDefault="00692B95" w:rsidP="004369B2">
      <w:pPr>
        <w:rPr>
          <w:color w:val="000000" w:themeColor="text1"/>
        </w:rPr>
      </w:pPr>
      <w:r w:rsidRPr="00781112">
        <w:rPr>
          <w:b/>
          <w:color w:val="000000" w:themeColor="text1"/>
        </w:rPr>
        <w:t>Instructions</w:t>
      </w:r>
    </w:p>
    <w:p w14:paraId="46565F1D" w14:textId="77777777" w:rsidR="00692B95" w:rsidRPr="00781112" w:rsidRDefault="00692B95" w:rsidP="00286BDF">
      <w:pPr>
        <w:rPr>
          <w:rFonts w:cs="Arial"/>
          <w:i/>
          <w:iCs/>
          <w:color w:val="000000" w:themeColor="text1"/>
          <w:szCs w:val="16"/>
        </w:rPr>
      </w:pPr>
      <w:r w:rsidRPr="00781112">
        <w:rPr>
          <w:rFonts w:cs="Arial"/>
          <w:i/>
          <w:iCs/>
          <w:color w:val="000000" w:themeColor="text1"/>
          <w:szCs w:val="16"/>
        </w:rPr>
        <w:t>Sampling is not allowed.</w:t>
      </w:r>
    </w:p>
    <w:p w14:paraId="7A8BA9D5" w14:textId="77777777" w:rsidR="00692B95" w:rsidRPr="00781112" w:rsidRDefault="00692B95"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5AFF4976" w14:textId="749CC869" w:rsidR="00692B95" w:rsidRPr="00781112" w:rsidRDefault="00692B95" w:rsidP="00286BDF">
      <w:pPr>
        <w:rPr>
          <w:rFonts w:cs="Arial"/>
          <w:color w:val="000000" w:themeColor="text1"/>
          <w:szCs w:val="16"/>
        </w:rPr>
      </w:pPr>
      <w:r w:rsidRPr="00781112">
        <w:rPr>
          <w:rFonts w:cs="Arial"/>
          <w:color w:val="000000" w:themeColor="text1"/>
          <w:szCs w:val="16"/>
        </w:rPr>
        <w:t xml:space="preserve">States are not required to establish baselines or targets if the number of </w:t>
      </w:r>
      <w:r w:rsidR="00482C3B" w:rsidRPr="00781112">
        <w:rPr>
          <w:rFonts w:cs="Arial"/>
          <w:szCs w:val="16"/>
        </w:rPr>
        <w:t>mediations</w:t>
      </w:r>
      <w:r w:rsidRPr="00781112">
        <w:rPr>
          <w:rFonts w:cs="Arial"/>
          <w:color w:val="000000" w:themeColor="text1"/>
          <w:szCs w:val="16"/>
        </w:rPr>
        <w:t xml:space="preserve"> is less than 10. In a reporting period when the number of </w:t>
      </w:r>
      <w:r w:rsidR="00DA0D8C" w:rsidRPr="00781112">
        <w:rPr>
          <w:rFonts w:cs="Arial"/>
          <w:szCs w:val="16"/>
        </w:rPr>
        <w:t xml:space="preserve">mediations reaches </w:t>
      </w:r>
      <w:r w:rsidRPr="00781112">
        <w:rPr>
          <w:rFonts w:cs="Arial"/>
          <w:color w:val="000000" w:themeColor="text1"/>
          <w:szCs w:val="16"/>
        </w:rPr>
        <w:t>10 or greater, develop baseline</w:t>
      </w:r>
      <w:r w:rsidR="00D14A1B" w:rsidRPr="00781112">
        <w:rPr>
          <w:rFonts w:cs="Arial"/>
          <w:color w:val="000000" w:themeColor="text1"/>
          <w:szCs w:val="16"/>
        </w:rPr>
        <w:t xml:space="preserve"> and</w:t>
      </w:r>
      <w:r w:rsidRPr="00781112">
        <w:rPr>
          <w:rFonts w:cs="Arial"/>
          <w:color w:val="000000" w:themeColor="text1"/>
          <w:szCs w:val="16"/>
        </w:rPr>
        <w:t xml:space="preserve"> targets and report on them in the corresponding SPP/APR.</w:t>
      </w:r>
    </w:p>
    <w:p w14:paraId="0EB22217" w14:textId="77777777" w:rsidR="00692B95" w:rsidRPr="00781112" w:rsidRDefault="00692B95" w:rsidP="00286BDF">
      <w:pPr>
        <w:rPr>
          <w:rFonts w:cs="Arial"/>
          <w:color w:val="000000" w:themeColor="text1"/>
          <w:szCs w:val="16"/>
        </w:rPr>
      </w:pPr>
      <w:r w:rsidRPr="00781112">
        <w:rPr>
          <w:rFonts w:cs="Arial"/>
          <w:color w:val="000000" w:themeColor="text1"/>
          <w:szCs w:val="16"/>
        </w:rPr>
        <w:t>States may express their targets in a range (e.g., 75-85%).</w:t>
      </w:r>
    </w:p>
    <w:p w14:paraId="62D2873F" w14:textId="77777777" w:rsidR="00692B95" w:rsidRPr="00781112" w:rsidRDefault="00692B95"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419B733F" w14:textId="44198020" w:rsidR="00692B95" w:rsidRPr="00781112" w:rsidRDefault="00692B95" w:rsidP="00286BDF">
      <w:pPr>
        <w:rPr>
          <w:rFonts w:cs="Arial"/>
          <w:color w:val="000000" w:themeColor="text1"/>
          <w:szCs w:val="16"/>
        </w:rPr>
      </w:pPr>
      <w:r w:rsidRPr="00781112">
        <w:rPr>
          <w:rFonts w:cs="Arial"/>
          <w:color w:val="000000" w:themeColor="text1"/>
          <w:szCs w:val="16"/>
        </w:rPr>
        <w:t>States are not required to report data at the LEA level.</w:t>
      </w:r>
    </w:p>
    <w:p w14:paraId="32179671" w14:textId="1C1C859E" w:rsidR="00B37C74" w:rsidRPr="00781112" w:rsidRDefault="001C46DC" w:rsidP="00123D76">
      <w:pPr>
        <w:pStyle w:val="Heading2"/>
      </w:pPr>
      <w:r w:rsidRPr="00781112">
        <w:t>16</w:t>
      </w:r>
      <w:r w:rsidR="001D508D" w:rsidRPr="00781112">
        <w:t xml:space="preserve"> </w:t>
      </w:r>
      <w:r w:rsidRPr="00781112">
        <w:t xml:space="preserve">- </w:t>
      </w:r>
      <w:r w:rsidR="00BF232E" w:rsidRPr="00781112">
        <w:t>Indicator Data</w:t>
      </w:r>
    </w:p>
    <w:p w14:paraId="6A39385A" w14:textId="49DFE75B" w:rsidR="00F31AD8" w:rsidRPr="00781112" w:rsidRDefault="007D219D" w:rsidP="00F31AD8">
      <w:pPr>
        <w:rPr>
          <w:rFonts w:cs="Arial"/>
          <w:b/>
          <w:color w:val="000000" w:themeColor="text1"/>
          <w:szCs w:val="16"/>
        </w:rPr>
      </w:pPr>
      <w:r w:rsidRPr="00781112">
        <w:rPr>
          <w:rFonts w:cs="Arial"/>
          <w:b/>
          <w:color w:val="000000" w:themeColor="text1"/>
          <w:szCs w:val="16"/>
        </w:rPr>
        <w:t>Select yes to use target ranges</w:t>
      </w:r>
    </w:p>
    <w:p w14:paraId="6CBE99A1" w14:textId="4EA49071" w:rsidR="00F31AD8" w:rsidRPr="00781112" w:rsidRDefault="00F31AD8" w:rsidP="004369B2">
      <w:pPr>
        <w:rPr>
          <w:color w:val="000000" w:themeColor="text1"/>
        </w:rPr>
      </w:pPr>
      <w:r w:rsidRPr="00781112">
        <w:rPr>
          <w:rFonts w:cs="Arial"/>
          <w:color w:val="000000" w:themeColor="text1"/>
          <w:szCs w:val="16"/>
        </w:rPr>
        <w:t>Target Range not used</w:t>
      </w:r>
    </w:p>
    <w:bookmarkEnd w:id="94"/>
    <w:bookmarkEnd w:id="95"/>
    <w:p w14:paraId="3951D0E9" w14:textId="77777777" w:rsidR="00DA3157" w:rsidRPr="00781112" w:rsidRDefault="00DA3157" w:rsidP="004369B2">
      <w:pPr>
        <w:rPr>
          <w:color w:val="000000" w:themeColor="text1"/>
        </w:rPr>
      </w:pPr>
    </w:p>
    <w:p w14:paraId="118840D3" w14:textId="0C4E77AD" w:rsidR="008E31C4" w:rsidRPr="00781112" w:rsidRDefault="008E31C4"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6PREPOP"/>
      </w:tblPr>
      <w:tblGrid>
        <w:gridCol w:w="2695"/>
        <w:gridCol w:w="2790"/>
        <w:gridCol w:w="3522"/>
        <w:gridCol w:w="1783"/>
      </w:tblGrid>
      <w:tr w:rsidR="005C29F8" w:rsidRPr="00781112" w14:paraId="61A5E3A0" w14:textId="77777777" w:rsidTr="0064117D">
        <w:trPr>
          <w:trHeight w:val="372"/>
          <w:tblHeader/>
        </w:trPr>
        <w:tc>
          <w:tcPr>
            <w:tcW w:w="1249" w:type="pct"/>
            <w:shd w:val="clear" w:color="auto" w:fill="auto"/>
          </w:tcPr>
          <w:p w14:paraId="332BA503"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Source</w:t>
            </w:r>
          </w:p>
        </w:tc>
        <w:tc>
          <w:tcPr>
            <w:tcW w:w="1293" w:type="pct"/>
            <w:shd w:val="clear" w:color="auto" w:fill="auto"/>
          </w:tcPr>
          <w:p w14:paraId="2C662D12"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Date</w:t>
            </w:r>
          </w:p>
        </w:tc>
        <w:tc>
          <w:tcPr>
            <w:tcW w:w="1632" w:type="pct"/>
            <w:shd w:val="clear" w:color="auto" w:fill="auto"/>
          </w:tcPr>
          <w:p w14:paraId="66DBE23B"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Description</w:t>
            </w:r>
          </w:p>
        </w:tc>
        <w:tc>
          <w:tcPr>
            <w:tcW w:w="826" w:type="pct"/>
            <w:shd w:val="clear" w:color="auto" w:fill="auto"/>
          </w:tcPr>
          <w:p w14:paraId="1C82D158"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0EB08E99" w14:textId="77777777" w:rsidTr="0064117D">
        <w:trPr>
          <w:trHeight w:val="380"/>
        </w:trPr>
        <w:tc>
          <w:tcPr>
            <w:tcW w:w="1249" w:type="pct"/>
            <w:shd w:val="clear" w:color="auto" w:fill="auto"/>
          </w:tcPr>
          <w:p w14:paraId="341A55FB" w14:textId="389190B6" w:rsidR="001126C3" w:rsidRPr="00781112" w:rsidRDefault="002B7490" w:rsidP="001126C3">
            <w:pPr>
              <w:jc w:val="center"/>
              <w:rPr>
                <w:rFonts w:cs="Arial"/>
                <w:color w:val="000000" w:themeColor="text1"/>
                <w:szCs w:val="16"/>
              </w:rPr>
            </w:pPr>
            <w:r w:rsidRPr="00781112">
              <w:rPr>
                <w:rFonts w:cs="Arial"/>
                <w:color w:val="000000" w:themeColor="text1"/>
                <w:szCs w:val="16"/>
              </w:rPr>
              <w:t>SY 2023-24 EMAPS IDEA Part B Dispute Resolution Survey; Section B: Mediation Requests</w:t>
            </w:r>
          </w:p>
        </w:tc>
        <w:tc>
          <w:tcPr>
            <w:tcW w:w="1293" w:type="pct"/>
            <w:shd w:val="clear" w:color="auto" w:fill="auto"/>
          </w:tcPr>
          <w:p w14:paraId="71614464" w14:textId="4369755A"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32" w:type="pct"/>
            <w:shd w:val="clear" w:color="auto" w:fill="auto"/>
          </w:tcPr>
          <w:p w14:paraId="3B8991BC" w14:textId="35D24A7C" w:rsidR="001126C3" w:rsidRPr="00781112" w:rsidRDefault="001126C3" w:rsidP="001126C3">
            <w:pPr>
              <w:rPr>
                <w:rFonts w:cs="Arial"/>
                <w:color w:val="000000" w:themeColor="text1"/>
                <w:szCs w:val="16"/>
              </w:rPr>
            </w:pPr>
            <w:r w:rsidRPr="00781112">
              <w:rPr>
                <w:rFonts w:cs="Arial"/>
                <w:color w:val="000000" w:themeColor="text1"/>
                <w:szCs w:val="16"/>
              </w:rPr>
              <w:t>2.1 Mediations held</w:t>
            </w:r>
          </w:p>
        </w:tc>
        <w:tc>
          <w:tcPr>
            <w:tcW w:w="826" w:type="pct"/>
            <w:shd w:val="clear" w:color="auto" w:fill="auto"/>
          </w:tcPr>
          <w:p w14:paraId="27A8B83C" w14:textId="708549A5" w:rsidR="001126C3" w:rsidRPr="00781112" w:rsidRDefault="002B7490" w:rsidP="00A018D4">
            <w:pPr>
              <w:jc w:val="center"/>
              <w:rPr>
                <w:rFonts w:cs="Arial"/>
                <w:color w:val="000000" w:themeColor="text1"/>
                <w:szCs w:val="16"/>
              </w:rPr>
            </w:pPr>
            <w:r w:rsidRPr="00781112">
              <w:rPr>
                <w:rFonts w:cs="Arial"/>
                <w:color w:val="000000" w:themeColor="text1"/>
                <w:szCs w:val="16"/>
              </w:rPr>
              <w:t>4</w:t>
            </w:r>
          </w:p>
        </w:tc>
      </w:tr>
      <w:tr w:rsidR="005C29F8" w:rsidRPr="00781112" w14:paraId="438B012B" w14:textId="77777777" w:rsidTr="0064117D">
        <w:trPr>
          <w:trHeight w:val="380"/>
        </w:trPr>
        <w:tc>
          <w:tcPr>
            <w:tcW w:w="1249" w:type="pct"/>
            <w:shd w:val="clear" w:color="auto" w:fill="auto"/>
          </w:tcPr>
          <w:p w14:paraId="265B2AEC" w14:textId="3FC7D25D" w:rsidR="001126C3" w:rsidRPr="00781112" w:rsidRDefault="008174C3" w:rsidP="001126C3">
            <w:pPr>
              <w:jc w:val="center"/>
              <w:rPr>
                <w:rFonts w:cs="Arial"/>
                <w:color w:val="000000" w:themeColor="text1"/>
                <w:szCs w:val="16"/>
              </w:rPr>
            </w:pPr>
            <w:r w:rsidRPr="00781112">
              <w:rPr>
                <w:rFonts w:cs="Arial"/>
                <w:color w:val="000000" w:themeColor="text1"/>
                <w:szCs w:val="16"/>
              </w:rPr>
              <w:t>SY 2023-24 EMAPS IDEA Part B Dispute Resolution Survey; Section B: Mediation Requests</w:t>
            </w:r>
          </w:p>
        </w:tc>
        <w:tc>
          <w:tcPr>
            <w:tcW w:w="1293" w:type="pct"/>
            <w:shd w:val="clear" w:color="auto" w:fill="auto"/>
          </w:tcPr>
          <w:p w14:paraId="128A6113" w14:textId="6FDE1D5D"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32" w:type="pct"/>
            <w:shd w:val="clear" w:color="auto" w:fill="auto"/>
          </w:tcPr>
          <w:p w14:paraId="61BAD85D" w14:textId="300FEE8B" w:rsidR="001126C3" w:rsidRPr="00781112" w:rsidRDefault="001126C3" w:rsidP="001126C3">
            <w:pPr>
              <w:rPr>
                <w:rFonts w:cs="Arial"/>
                <w:color w:val="000000" w:themeColor="text1"/>
                <w:szCs w:val="16"/>
              </w:rPr>
            </w:pPr>
            <w:r w:rsidRPr="00781112">
              <w:rPr>
                <w:rFonts w:cs="Arial"/>
                <w:color w:val="000000" w:themeColor="text1"/>
                <w:szCs w:val="16"/>
              </w:rPr>
              <w:t>2.1.a.i Mediations agreements related to due process complaints</w:t>
            </w:r>
          </w:p>
        </w:tc>
        <w:tc>
          <w:tcPr>
            <w:tcW w:w="826" w:type="pct"/>
            <w:shd w:val="clear" w:color="auto" w:fill="auto"/>
          </w:tcPr>
          <w:p w14:paraId="580B460B" w14:textId="49FBB0F1" w:rsidR="001126C3" w:rsidRPr="00781112" w:rsidRDefault="002B7490" w:rsidP="00A018D4">
            <w:pPr>
              <w:jc w:val="center"/>
              <w:rPr>
                <w:rFonts w:cs="Arial"/>
                <w:color w:val="000000" w:themeColor="text1"/>
                <w:szCs w:val="16"/>
              </w:rPr>
            </w:pPr>
            <w:r w:rsidRPr="00781112">
              <w:rPr>
                <w:rFonts w:cs="Arial"/>
                <w:color w:val="000000" w:themeColor="text1"/>
                <w:szCs w:val="16"/>
              </w:rPr>
              <w:t>1</w:t>
            </w:r>
          </w:p>
        </w:tc>
      </w:tr>
      <w:tr w:rsidR="005C29F8" w:rsidRPr="00781112" w14:paraId="53310D0D" w14:textId="77777777" w:rsidTr="0064117D">
        <w:trPr>
          <w:trHeight w:val="380"/>
        </w:trPr>
        <w:tc>
          <w:tcPr>
            <w:tcW w:w="1249" w:type="pct"/>
            <w:shd w:val="clear" w:color="auto" w:fill="auto"/>
          </w:tcPr>
          <w:p w14:paraId="295563AC" w14:textId="371961FC" w:rsidR="001126C3" w:rsidRPr="00781112" w:rsidRDefault="008174C3" w:rsidP="001126C3">
            <w:pPr>
              <w:jc w:val="center"/>
              <w:rPr>
                <w:rFonts w:cs="Arial"/>
                <w:color w:val="000000" w:themeColor="text1"/>
                <w:szCs w:val="16"/>
              </w:rPr>
            </w:pPr>
            <w:r w:rsidRPr="00781112">
              <w:rPr>
                <w:rFonts w:cs="Arial"/>
                <w:color w:val="000000" w:themeColor="text1"/>
                <w:szCs w:val="16"/>
              </w:rPr>
              <w:t>SY 2023-24 EMAPS IDEA Part B Dispute Resolution Survey; Section B: Mediation Requests</w:t>
            </w:r>
          </w:p>
        </w:tc>
        <w:tc>
          <w:tcPr>
            <w:tcW w:w="1293" w:type="pct"/>
            <w:shd w:val="clear" w:color="auto" w:fill="auto"/>
          </w:tcPr>
          <w:p w14:paraId="4BDD8D48" w14:textId="63D0DB48"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32" w:type="pct"/>
            <w:shd w:val="clear" w:color="auto" w:fill="auto"/>
          </w:tcPr>
          <w:p w14:paraId="0D81EE28" w14:textId="0901AFA3" w:rsidR="001126C3" w:rsidRPr="00781112" w:rsidRDefault="001126C3" w:rsidP="001126C3">
            <w:pPr>
              <w:rPr>
                <w:rFonts w:cs="Arial"/>
                <w:color w:val="000000" w:themeColor="text1"/>
                <w:szCs w:val="16"/>
              </w:rPr>
            </w:pPr>
            <w:r w:rsidRPr="00781112">
              <w:rPr>
                <w:rFonts w:cs="Arial"/>
                <w:color w:val="000000" w:themeColor="text1"/>
                <w:szCs w:val="16"/>
              </w:rPr>
              <w:t>2.1.b.i Mediations agreements not related to due process complaints</w:t>
            </w:r>
          </w:p>
        </w:tc>
        <w:tc>
          <w:tcPr>
            <w:tcW w:w="826" w:type="pct"/>
            <w:shd w:val="clear" w:color="auto" w:fill="auto"/>
          </w:tcPr>
          <w:p w14:paraId="4C9A36B1" w14:textId="285B67BA" w:rsidR="001126C3" w:rsidRPr="00781112" w:rsidRDefault="002B7490" w:rsidP="00A018D4">
            <w:pPr>
              <w:jc w:val="center"/>
              <w:rPr>
                <w:rFonts w:cs="Arial"/>
                <w:color w:val="000000" w:themeColor="text1"/>
                <w:szCs w:val="16"/>
              </w:rPr>
            </w:pPr>
            <w:r w:rsidRPr="00781112">
              <w:rPr>
                <w:rFonts w:cs="Arial"/>
                <w:color w:val="000000" w:themeColor="text1"/>
                <w:szCs w:val="16"/>
              </w:rPr>
              <w:t>1</w:t>
            </w:r>
          </w:p>
        </w:tc>
      </w:tr>
    </w:tbl>
    <w:p w14:paraId="2C4CE14C" w14:textId="5AC27D72" w:rsidR="00E8514E" w:rsidRPr="00781112" w:rsidRDefault="007D219D">
      <w:pPr>
        <w:rPr>
          <w:b/>
          <w:color w:val="000000" w:themeColor="text1"/>
        </w:rPr>
      </w:pPr>
      <w:r w:rsidRPr="00781112">
        <w:rPr>
          <w:b/>
          <w:color w:val="000000" w:themeColor="text1"/>
        </w:rPr>
        <w:t>Select yes if the data reported in this indicator are not the same as the State’s data reported under section 618 of the IDEA.</w:t>
      </w:r>
    </w:p>
    <w:p w14:paraId="69D1C140" w14:textId="4BF355D3" w:rsidR="00E8514E" w:rsidRPr="00781112" w:rsidRDefault="00E8514E">
      <w:pPr>
        <w:rPr>
          <w:color w:val="000000" w:themeColor="text1"/>
        </w:rPr>
      </w:pPr>
      <w:r w:rsidRPr="00781112">
        <w:rPr>
          <w:color w:val="000000" w:themeColor="text1"/>
        </w:rPr>
        <w:t>NO</w:t>
      </w:r>
    </w:p>
    <w:p w14:paraId="1451EE58" w14:textId="77777777" w:rsidR="00945274" w:rsidRPr="00781112" w:rsidRDefault="00945274" w:rsidP="004369B2">
      <w:pPr>
        <w:rPr>
          <w:color w:val="000000" w:themeColor="text1"/>
        </w:rPr>
      </w:pPr>
    </w:p>
    <w:p w14:paraId="58C79350" w14:textId="310C06FF" w:rsidR="000A2C83" w:rsidRPr="00781112" w:rsidRDefault="000A2C83" w:rsidP="004369B2">
      <w:pPr>
        <w:rPr>
          <w:b/>
          <w:color w:val="000000" w:themeColor="text1"/>
        </w:rPr>
      </w:pPr>
      <w:r w:rsidRPr="00781112">
        <w:rPr>
          <w:b/>
          <w:color w:val="000000" w:themeColor="text1"/>
        </w:rPr>
        <w:t xml:space="preserve">Targets: Description of Stakeholder Input </w:t>
      </w:r>
    </w:p>
    <w:p w14:paraId="5F0F979C" w14:textId="2A86F023" w:rsidR="000A2C83" w:rsidRPr="00781112" w:rsidRDefault="002B7490" w:rsidP="000A2C83">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The baseline for this indicator was presented to stakeholders and updated based on the most current year of data that was not impacted by COVID-19 in order to get the most accurate picture of the number of mediations and their efforts to resolve disputes fairly. The targets were set to maintain a slight increase from 75% each year from FFY 2020 through 2025. This target takes into consideration the low number of mediations handled by the state most years. The stakeholders indicated acceptance of this baseline, and targets were set to 75%, but the targets were revised based on feedback from OSEP.</w:t>
      </w:r>
      <w:r w:rsidRPr="00781112">
        <w:rPr>
          <w:rFonts w:cs="Arial"/>
          <w:color w:val="000000" w:themeColor="text1"/>
          <w:szCs w:val="16"/>
        </w:rPr>
        <w:br/>
      </w:r>
      <w:r w:rsidRPr="00781112">
        <w:rPr>
          <w:rFonts w:cs="Arial"/>
          <w:color w:val="000000" w:themeColor="text1"/>
          <w:szCs w:val="16"/>
        </w:rPr>
        <w:br/>
        <w:t>FFY 2023</w:t>
      </w:r>
      <w:r w:rsidRPr="00781112">
        <w:rPr>
          <w:rFonts w:cs="Arial"/>
          <w:color w:val="000000" w:themeColor="text1"/>
          <w:szCs w:val="16"/>
        </w:rPr>
        <w:br/>
        <w:t>Stakeholders did not express interest in revising the Mediation targets during any meetings throughout the reporting period; however, WVDE/OSE is receptive to any potential recommendations that stakeholders may have regarding these targets.</w:t>
      </w:r>
    </w:p>
    <w:p w14:paraId="2C7ACE11" w14:textId="77777777" w:rsidR="00E8514E" w:rsidRPr="00781112" w:rsidRDefault="00E8514E" w:rsidP="000A2C83">
      <w:pPr>
        <w:rPr>
          <w:rFonts w:cs="Arial"/>
          <w:color w:val="000000" w:themeColor="text1"/>
          <w:szCs w:val="16"/>
        </w:rPr>
      </w:pPr>
    </w:p>
    <w:p w14:paraId="48B9C9FE" w14:textId="3C4BDA67" w:rsidR="008E31C4" w:rsidRPr="00781112" w:rsidRDefault="008E31C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6BASELINEDATA"/>
      </w:tblPr>
      <w:tblGrid>
        <w:gridCol w:w="1797"/>
        <w:gridCol w:w="1798"/>
      </w:tblGrid>
      <w:tr w:rsidR="00D75351" w:rsidRPr="00781112" w14:paraId="57AEABC0" w14:textId="77777777" w:rsidTr="00123D76">
        <w:trPr>
          <w:trHeight w:val="311"/>
          <w:tblHeader/>
        </w:trPr>
        <w:tc>
          <w:tcPr>
            <w:tcW w:w="1797" w:type="dxa"/>
          </w:tcPr>
          <w:p w14:paraId="38CE882B" w14:textId="77777777" w:rsidR="00D75351" w:rsidRPr="00781112" w:rsidRDefault="00D75351" w:rsidP="00123D76">
            <w:pPr>
              <w:jc w:val="center"/>
              <w:rPr>
                <w:b/>
                <w:color w:val="000000" w:themeColor="text1"/>
              </w:rPr>
            </w:pPr>
            <w:r w:rsidRPr="00781112">
              <w:rPr>
                <w:rFonts w:cs="Arial"/>
                <w:b/>
                <w:color w:val="000000" w:themeColor="text1"/>
                <w:szCs w:val="16"/>
              </w:rPr>
              <w:lastRenderedPageBreak/>
              <w:t>Baseline Year</w:t>
            </w:r>
          </w:p>
        </w:tc>
        <w:tc>
          <w:tcPr>
            <w:tcW w:w="1798" w:type="dxa"/>
          </w:tcPr>
          <w:p w14:paraId="664A9E7A" w14:textId="77777777" w:rsidR="00D75351" w:rsidRPr="00781112" w:rsidRDefault="00D75351" w:rsidP="00123D76">
            <w:pPr>
              <w:jc w:val="center"/>
              <w:rPr>
                <w:b/>
                <w:color w:val="000000" w:themeColor="text1"/>
              </w:rPr>
            </w:pPr>
            <w:r w:rsidRPr="00781112">
              <w:rPr>
                <w:b/>
                <w:color w:val="000000" w:themeColor="text1"/>
              </w:rPr>
              <w:t>Baseline Data</w:t>
            </w:r>
          </w:p>
        </w:tc>
      </w:tr>
      <w:tr w:rsidR="00D75351" w:rsidRPr="00781112" w14:paraId="2B59BCB7" w14:textId="77777777" w:rsidTr="00123D76">
        <w:trPr>
          <w:trHeight w:val="311"/>
        </w:trPr>
        <w:tc>
          <w:tcPr>
            <w:tcW w:w="1797" w:type="dxa"/>
            <w:vAlign w:val="center"/>
          </w:tcPr>
          <w:p w14:paraId="62FFC123" w14:textId="008A4386" w:rsidR="00D75351" w:rsidRPr="00781112" w:rsidRDefault="00D75351" w:rsidP="00123D76">
            <w:pPr>
              <w:jc w:val="center"/>
              <w:rPr>
                <w:bCs/>
                <w:color w:val="000000" w:themeColor="text1"/>
              </w:rPr>
            </w:pPr>
            <w:r w:rsidRPr="00781112">
              <w:rPr>
                <w:bCs/>
                <w:color w:val="000000" w:themeColor="text1"/>
              </w:rPr>
              <w:t>2018</w:t>
            </w:r>
          </w:p>
        </w:tc>
        <w:tc>
          <w:tcPr>
            <w:tcW w:w="1798" w:type="dxa"/>
            <w:vAlign w:val="center"/>
          </w:tcPr>
          <w:p w14:paraId="08A13422" w14:textId="52DBDA3E" w:rsidR="00D75351" w:rsidRPr="00781112" w:rsidRDefault="00D75351" w:rsidP="00123D76">
            <w:pPr>
              <w:jc w:val="center"/>
              <w:rPr>
                <w:bCs/>
                <w:color w:val="000000" w:themeColor="text1"/>
              </w:rPr>
            </w:pPr>
            <w:r w:rsidRPr="00781112">
              <w:rPr>
                <w:bCs/>
                <w:color w:val="000000" w:themeColor="text1"/>
              </w:rPr>
              <w:t>57.14%</w:t>
            </w:r>
          </w:p>
        </w:tc>
      </w:tr>
    </w:tbl>
    <w:p w14:paraId="450682C0" w14:textId="77777777" w:rsidR="00D75351" w:rsidRPr="00781112" w:rsidRDefault="00D75351"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HISTDATA"/>
      </w:tblPr>
      <w:tblGrid>
        <w:gridCol w:w="1615"/>
        <w:gridCol w:w="1799"/>
        <w:gridCol w:w="1981"/>
        <w:gridCol w:w="1798"/>
        <w:gridCol w:w="1709"/>
        <w:gridCol w:w="1888"/>
      </w:tblGrid>
      <w:tr w:rsidR="005C29F8" w:rsidRPr="00781112" w14:paraId="3061AAFC" w14:textId="77777777" w:rsidTr="004B2960">
        <w:trPr>
          <w:trHeight w:val="350"/>
        </w:trPr>
        <w:tc>
          <w:tcPr>
            <w:tcW w:w="748" w:type="pct"/>
            <w:tcBorders>
              <w:bottom w:val="single" w:sz="4" w:space="0" w:color="auto"/>
            </w:tcBorders>
            <w:shd w:val="clear" w:color="auto" w:fill="auto"/>
          </w:tcPr>
          <w:p w14:paraId="6D321354" w14:textId="77777777" w:rsidR="008E31C4" w:rsidRPr="00781112" w:rsidRDefault="008E31C4"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351C61C5" w14:textId="1A27A18C" w:rsidR="008E31C4"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918" w:type="pct"/>
            <w:shd w:val="clear" w:color="auto" w:fill="auto"/>
          </w:tcPr>
          <w:p w14:paraId="1CDF9DE8" w14:textId="0FE9038E" w:rsidR="008E31C4"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49B990DE" w14:textId="2B6E5021" w:rsidR="008E31C4"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792" w:type="pct"/>
            <w:shd w:val="clear" w:color="auto" w:fill="auto"/>
          </w:tcPr>
          <w:p w14:paraId="6EF76857" w14:textId="0F124C26" w:rsidR="008E31C4"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75" w:type="pct"/>
            <w:shd w:val="clear" w:color="auto" w:fill="auto"/>
          </w:tcPr>
          <w:p w14:paraId="246ACDB0" w14:textId="7F251A7E" w:rsidR="008E31C4" w:rsidRPr="00781112" w:rsidRDefault="002B7490" w:rsidP="008E31C4">
            <w:pPr>
              <w:jc w:val="center"/>
              <w:rPr>
                <w:rFonts w:cs="Arial"/>
                <w:b/>
                <w:color w:val="000000" w:themeColor="text1"/>
                <w:szCs w:val="16"/>
              </w:rPr>
            </w:pPr>
            <w:r w:rsidRPr="00781112">
              <w:rPr>
                <w:rFonts w:cs="Arial"/>
                <w:b/>
                <w:color w:val="000000" w:themeColor="text1"/>
                <w:szCs w:val="16"/>
              </w:rPr>
              <w:t>2022</w:t>
            </w:r>
          </w:p>
        </w:tc>
      </w:tr>
      <w:tr w:rsidR="005C29F8" w:rsidRPr="00781112" w14:paraId="2A876A9F" w14:textId="77777777" w:rsidTr="004B2960">
        <w:trPr>
          <w:trHeight w:val="357"/>
        </w:trPr>
        <w:tc>
          <w:tcPr>
            <w:tcW w:w="748" w:type="pct"/>
            <w:shd w:val="clear" w:color="auto" w:fill="auto"/>
          </w:tcPr>
          <w:p w14:paraId="2DE95B6B" w14:textId="04DB6250" w:rsidR="008E31C4" w:rsidRPr="00781112" w:rsidRDefault="008E31C4"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6C64D17D" w14:textId="6F575CE5" w:rsidR="008E31C4" w:rsidRPr="00781112" w:rsidRDefault="002B7490">
            <w:pPr>
              <w:jc w:val="center"/>
              <w:rPr>
                <w:rFonts w:cs="Arial"/>
                <w:color w:val="000000" w:themeColor="text1"/>
                <w:szCs w:val="16"/>
              </w:rPr>
            </w:pPr>
            <w:r w:rsidRPr="00781112">
              <w:rPr>
                <w:rFonts w:cs="Arial"/>
                <w:color w:val="000000" w:themeColor="text1"/>
                <w:szCs w:val="16"/>
              </w:rPr>
              <w:t>75.00%</w:t>
            </w:r>
          </w:p>
        </w:tc>
        <w:tc>
          <w:tcPr>
            <w:tcW w:w="918" w:type="pct"/>
            <w:shd w:val="clear" w:color="auto" w:fill="auto"/>
          </w:tcPr>
          <w:p w14:paraId="72C59C65" w14:textId="44E721D8" w:rsidR="008E31C4" w:rsidRPr="00781112" w:rsidRDefault="002B7490">
            <w:pPr>
              <w:jc w:val="center"/>
              <w:rPr>
                <w:rFonts w:cs="Arial"/>
                <w:color w:val="000000" w:themeColor="text1"/>
                <w:szCs w:val="16"/>
              </w:rPr>
            </w:pPr>
            <w:r w:rsidRPr="00781112">
              <w:rPr>
                <w:rFonts w:cs="Arial"/>
                <w:color w:val="000000" w:themeColor="text1"/>
                <w:szCs w:val="16"/>
              </w:rPr>
              <w:t>75.00%</w:t>
            </w:r>
          </w:p>
        </w:tc>
        <w:tc>
          <w:tcPr>
            <w:tcW w:w="833" w:type="pct"/>
            <w:shd w:val="clear" w:color="auto" w:fill="auto"/>
            <w:vAlign w:val="center"/>
          </w:tcPr>
          <w:p w14:paraId="220DD5CA" w14:textId="720A36A7" w:rsidR="008E31C4" w:rsidRPr="00781112" w:rsidRDefault="002B7490">
            <w:pPr>
              <w:jc w:val="center"/>
              <w:rPr>
                <w:rFonts w:cs="Arial"/>
                <w:color w:val="000000" w:themeColor="text1"/>
                <w:szCs w:val="16"/>
              </w:rPr>
            </w:pPr>
            <w:r w:rsidRPr="00781112">
              <w:rPr>
                <w:rFonts w:cs="Arial"/>
                <w:color w:val="000000" w:themeColor="text1"/>
                <w:szCs w:val="16"/>
              </w:rPr>
              <w:t>58.00%</w:t>
            </w:r>
          </w:p>
        </w:tc>
        <w:tc>
          <w:tcPr>
            <w:tcW w:w="792" w:type="pct"/>
            <w:shd w:val="clear" w:color="auto" w:fill="auto"/>
            <w:vAlign w:val="center"/>
          </w:tcPr>
          <w:p w14:paraId="07CF6D0B" w14:textId="0CDFA70C" w:rsidR="008E31C4" w:rsidRPr="00781112" w:rsidRDefault="008E31C4">
            <w:pPr>
              <w:jc w:val="center"/>
              <w:rPr>
                <w:rFonts w:cs="Arial"/>
                <w:color w:val="000000" w:themeColor="text1"/>
                <w:szCs w:val="16"/>
              </w:rPr>
            </w:pPr>
          </w:p>
        </w:tc>
        <w:tc>
          <w:tcPr>
            <w:tcW w:w="875" w:type="pct"/>
            <w:shd w:val="clear" w:color="auto" w:fill="auto"/>
            <w:vAlign w:val="center"/>
          </w:tcPr>
          <w:p w14:paraId="3B96FD7D" w14:textId="7B182CEE" w:rsidR="008E31C4" w:rsidRPr="00781112" w:rsidRDefault="002B7490">
            <w:pPr>
              <w:jc w:val="center"/>
              <w:rPr>
                <w:rFonts w:cs="Arial"/>
                <w:color w:val="000000" w:themeColor="text1"/>
                <w:szCs w:val="16"/>
              </w:rPr>
            </w:pPr>
            <w:r w:rsidRPr="00781112">
              <w:rPr>
                <w:rFonts w:cs="Arial"/>
                <w:color w:val="000000" w:themeColor="text1"/>
                <w:szCs w:val="16"/>
              </w:rPr>
              <w:t>59.00%</w:t>
            </w:r>
          </w:p>
        </w:tc>
      </w:tr>
      <w:tr w:rsidR="005C29F8" w:rsidRPr="00781112" w14:paraId="34F84ECE" w14:textId="77777777" w:rsidTr="004B2960">
        <w:trPr>
          <w:trHeight w:val="85"/>
        </w:trPr>
        <w:tc>
          <w:tcPr>
            <w:tcW w:w="748" w:type="pct"/>
            <w:shd w:val="clear" w:color="auto" w:fill="auto"/>
          </w:tcPr>
          <w:p w14:paraId="281210CF" w14:textId="77777777" w:rsidR="008E31C4" w:rsidRPr="00781112" w:rsidRDefault="008E31C4"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81B8DC5" w14:textId="4F71DCFC" w:rsidR="008E31C4" w:rsidRPr="00781112" w:rsidRDefault="002B7490">
            <w:pPr>
              <w:jc w:val="center"/>
              <w:rPr>
                <w:rFonts w:cs="Arial"/>
                <w:color w:val="000000" w:themeColor="text1"/>
                <w:szCs w:val="16"/>
              </w:rPr>
            </w:pPr>
            <w:r w:rsidRPr="00781112">
              <w:rPr>
                <w:rFonts w:cs="Arial"/>
                <w:color w:val="000000" w:themeColor="text1"/>
                <w:szCs w:val="16"/>
              </w:rPr>
              <w:t>57.14%</w:t>
            </w:r>
          </w:p>
        </w:tc>
        <w:tc>
          <w:tcPr>
            <w:tcW w:w="918" w:type="pct"/>
            <w:shd w:val="clear" w:color="auto" w:fill="auto"/>
          </w:tcPr>
          <w:p w14:paraId="341A9DBA" w14:textId="51769052" w:rsidR="008E31C4" w:rsidRPr="00781112" w:rsidRDefault="002B7490">
            <w:pPr>
              <w:jc w:val="center"/>
              <w:rPr>
                <w:rFonts w:cs="Arial"/>
                <w:color w:val="000000" w:themeColor="text1"/>
                <w:szCs w:val="16"/>
              </w:rPr>
            </w:pPr>
            <w:r w:rsidRPr="00781112">
              <w:rPr>
                <w:rFonts w:cs="Arial"/>
                <w:color w:val="000000" w:themeColor="text1"/>
                <w:szCs w:val="16"/>
              </w:rPr>
              <w:t>100.00%</w:t>
            </w:r>
          </w:p>
        </w:tc>
        <w:tc>
          <w:tcPr>
            <w:tcW w:w="833" w:type="pct"/>
            <w:tcBorders>
              <w:bottom w:val="single" w:sz="4" w:space="0" w:color="auto"/>
            </w:tcBorders>
            <w:shd w:val="clear" w:color="auto" w:fill="auto"/>
            <w:vAlign w:val="center"/>
          </w:tcPr>
          <w:p w14:paraId="7C21B645" w14:textId="348DEE4D" w:rsidR="008E31C4" w:rsidRPr="00781112" w:rsidRDefault="002B7490">
            <w:pPr>
              <w:jc w:val="center"/>
              <w:rPr>
                <w:rFonts w:cs="Arial"/>
                <w:color w:val="000000" w:themeColor="text1"/>
                <w:szCs w:val="16"/>
              </w:rPr>
            </w:pPr>
            <w:r w:rsidRPr="00781112">
              <w:rPr>
                <w:rFonts w:cs="Arial"/>
                <w:color w:val="000000" w:themeColor="text1"/>
                <w:szCs w:val="16"/>
              </w:rPr>
              <w:t>100.00%</w:t>
            </w:r>
          </w:p>
        </w:tc>
        <w:tc>
          <w:tcPr>
            <w:tcW w:w="792" w:type="pct"/>
            <w:tcBorders>
              <w:bottom w:val="single" w:sz="4" w:space="0" w:color="auto"/>
            </w:tcBorders>
            <w:shd w:val="clear" w:color="auto" w:fill="auto"/>
            <w:vAlign w:val="center"/>
          </w:tcPr>
          <w:p w14:paraId="345A5CC5" w14:textId="67CE713B" w:rsidR="008E31C4" w:rsidRPr="00781112" w:rsidRDefault="002B7490">
            <w:pPr>
              <w:jc w:val="center"/>
              <w:rPr>
                <w:rFonts w:cs="Arial"/>
                <w:color w:val="000000" w:themeColor="text1"/>
                <w:szCs w:val="16"/>
              </w:rPr>
            </w:pPr>
            <w:r w:rsidRPr="00781112">
              <w:rPr>
                <w:rFonts w:cs="Arial"/>
                <w:color w:val="000000" w:themeColor="text1"/>
                <w:szCs w:val="16"/>
              </w:rPr>
              <w:t>0.00%</w:t>
            </w:r>
          </w:p>
        </w:tc>
        <w:tc>
          <w:tcPr>
            <w:tcW w:w="875" w:type="pct"/>
            <w:tcBorders>
              <w:bottom w:val="single" w:sz="4" w:space="0" w:color="auto"/>
            </w:tcBorders>
            <w:shd w:val="clear" w:color="auto" w:fill="auto"/>
            <w:vAlign w:val="center"/>
          </w:tcPr>
          <w:p w14:paraId="09A5B408" w14:textId="4B0EB3D1" w:rsidR="008E31C4" w:rsidRPr="00781112" w:rsidRDefault="002B7490">
            <w:pPr>
              <w:jc w:val="center"/>
              <w:rPr>
                <w:rFonts w:cs="Arial"/>
                <w:color w:val="000000" w:themeColor="text1"/>
                <w:szCs w:val="16"/>
              </w:rPr>
            </w:pPr>
            <w:r w:rsidRPr="00781112">
              <w:rPr>
                <w:rFonts w:cs="Arial"/>
                <w:color w:val="000000" w:themeColor="text1"/>
                <w:szCs w:val="16"/>
              </w:rPr>
              <w:t>75.00%</w:t>
            </w:r>
          </w:p>
        </w:tc>
      </w:tr>
    </w:tbl>
    <w:p w14:paraId="2B5B5701" w14:textId="2BB5836C" w:rsidR="00DA3157" w:rsidRPr="00781112" w:rsidRDefault="00DA3157">
      <w:pPr>
        <w:rPr>
          <w:color w:val="000000" w:themeColor="text1"/>
        </w:rPr>
      </w:pPr>
    </w:p>
    <w:p w14:paraId="0F09B55F" w14:textId="55F1767C" w:rsidR="008E31C4" w:rsidRPr="00781112" w:rsidRDefault="008E31C4" w:rsidP="004369B2">
      <w:pPr>
        <w:rPr>
          <w:color w:val="000000" w:themeColor="text1"/>
        </w:rPr>
      </w:pPr>
      <w:r w:rsidRPr="00781112">
        <w:rPr>
          <w:b/>
          <w:color w:val="000000" w:themeColor="text1"/>
        </w:rPr>
        <w:t>Targets</w:t>
      </w:r>
    </w:p>
    <w:tbl>
      <w:tblPr>
        <w:tblW w:w="2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TARGETSOPT1"/>
      </w:tblPr>
      <w:tblGrid>
        <w:gridCol w:w="772"/>
        <w:gridCol w:w="1684"/>
        <w:gridCol w:w="1683"/>
        <w:gridCol w:w="1683"/>
      </w:tblGrid>
      <w:tr w:rsidR="00233EFB" w:rsidRPr="00781112" w14:paraId="7D6724D3" w14:textId="3FE2AE32" w:rsidTr="00FE4611">
        <w:trPr>
          <w:trHeight w:val="161"/>
        </w:trPr>
        <w:tc>
          <w:tcPr>
            <w:tcW w:w="664" w:type="pct"/>
            <w:tcBorders>
              <w:bottom w:val="single" w:sz="4" w:space="0" w:color="auto"/>
            </w:tcBorders>
            <w:shd w:val="clear" w:color="auto" w:fill="auto"/>
          </w:tcPr>
          <w:p w14:paraId="027FBB7B" w14:textId="77777777" w:rsidR="00233EFB" w:rsidRPr="00781112" w:rsidRDefault="00233EFB" w:rsidP="00C91F30">
            <w:pPr>
              <w:jc w:val="center"/>
              <w:rPr>
                <w:b/>
                <w:color w:val="000000" w:themeColor="text1"/>
              </w:rPr>
            </w:pPr>
            <w:r w:rsidRPr="00781112">
              <w:rPr>
                <w:b/>
                <w:color w:val="000000" w:themeColor="text1"/>
              </w:rPr>
              <w:t>FFY</w:t>
            </w:r>
          </w:p>
        </w:tc>
        <w:tc>
          <w:tcPr>
            <w:tcW w:w="1446" w:type="pct"/>
            <w:shd w:val="clear" w:color="auto" w:fill="auto"/>
          </w:tcPr>
          <w:p w14:paraId="79481979" w14:textId="1C95D22E" w:rsidR="00233EFB" w:rsidRPr="00781112" w:rsidRDefault="00233EFB" w:rsidP="00C91F30">
            <w:pPr>
              <w:jc w:val="center"/>
              <w:rPr>
                <w:b/>
                <w:color w:val="000000" w:themeColor="text1"/>
              </w:rPr>
            </w:pPr>
            <w:r w:rsidRPr="00781112">
              <w:rPr>
                <w:b/>
                <w:color w:val="000000" w:themeColor="text1"/>
              </w:rPr>
              <w:t>2023</w:t>
            </w:r>
          </w:p>
        </w:tc>
        <w:tc>
          <w:tcPr>
            <w:tcW w:w="1445" w:type="pct"/>
          </w:tcPr>
          <w:p w14:paraId="7641993D" w14:textId="318DCACC" w:rsidR="00233EFB" w:rsidRPr="00781112" w:rsidRDefault="00233EFB" w:rsidP="00C91F30">
            <w:pPr>
              <w:jc w:val="center"/>
              <w:rPr>
                <w:b/>
                <w:color w:val="000000" w:themeColor="text1"/>
              </w:rPr>
            </w:pPr>
            <w:r w:rsidRPr="00781112">
              <w:rPr>
                <w:rFonts w:cs="Arial"/>
                <w:b/>
                <w:color w:val="000000" w:themeColor="text1"/>
                <w:szCs w:val="16"/>
              </w:rPr>
              <w:t>2024</w:t>
            </w:r>
          </w:p>
        </w:tc>
        <w:tc>
          <w:tcPr>
            <w:tcW w:w="1445" w:type="pct"/>
          </w:tcPr>
          <w:p w14:paraId="4DA0BAA3" w14:textId="27A9B6F2" w:rsidR="00233EFB" w:rsidRPr="00781112" w:rsidRDefault="00233EFB" w:rsidP="00C91F30">
            <w:pPr>
              <w:jc w:val="center"/>
              <w:rPr>
                <w:b/>
                <w:color w:val="000000" w:themeColor="text1"/>
              </w:rPr>
            </w:pPr>
            <w:r w:rsidRPr="00781112">
              <w:rPr>
                <w:rFonts w:cs="Arial"/>
                <w:b/>
                <w:color w:val="000000" w:themeColor="text1"/>
                <w:szCs w:val="16"/>
              </w:rPr>
              <w:t>2025</w:t>
            </w:r>
          </w:p>
        </w:tc>
      </w:tr>
      <w:tr w:rsidR="00233EFB" w:rsidRPr="00781112" w14:paraId="3CA53C0F" w14:textId="2DEE5BE6" w:rsidTr="00FE4611">
        <w:trPr>
          <w:trHeight w:val="60"/>
        </w:trPr>
        <w:tc>
          <w:tcPr>
            <w:tcW w:w="664" w:type="pct"/>
            <w:shd w:val="clear" w:color="auto" w:fill="auto"/>
          </w:tcPr>
          <w:p w14:paraId="78FC9CAC" w14:textId="6980A1CA" w:rsidR="00233EFB" w:rsidRPr="00781112" w:rsidRDefault="00233EFB" w:rsidP="00C91F30">
            <w:pPr>
              <w:jc w:val="center"/>
              <w:rPr>
                <w:rFonts w:cs="Arial"/>
                <w:color w:val="000000" w:themeColor="text1"/>
                <w:szCs w:val="16"/>
              </w:rPr>
            </w:pPr>
            <w:r w:rsidRPr="00781112">
              <w:rPr>
                <w:rFonts w:cs="Arial"/>
                <w:color w:val="000000" w:themeColor="text1"/>
                <w:szCs w:val="16"/>
              </w:rPr>
              <w:t>Target &gt;=</w:t>
            </w:r>
          </w:p>
        </w:tc>
        <w:tc>
          <w:tcPr>
            <w:tcW w:w="1446" w:type="pct"/>
            <w:shd w:val="clear" w:color="auto" w:fill="auto"/>
            <w:vAlign w:val="center"/>
          </w:tcPr>
          <w:p w14:paraId="0E137397" w14:textId="06CBC1FD" w:rsidR="00233EFB" w:rsidRPr="00781112" w:rsidRDefault="00233EFB" w:rsidP="00C91F30">
            <w:pPr>
              <w:jc w:val="center"/>
              <w:rPr>
                <w:rFonts w:cs="Arial"/>
                <w:color w:val="000000" w:themeColor="text1"/>
                <w:szCs w:val="16"/>
              </w:rPr>
            </w:pPr>
            <w:r w:rsidRPr="00781112">
              <w:rPr>
                <w:rFonts w:cs="Arial"/>
                <w:color w:val="000000" w:themeColor="text1"/>
                <w:szCs w:val="16"/>
              </w:rPr>
              <w:t>59.50%</w:t>
            </w:r>
          </w:p>
        </w:tc>
        <w:tc>
          <w:tcPr>
            <w:tcW w:w="1445" w:type="pct"/>
          </w:tcPr>
          <w:p w14:paraId="2C484D83" w14:textId="77BCE060" w:rsidR="00233EFB" w:rsidRPr="00781112" w:rsidRDefault="00233EFB" w:rsidP="00C91F30">
            <w:pPr>
              <w:jc w:val="center"/>
              <w:rPr>
                <w:rFonts w:cs="Arial"/>
                <w:color w:val="000000" w:themeColor="text1"/>
                <w:szCs w:val="16"/>
              </w:rPr>
            </w:pPr>
            <w:r w:rsidRPr="00781112">
              <w:rPr>
                <w:color w:val="000000" w:themeColor="text1"/>
                <w:szCs w:val="16"/>
              </w:rPr>
              <w:t>60.00%</w:t>
            </w:r>
          </w:p>
        </w:tc>
        <w:tc>
          <w:tcPr>
            <w:tcW w:w="1445" w:type="pct"/>
          </w:tcPr>
          <w:p w14:paraId="6CD274F3" w14:textId="076582AE" w:rsidR="00233EFB" w:rsidRPr="00781112" w:rsidRDefault="00233EFB" w:rsidP="00C91F30">
            <w:pPr>
              <w:jc w:val="center"/>
              <w:rPr>
                <w:rFonts w:cs="Arial"/>
                <w:color w:val="000000" w:themeColor="text1"/>
                <w:szCs w:val="16"/>
              </w:rPr>
            </w:pPr>
            <w:r w:rsidRPr="00781112">
              <w:rPr>
                <w:color w:val="000000" w:themeColor="text1"/>
                <w:szCs w:val="16"/>
              </w:rPr>
              <w:t>60.50%</w:t>
            </w:r>
          </w:p>
        </w:tc>
      </w:tr>
    </w:tbl>
    <w:p w14:paraId="3BC65958" w14:textId="77777777" w:rsidR="00DA3157" w:rsidRPr="00781112" w:rsidRDefault="00DA3157" w:rsidP="004369B2">
      <w:pPr>
        <w:rPr>
          <w:color w:val="000000" w:themeColor="text1"/>
        </w:rPr>
      </w:pPr>
    </w:p>
    <w:p w14:paraId="29FDEA16" w14:textId="22A7ADF9" w:rsidR="008E31C4" w:rsidRPr="00781112" w:rsidRDefault="0047313F">
      <w:pPr>
        <w:rPr>
          <w:b/>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6CFFYAPRDATA1OPT1"/>
      </w:tblPr>
      <w:tblGrid>
        <w:gridCol w:w="1438"/>
        <w:gridCol w:w="1437"/>
        <w:gridCol w:w="1405"/>
        <w:gridCol w:w="1107"/>
        <w:gridCol w:w="1640"/>
        <w:gridCol w:w="1290"/>
        <w:gridCol w:w="1256"/>
        <w:gridCol w:w="1217"/>
      </w:tblGrid>
      <w:tr w:rsidR="00B21923" w:rsidRPr="00781112" w14:paraId="30B18EC1" w14:textId="77777777" w:rsidTr="0033429D">
        <w:trPr>
          <w:trHeight w:val="354"/>
          <w:tblHeader/>
        </w:trPr>
        <w:tc>
          <w:tcPr>
            <w:tcW w:w="666" w:type="pct"/>
            <w:shd w:val="clear" w:color="auto" w:fill="auto"/>
          </w:tcPr>
          <w:p w14:paraId="2285C16D" w14:textId="593BA89E" w:rsidR="00B21923" w:rsidRPr="00781112" w:rsidRDefault="00B21923" w:rsidP="00B21923">
            <w:pPr>
              <w:jc w:val="center"/>
              <w:rPr>
                <w:rFonts w:cs="Arial"/>
                <w:b/>
                <w:color w:val="000000" w:themeColor="text1"/>
                <w:szCs w:val="16"/>
              </w:rPr>
            </w:pPr>
            <w:r w:rsidRPr="00781112">
              <w:rPr>
                <w:rFonts w:cs="Arial"/>
                <w:b/>
                <w:color w:val="000000" w:themeColor="text1"/>
                <w:szCs w:val="16"/>
              </w:rPr>
              <w:t>2.1.a.i Mediation agreements related to due process complaints</w:t>
            </w:r>
          </w:p>
        </w:tc>
        <w:tc>
          <w:tcPr>
            <w:tcW w:w="666" w:type="pct"/>
            <w:shd w:val="clear" w:color="auto" w:fill="auto"/>
            <w:vAlign w:val="bottom"/>
          </w:tcPr>
          <w:p w14:paraId="0D0A1148" w14:textId="5AB9157D" w:rsidR="00B21923" w:rsidRPr="00781112" w:rsidRDefault="00B21923" w:rsidP="00B21923">
            <w:pPr>
              <w:jc w:val="center"/>
              <w:rPr>
                <w:rFonts w:cs="Arial"/>
                <w:b/>
                <w:color w:val="000000" w:themeColor="text1"/>
                <w:szCs w:val="16"/>
              </w:rPr>
            </w:pPr>
            <w:r w:rsidRPr="00781112">
              <w:rPr>
                <w:rFonts w:cs="Arial"/>
                <w:b/>
                <w:color w:val="000000" w:themeColor="text1"/>
                <w:szCs w:val="16"/>
              </w:rPr>
              <w:t>2.1.b.i Mediation agreements not related to due process complaints</w:t>
            </w:r>
          </w:p>
        </w:tc>
        <w:tc>
          <w:tcPr>
            <w:tcW w:w="651" w:type="pct"/>
            <w:shd w:val="clear" w:color="auto" w:fill="auto"/>
            <w:vAlign w:val="bottom"/>
          </w:tcPr>
          <w:p w14:paraId="5645AEFA" w14:textId="3277104A" w:rsidR="00B21923" w:rsidRPr="00781112" w:rsidRDefault="00B21923" w:rsidP="00B21923">
            <w:pPr>
              <w:jc w:val="center"/>
              <w:rPr>
                <w:rFonts w:cs="Arial"/>
                <w:b/>
                <w:color w:val="000000" w:themeColor="text1"/>
                <w:szCs w:val="16"/>
              </w:rPr>
            </w:pPr>
            <w:r w:rsidRPr="00781112">
              <w:rPr>
                <w:rFonts w:cs="Arial"/>
                <w:b/>
                <w:color w:val="000000" w:themeColor="text1"/>
                <w:szCs w:val="16"/>
              </w:rPr>
              <w:t>2.1 Number of mediations held</w:t>
            </w:r>
          </w:p>
        </w:tc>
        <w:tc>
          <w:tcPr>
            <w:tcW w:w="513" w:type="pct"/>
            <w:shd w:val="clear" w:color="auto" w:fill="auto"/>
            <w:vAlign w:val="bottom"/>
          </w:tcPr>
          <w:p w14:paraId="4A569306" w14:textId="15C9FFED" w:rsidR="00B21923" w:rsidRPr="006D0A52" w:rsidRDefault="00B21923" w:rsidP="00B21923">
            <w:pPr>
              <w:jc w:val="center"/>
              <w:rPr>
                <w:rFonts w:cs="Arial"/>
                <w:b/>
                <w:bCs/>
                <w:color w:val="000000" w:themeColor="text1"/>
                <w:szCs w:val="16"/>
              </w:rPr>
            </w:pPr>
            <w:r w:rsidRPr="006D0A52">
              <w:rPr>
                <w:b/>
                <w:bCs/>
              </w:rPr>
              <w:t>FFY 2022 Data</w:t>
            </w:r>
          </w:p>
        </w:tc>
        <w:tc>
          <w:tcPr>
            <w:tcW w:w="760" w:type="pct"/>
            <w:shd w:val="clear" w:color="auto" w:fill="auto"/>
            <w:vAlign w:val="bottom"/>
          </w:tcPr>
          <w:p w14:paraId="76531DBA" w14:textId="016BF21B" w:rsidR="00B21923" w:rsidRPr="006D0A52" w:rsidRDefault="00B21923" w:rsidP="00B21923">
            <w:pPr>
              <w:jc w:val="center"/>
              <w:rPr>
                <w:rFonts w:cs="Arial"/>
                <w:b/>
                <w:bCs/>
                <w:color w:val="000000" w:themeColor="text1"/>
                <w:szCs w:val="16"/>
              </w:rPr>
            </w:pPr>
            <w:r w:rsidRPr="006D0A52">
              <w:rPr>
                <w:b/>
                <w:bCs/>
              </w:rPr>
              <w:t>FFY 2023 Target</w:t>
            </w:r>
          </w:p>
        </w:tc>
        <w:tc>
          <w:tcPr>
            <w:tcW w:w="598" w:type="pct"/>
            <w:shd w:val="clear" w:color="auto" w:fill="auto"/>
            <w:vAlign w:val="bottom"/>
          </w:tcPr>
          <w:p w14:paraId="6DA84C86" w14:textId="2533A278" w:rsidR="00B21923" w:rsidRPr="006D0A52" w:rsidRDefault="00B21923" w:rsidP="00B21923">
            <w:pPr>
              <w:jc w:val="center"/>
              <w:rPr>
                <w:rFonts w:cs="Arial"/>
                <w:b/>
                <w:bCs/>
                <w:color w:val="000000" w:themeColor="text1"/>
                <w:szCs w:val="16"/>
              </w:rPr>
            </w:pPr>
            <w:r w:rsidRPr="006D0A52">
              <w:rPr>
                <w:b/>
                <w:bCs/>
              </w:rPr>
              <w:t>FFY 2023 Data</w:t>
            </w:r>
          </w:p>
        </w:tc>
        <w:tc>
          <w:tcPr>
            <w:tcW w:w="582" w:type="pct"/>
            <w:shd w:val="clear" w:color="auto" w:fill="auto"/>
            <w:vAlign w:val="bottom"/>
          </w:tcPr>
          <w:p w14:paraId="6C8C9681"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564" w:type="pct"/>
            <w:shd w:val="clear" w:color="auto" w:fill="auto"/>
            <w:vAlign w:val="bottom"/>
          </w:tcPr>
          <w:p w14:paraId="6876CD5E"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580CADA4" w14:textId="77777777" w:rsidTr="00326814">
        <w:trPr>
          <w:trHeight w:val="361"/>
        </w:trPr>
        <w:tc>
          <w:tcPr>
            <w:tcW w:w="666" w:type="pct"/>
            <w:shd w:val="clear" w:color="auto" w:fill="auto"/>
          </w:tcPr>
          <w:p w14:paraId="229DBD16" w14:textId="3985AF14" w:rsidR="00ED71A6" w:rsidRPr="00781112" w:rsidRDefault="002B7490" w:rsidP="004369B2">
            <w:pPr>
              <w:jc w:val="center"/>
              <w:rPr>
                <w:rFonts w:cs="Arial"/>
                <w:color w:val="000000" w:themeColor="text1"/>
                <w:szCs w:val="16"/>
              </w:rPr>
            </w:pPr>
            <w:r w:rsidRPr="00781112">
              <w:rPr>
                <w:rFonts w:cs="Arial"/>
                <w:color w:val="000000" w:themeColor="text1"/>
                <w:szCs w:val="16"/>
              </w:rPr>
              <w:t>1</w:t>
            </w:r>
          </w:p>
        </w:tc>
        <w:tc>
          <w:tcPr>
            <w:tcW w:w="666" w:type="pct"/>
            <w:shd w:val="clear" w:color="auto" w:fill="auto"/>
          </w:tcPr>
          <w:p w14:paraId="26BE4267" w14:textId="64153881" w:rsidR="00ED71A6" w:rsidRPr="00781112" w:rsidRDefault="002B7490" w:rsidP="004369B2">
            <w:pPr>
              <w:jc w:val="center"/>
              <w:rPr>
                <w:rFonts w:cs="Arial"/>
                <w:color w:val="000000" w:themeColor="text1"/>
                <w:szCs w:val="16"/>
              </w:rPr>
            </w:pPr>
            <w:r w:rsidRPr="00781112">
              <w:rPr>
                <w:rFonts w:cs="Arial"/>
                <w:color w:val="000000" w:themeColor="text1"/>
                <w:szCs w:val="16"/>
              </w:rPr>
              <w:t>1</w:t>
            </w:r>
          </w:p>
        </w:tc>
        <w:tc>
          <w:tcPr>
            <w:tcW w:w="651" w:type="pct"/>
            <w:shd w:val="clear" w:color="auto" w:fill="auto"/>
            <w:vAlign w:val="center"/>
          </w:tcPr>
          <w:p w14:paraId="6C063D69" w14:textId="6595E94B" w:rsidR="00ED71A6" w:rsidRPr="00781112" w:rsidRDefault="002B7490" w:rsidP="004369B2">
            <w:pPr>
              <w:jc w:val="center"/>
              <w:rPr>
                <w:rFonts w:cs="Arial"/>
                <w:color w:val="000000" w:themeColor="text1"/>
                <w:szCs w:val="16"/>
              </w:rPr>
            </w:pPr>
            <w:r w:rsidRPr="00781112">
              <w:rPr>
                <w:rFonts w:cs="Arial"/>
                <w:color w:val="000000" w:themeColor="text1"/>
                <w:szCs w:val="16"/>
              </w:rPr>
              <w:t>4</w:t>
            </w:r>
          </w:p>
        </w:tc>
        <w:tc>
          <w:tcPr>
            <w:tcW w:w="513" w:type="pct"/>
            <w:shd w:val="clear" w:color="auto" w:fill="auto"/>
          </w:tcPr>
          <w:p w14:paraId="466ED6BC" w14:textId="5349E9C8" w:rsidR="00ED71A6" w:rsidRPr="00781112" w:rsidRDefault="002B7490" w:rsidP="004369B2">
            <w:pPr>
              <w:jc w:val="center"/>
              <w:rPr>
                <w:rFonts w:cs="Arial"/>
                <w:color w:val="000000" w:themeColor="text1"/>
                <w:szCs w:val="16"/>
              </w:rPr>
            </w:pPr>
            <w:r w:rsidRPr="00781112">
              <w:rPr>
                <w:rFonts w:cs="Arial"/>
                <w:color w:val="000000" w:themeColor="text1"/>
                <w:szCs w:val="16"/>
              </w:rPr>
              <w:t>75.00%</w:t>
            </w:r>
          </w:p>
        </w:tc>
        <w:tc>
          <w:tcPr>
            <w:tcW w:w="760" w:type="pct"/>
            <w:shd w:val="clear" w:color="auto" w:fill="auto"/>
          </w:tcPr>
          <w:p w14:paraId="2530D239" w14:textId="21181E1F" w:rsidR="00ED71A6" w:rsidRPr="00781112" w:rsidRDefault="002B7490" w:rsidP="004369B2">
            <w:pPr>
              <w:jc w:val="center"/>
              <w:rPr>
                <w:rFonts w:cs="Arial"/>
                <w:color w:val="000000" w:themeColor="text1"/>
                <w:szCs w:val="16"/>
              </w:rPr>
            </w:pPr>
            <w:r w:rsidRPr="00781112">
              <w:rPr>
                <w:rFonts w:cs="Arial"/>
                <w:color w:val="000000" w:themeColor="text1"/>
                <w:szCs w:val="16"/>
              </w:rPr>
              <w:t>59.50%</w:t>
            </w:r>
          </w:p>
        </w:tc>
        <w:tc>
          <w:tcPr>
            <w:tcW w:w="598" w:type="pct"/>
            <w:shd w:val="clear" w:color="auto" w:fill="auto"/>
          </w:tcPr>
          <w:p w14:paraId="5CFDAC12" w14:textId="030BF46B" w:rsidR="00ED71A6" w:rsidRPr="00781112" w:rsidRDefault="002B7490" w:rsidP="004369B2">
            <w:pPr>
              <w:jc w:val="center"/>
              <w:rPr>
                <w:rFonts w:cs="Arial"/>
                <w:color w:val="000000" w:themeColor="text1"/>
                <w:szCs w:val="16"/>
              </w:rPr>
            </w:pPr>
            <w:r w:rsidRPr="00781112">
              <w:rPr>
                <w:rFonts w:cs="Arial"/>
                <w:color w:val="000000" w:themeColor="text1"/>
                <w:szCs w:val="16"/>
              </w:rPr>
              <w:t>50.00%</w:t>
            </w:r>
          </w:p>
        </w:tc>
        <w:tc>
          <w:tcPr>
            <w:tcW w:w="582" w:type="pct"/>
            <w:shd w:val="clear" w:color="auto" w:fill="auto"/>
          </w:tcPr>
          <w:p w14:paraId="0ABF26CD" w14:textId="7C384528" w:rsidR="00ED71A6"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564" w:type="pct"/>
            <w:shd w:val="clear" w:color="auto" w:fill="auto"/>
          </w:tcPr>
          <w:p w14:paraId="62404E67" w14:textId="522FE20B" w:rsidR="00ED71A6" w:rsidRPr="00781112" w:rsidRDefault="002B7490" w:rsidP="004369B2">
            <w:pPr>
              <w:jc w:val="center"/>
              <w:rPr>
                <w:rFonts w:cs="Arial"/>
                <w:color w:val="000000" w:themeColor="text1"/>
                <w:szCs w:val="16"/>
              </w:rPr>
            </w:pPr>
            <w:r w:rsidRPr="00781112">
              <w:rPr>
                <w:rFonts w:cs="Arial"/>
                <w:color w:val="000000" w:themeColor="text1"/>
                <w:szCs w:val="16"/>
              </w:rPr>
              <w:t>Slippage</w:t>
            </w:r>
          </w:p>
        </w:tc>
      </w:tr>
    </w:tbl>
    <w:p w14:paraId="03422290" w14:textId="77777777" w:rsidR="00BB79DA" w:rsidRPr="00781112" w:rsidRDefault="00BB79DA">
      <w:pPr>
        <w:rPr>
          <w:color w:val="000000" w:themeColor="text1"/>
        </w:rPr>
      </w:pPr>
    </w:p>
    <w:p w14:paraId="24CDA891" w14:textId="493C5E97" w:rsidR="0059249C" w:rsidRPr="00781112" w:rsidRDefault="00293C7E" w:rsidP="0059249C">
      <w:pPr>
        <w:rPr>
          <w:rFonts w:cs="Arial"/>
          <w:b/>
          <w:i/>
          <w:color w:val="000000" w:themeColor="text1"/>
          <w:szCs w:val="16"/>
        </w:rPr>
      </w:pPr>
      <w:r w:rsidRPr="00781112">
        <w:rPr>
          <w:rFonts w:cs="Arial"/>
          <w:b/>
          <w:color w:val="000000" w:themeColor="text1"/>
          <w:szCs w:val="16"/>
        </w:rPr>
        <w:t>Provide reasons for slippage, if applicable</w:t>
      </w:r>
    </w:p>
    <w:p w14:paraId="79351ACD" w14:textId="4DA6F153" w:rsidR="00293C7E" w:rsidRPr="00781112" w:rsidRDefault="002B7490" w:rsidP="007D435F">
      <w:pPr>
        <w:rPr>
          <w:rFonts w:cs="Arial"/>
          <w:color w:val="000000" w:themeColor="text1"/>
          <w:szCs w:val="16"/>
        </w:rPr>
      </w:pPr>
      <w:r w:rsidRPr="00781112">
        <w:rPr>
          <w:rFonts w:cs="Arial"/>
          <w:color w:val="000000" w:themeColor="text1"/>
          <w:szCs w:val="16"/>
        </w:rPr>
        <w:t>The slippage observed in FFY 2023 is primarily due to the volatility of percentages derived from ratios with both single-digit numerators and denominators. In FFY 2022, there were 3 mediation agreements related to due process complaints and 3 not related, out of a total of 8 mediations held, resulting in a percentage of 75%. However, in FFY 2023, the number of mediation agreements related to due process complaints and those not related both dropped to 1 each out of 4 mediations held, leading to a percentage of 50%. This drop from 75% to 50% is a direct result of the small sample size, which amplifies the impact of any changes in the data.</w:t>
      </w:r>
    </w:p>
    <w:p w14:paraId="7653BA1E" w14:textId="77777777"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609BD927" w14:textId="47FAE461" w:rsidR="00293C7E" w:rsidRPr="00781112" w:rsidRDefault="00293C7E" w:rsidP="007D435F">
      <w:pPr>
        <w:rPr>
          <w:rFonts w:cs="Arial"/>
          <w:color w:val="000000" w:themeColor="text1"/>
          <w:szCs w:val="16"/>
        </w:rPr>
      </w:pPr>
    </w:p>
    <w:p w14:paraId="01544738" w14:textId="0D3ECCB4" w:rsidR="00293C7E" w:rsidRPr="00781112" w:rsidRDefault="001C46DC" w:rsidP="00123D76">
      <w:pPr>
        <w:pStyle w:val="Heading2"/>
      </w:pPr>
      <w:r w:rsidRPr="00781112">
        <w:t>16</w:t>
      </w:r>
      <w:r w:rsidR="001D508D" w:rsidRPr="00781112">
        <w:t xml:space="preserve"> </w:t>
      </w:r>
      <w:r w:rsidRPr="00781112">
        <w:t xml:space="preserve">- </w:t>
      </w:r>
      <w:r w:rsidR="00293C7E" w:rsidRPr="00781112">
        <w:t>Prior FFY Required Actions</w:t>
      </w:r>
    </w:p>
    <w:p w14:paraId="7049B053" w14:textId="64040937" w:rsidR="009F69E7" w:rsidRPr="00781112" w:rsidRDefault="002B7490" w:rsidP="00293C7E">
      <w:pPr>
        <w:rPr>
          <w:rFonts w:cs="Arial"/>
          <w:color w:val="000000" w:themeColor="text1"/>
          <w:szCs w:val="16"/>
        </w:rPr>
      </w:pPr>
      <w:r w:rsidRPr="00781112">
        <w:rPr>
          <w:rFonts w:cs="Arial"/>
          <w:color w:val="000000" w:themeColor="text1"/>
          <w:szCs w:val="16"/>
        </w:rPr>
        <w:t>None</w:t>
      </w:r>
    </w:p>
    <w:p w14:paraId="169C5129" w14:textId="3D3FC1C0" w:rsidR="00913A33" w:rsidRPr="00781112" w:rsidRDefault="001C46DC" w:rsidP="00123D76">
      <w:pPr>
        <w:pStyle w:val="Heading2"/>
      </w:pPr>
      <w:r w:rsidRPr="00781112">
        <w:t>16 - OSEP Response</w:t>
      </w:r>
    </w:p>
    <w:p w14:paraId="5F7A0890" w14:textId="4F76A7D5" w:rsidR="00293C7E" w:rsidRPr="00781112" w:rsidRDefault="002B7490" w:rsidP="001F692C">
      <w:pPr>
        <w:rPr>
          <w:rFonts w:cs="Arial"/>
          <w:color w:val="000000" w:themeColor="text1"/>
          <w:szCs w:val="16"/>
        </w:rPr>
      </w:pPr>
      <w:r w:rsidRPr="00781112">
        <w:rPr>
          <w:rFonts w:cs="Arial"/>
          <w:color w:val="000000" w:themeColor="text1"/>
          <w:szCs w:val="16"/>
        </w:rPr>
        <w:t>The State reported fewer than ten mediations held in FFY 2023. The State is not required to meet its targets until any fiscal year in which ten or more mediations were held.</w:t>
      </w:r>
    </w:p>
    <w:p w14:paraId="55A8CDDB" w14:textId="51F8AA9B" w:rsidR="00913A33" w:rsidRPr="00781112" w:rsidRDefault="001C46DC" w:rsidP="00123D76">
      <w:pPr>
        <w:pStyle w:val="Heading2"/>
      </w:pPr>
      <w:r w:rsidRPr="00781112">
        <w:t>16 - Required Actions</w:t>
      </w:r>
    </w:p>
    <w:p w14:paraId="72813E4E" w14:textId="532E1944" w:rsidR="00293C7E" w:rsidRPr="00781112" w:rsidRDefault="00293C7E" w:rsidP="001F692C">
      <w:pPr>
        <w:rPr>
          <w:rFonts w:cs="Arial"/>
          <w:color w:val="000000" w:themeColor="text1"/>
          <w:szCs w:val="16"/>
        </w:rPr>
      </w:pPr>
    </w:p>
    <w:p w14:paraId="79966887" w14:textId="11440645" w:rsidR="00755AF7" w:rsidRPr="00781112" w:rsidRDefault="00755AF7">
      <w:pPr>
        <w:spacing w:before="0" w:after="200" w:line="276" w:lineRule="auto"/>
        <w:rPr>
          <w:rFonts w:cs="Arial"/>
          <w:color w:val="000000" w:themeColor="text1"/>
          <w:szCs w:val="16"/>
        </w:rPr>
      </w:pPr>
    </w:p>
    <w:p w14:paraId="40F6AE64" w14:textId="77777777" w:rsidR="00AE1972" w:rsidRPr="00781112" w:rsidRDefault="00AE1972">
      <w:pPr>
        <w:spacing w:before="0" w:after="200" w:line="276" w:lineRule="auto"/>
        <w:rPr>
          <w:color w:val="000000" w:themeColor="text1"/>
        </w:rPr>
      </w:pPr>
      <w:r w:rsidRPr="00781112">
        <w:rPr>
          <w:color w:val="000000" w:themeColor="text1"/>
        </w:rPr>
        <w:br w:type="page"/>
      </w:r>
    </w:p>
    <w:p w14:paraId="528D0D37" w14:textId="5C401108" w:rsidR="00AE1972" w:rsidRPr="00781112" w:rsidRDefault="00AE1972" w:rsidP="00AE1972">
      <w:pPr>
        <w:pStyle w:val="Heading1"/>
        <w:rPr>
          <w:color w:val="000000" w:themeColor="text1"/>
        </w:rPr>
      </w:pPr>
      <w:r w:rsidRPr="00781112">
        <w:rPr>
          <w:color w:val="000000" w:themeColor="text1"/>
        </w:rPr>
        <w:lastRenderedPageBreak/>
        <w:t>Indicator 17: State Systemic Improvement Plan</w:t>
      </w:r>
    </w:p>
    <w:p w14:paraId="0840DD7C" w14:textId="506C372A" w:rsidR="00AE1972" w:rsidRPr="002C274F" w:rsidRDefault="00AE1972" w:rsidP="002C274F">
      <w:pPr>
        <w:rPr>
          <w:b/>
          <w:bCs/>
          <w:sz w:val="20"/>
          <w:szCs w:val="20"/>
        </w:rPr>
      </w:pPr>
      <w:r w:rsidRPr="002C274F">
        <w:rPr>
          <w:b/>
          <w:bCs/>
          <w:sz w:val="20"/>
          <w:szCs w:val="20"/>
        </w:rPr>
        <w:t>Instructions and Measurement</w:t>
      </w:r>
    </w:p>
    <w:p w14:paraId="3B7DA41B" w14:textId="77777777" w:rsidR="00AE1972" w:rsidRPr="00781112" w:rsidRDefault="00AE1972" w:rsidP="00AE1972">
      <w:pPr>
        <w:rPr>
          <w:color w:val="000000" w:themeColor="text1"/>
          <w:szCs w:val="16"/>
        </w:rPr>
      </w:pPr>
      <w:r w:rsidRPr="00781112">
        <w:rPr>
          <w:b/>
          <w:color w:val="000000" w:themeColor="text1"/>
          <w:szCs w:val="16"/>
        </w:rPr>
        <w:t xml:space="preserve">Monitoring Priority: </w:t>
      </w:r>
      <w:r w:rsidRPr="00781112">
        <w:rPr>
          <w:color w:val="000000" w:themeColor="text1"/>
          <w:szCs w:val="16"/>
        </w:rPr>
        <w:t xml:space="preserve">General Supervision </w:t>
      </w:r>
    </w:p>
    <w:p w14:paraId="5E0D7347" w14:textId="77777777" w:rsidR="00AE1972" w:rsidRPr="00781112" w:rsidRDefault="00AE1972" w:rsidP="00AE1972">
      <w:pPr>
        <w:rPr>
          <w:b/>
          <w:color w:val="000000" w:themeColor="text1"/>
          <w:szCs w:val="16"/>
        </w:rPr>
      </w:pPr>
      <w:r w:rsidRPr="00781112">
        <w:rPr>
          <w:color w:val="000000" w:themeColor="text1"/>
          <w:szCs w:val="16"/>
        </w:rPr>
        <w:t>The State’s SPP/APR includes a State Systemic Improvement Plan (SSIP) that meets the requirements set forth for this indicator.</w:t>
      </w:r>
    </w:p>
    <w:p w14:paraId="450C51F8" w14:textId="77777777" w:rsidR="00AE1972" w:rsidRPr="00781112" w:rsidRDefault="00AE1972" w:rsidP="00AE1972">
      <w:pPr>
        <w:rPr>
          <w:b/>
          <w:color w:val="000000" w:themeColor="text1"/>
        </w:rPr>
      </w:pPr>
      <w:r w:rsidRPr="00781112">
        <w:rPr>
          <w:b/>
          <w:color w:val="000000" w:themeColor="text1"/>
        </w:rPr>
        <w:t>Measurement</w:t>
      </w:r>
    </w:p>
    <w:p w14:paraId="04B17582" w14:textId="6FB0482A" w:rsidR="00AE1972" w:rsidRPr="00781112" w:rsidRDefault="00AE1972" w:rsidP="00AE1972">
      <w:r w:rsidRPr="00781112">
        <w:t xml:space="preserve">The State’s SPP/APR includes an SSIP that is a comprehensive, ambitious, yet achievable multi-year plan for improving results </w:t>
      </w:r>
      <w:r w:rsidR="00002E37" w:rsidRPr="00651E83">
        <w:rPr>
          <w:rFonts w:cs="Arial"/>
          <w:szCs w:val="16"/>
        </w:rPr>
        <w:t xml:space="preserve">for </w:t>
      </w:r>
      <w:r w:rsidR="006B5750">
        <w:rPr>
          <w:rFonts w:cs="Arial"/>
          <w:szCs w:val="16"/>
        </w:rPr>
        <w:t>children</w:t>
      </w:r>
      <w:r w:rsidR="006B5750" w:rsidRPr="00651E83">
        <w:rPr>
          <w:rFonts w:cs="Arial"/>
          <w:szCs w:val="16"/>
        </w:rPr>
        <w:t xml:space="preserve"> </w:t>
      </w:r>
      <w:r w:rsidR="00002E37" w:rsidRPr="00651E83">
        <w:rPr>
          <w:rFonts w:cs="Arial"/>
          <w:szCs w:val="16"/>
        </w:rPr>
        <w:t>with disabilities</w:t>
      </w:r>
      <w:r w:rsidRPr="00781112">
        <w:t>. The SSIP includes each of the components described below.</w:t>
      </w:r>
    </w:p>
    <w:p w14:paraId="26F5AA9C" w14:textId="77777777" w:rsidR="00AE1972" w:rsidRPr="00781112" w:rsidRDefault="00AE1972" w:rsidP="00AE1972">
      <w:pPr>
        <w:rPr>
          <w:b/>
          <w:color w:val="000000" w:themeColor="text1"/>
        </w:rPr>
      </w:pPr>
      <w:r w:rsidRPr="00781112">
        <w:rPr>
          <w:b/>
          <w:color w:val="000000" w:themeColor="text1"/>
        </w:rPr>
        <w:t>Instructions</w:t>
      </w:r>
    </w:p>
    <w:p w14:paraId="399EE6DB" w14:textId="0F3AA5AD" w:rsidR="00AE1972" w:rsidRPr="00781112" w:rsidRDefault="00AE1972" w:rsidP="00AE1972">
      <w:r w:rsidRPr="00781112">
        <w:rPr>
          <w:b/>
          <w:iCs/>
          <w:u w:val="single"/>
        </w:rPr>
        <w:t>Baseline Data</w:t>
      </w:r>
      <w:r w:rsidRPr="00781112">
        <w:rPr>
          <w:b/>
          <w:i/>
        </w:rPr>
        <w:t>:</w:t>
      </w:r>
      <w:r w:rsidRPr="00781112">
        <w:t xml:space="preserve"> The State must provide baseline data that must be expressed as a percentage</w:t>
      </w:r>
      <w:r w:rsidR="00857A31">
        <w:t>,</w:t>
      </w:r>
      <w:r w:rsidRPr="00781112">
        <w:t xml:space="preserve"> and which is aligned with the State-identified Measurable Result(s) </w:t>
      </w:r>
      <w:r w:rsidR="00EE0EC5">
        <w:t xml:space="preserve">(SiMR) </w:t>
      </w:r>
      <w:r w:rsidRPr="00781112">
        <w:t xml:space="preserve">for </w:t>
      </w:r>
      <w:r w:rsidR="00B00A11" w:rsidRPr="00781112">
        <w:rPr>
          <w:rFonts w:cs="Arial"/>
          <w:szCs w:val="16"/>
        </w:rPr>
        <w:t>Children with Disabilities.</w:t>
      </w:r>
    </w:p>
    <w:p w14:paraId="200B44A4" w14:textId="29C60E76" w:rsidR="00AE1972" w:rsidRPr="00781112" w:rsidRDefault="00AE1972" w:rsidP="00AE1972">
      <w:r w:rsidRPr="00781112">
        <w:rPr>
          <w:b/>
          <w:iCs/>
          <w:u w:val="single"/>
        </w:rPr>
        <w:t>Targets</w:t>
      </w:r>
      <w:r w:rsidRPr="00781112">
        <w:rPr>
          <w:b/>
          <w:i/>
        </w:rPr>
        <w:t>:</w:t>
      </w:r>
      <w:r w:rsidRPr="00781112">
        <w:t xml:space="preserve"> </w:t>
      </w:r>
      <w:r w:rsidR="00E101A7" w:rsidRPr="00781112">
        <w:rPr>
          <w:rFonts w:cs="Arial"/>
          <w:szCs w:val="16"/>
        </w:rPr>
        <w:t xml:space="preserve">In its </w:t>
      </w:r>
      <w:r w:rsidR="0047313F">
        <w:rPr>
          <w:rFonts w:cs="Arial"/>
          <w:szCs w:val="16"/>
        </w:rPr>
        <w:t>FFY 202</w:t>
      </w:r>
      <w:r w:rsidR="00B632B8">
        <w:rPr>
          <w:rFonts w:cs="Arial"/>
          <w:szCs w:val="16"/>
        </w:rPr>
        <w:t>0</w:t>
      </w:r>
      <w:r w:rsidR="0047313F">
        <w:rPr>
          <w:rFonts w:cs="Arial"/>
          <w:szCs w:val="16"/>
        </w:rPr>
        <w:t xml:space="preserve"> SPP/APR, due </w:t>
      </w:r>
      <w:r w:rsidR="00AD1B29">
        <w:rPr>
          <w:rFonts w:cs="Arial"/>
          <w:szCs w:val="16"/>
        </w:rPr>
        <w:t>February 1, 202</w:t>
      </w:r>
      <w:r w:rsidR="00B632B8">
        <w:rPr>
          <w:rFonts w:cs="Arial"/>
          <w:szCs w:val="16"/>
        </w:rPr>
        <w:t>2</w:t>
      </w:r>
      <w:r w:rsidR="00E101A7" w:rsidRPr="00781112">
        <w:rPr>
          <w:rFonts w:cs="Arial"/>
          <w:szCs w:val="16"/>
        </w:rPr>
        <w:t xml:space="preserve">, the State must provide measurable and rigorous targets (expressed as percentages) for each of the </w:t>
      </w:r>
      <w:r w:rsidR="00F35094">
        <w:rPr>
          <w:rFonts w:cs="Arial"/>
          <w:szCs w:val="16"/>
        </w:rPr>
        <w:t xml:space="preserve">six </w:t>
      </w:r>
      <w:r w:rsidR="00E101A7" w:rsidRPr="00781112">
        <w:rPr>
          <w:rFonts w:cs="Arial"/>
          <w:szCs w:val="16"/>
        </w:rPr>
        <w:t xml:space="preserve">years from FFY </w:t>
      </w:r>
      <w:r w:rsidR="00B21923" w:rsidRPr="00781112">
        <w:rPr>
          <w:rFonts w:cs="Arial"/>
          <w:szCs w:val="16"/>
        </w:rPr>
        <w:t>202</w:t>
      </w:r>
      <w:r w:rsidR="00B632B8">
        <w:rPr>
          <w:rFonts w:cs="Arial"/>
          <w:szCs w:val="16"/>
        </w:rPr>
        <w:t>0</w:t>
      </w:r>
      <w:r w:rsidR="00B21923" w:rsidRPr="00781112">
        <w:rPr>
          <w:rFonts w:cs="Arial"/>
          <w:szCs w:val="16"/>
        </w:rPr>
        <w:t xml:space="preserve"> </w:t>
      </w:r>
      <w:r w:rsidR="00E101A7" w:rsidRPr="00781112">
        <w:rPr>
          <w:rFonts w:cs="Arial"/>
          <w:szCs w:val="16"/>
        </w:rPr>
        <w:t>through FFY 2025. The State’s FFY 2025 target must demonstrate improvement over the State’s</w:t>
      </w:r>
      <w:r w:rsidR="00635660" w:rsidRPr="00635660">
        <w:rPr>
          <w:rFonts w:cs="Arial"/>
          <w:szCs w:val="16"/>
        </w:rPr>
        <w:t xml:space="preserve"> </w:t>
      </w:r>
      <w:r w:rsidR="00635660">
        <w:rPr>
          <w:rFonts w:cs="Arial"/>
          <w:szCs w:val="16"/>
        </w:rPr>
        <w:t>b</w:t>
      </w:r>
      <w:r w:rsidR="00E101A7" w:rsidRPr="00781112">
        <w:rPr>
          <w:rFonts w:cs="Arial"/>
          <w:szCs w:val="16"/>
        </w:rPr>
        <w:t>aseline data.</w:t>
      </w:r>
      <w:r w:rsidR="00404B50">
        <w:rPr>
          <w:rFonts w:cs="Arial"/>
          <w:szCs w:val="16"/>
        </w:rPr>
        <w:t xml:space="preserve"> </w:t>
      </w:r>
    </w:p>
    <w:p w14:paraId="6B54FC53" w14:textId="7BBC6814" w:rsidR="00AE1972" w:rsidRPr="00781112" w:rsidRDefault="00AE1972" w:rsidP="00AE1972">
      <w:r w:rsidRPr="00781112">
        <w:rPr>
          <w:b/>
          <w:iCs/>
          <w:u w:val="single"/>
        </w:rPr>
        <w:t>Updated Data:</w:t>
      </w:r>
      <w:r w:rsidRPr="00781112">
        <w:t xml:space="preserve"> </w:t>
      </w:r>
      <w:r w:rsidR="00B00A11" w:rsidRPr="00781112">
        <w:rPr>
          <w:rFonts w:cs="Arial"/>
          <w:szCs w:val="16"/>
        </w:rPr>
        <w:t xml:space="preserve">In its FFYs </w:t>
      </w:r>
      <w:r w:rsidR="00935E2F" w:rsidRPr="00781112">
        <w:rPr>
          <w:rFonts w:cs="Arial"/>
          <w:szCs w:val="16"/>
        </w:rPr>
        <w:t>202</w:t>
      </w:r>
      <w:r w:rsidR="00935E2F">
        <w:rPr>
          <w:rFonts w:cs="Arial"/>
          <w:szCs w:val="16"/>
        </w:rPr>
        <w:t>0</w:t>
      </w:r>
      <w:r w:rsidR="00935E2F" w:rsidRPr="00781112">
        <w:rPr>
          <w:rFonts w:cs="Arial"/>
          <w:szCs w:val="16"/>
        </w:rPr>
        <w:t xml:space="preserve"> </w:t>
      </w:r>
      <w:r w:rsidR="00B00A11" w:rsidRPr="00781112">
        <w:rPr>
          <w:rFonts w:cs="Arial"/>
          <w:szCs w:val="16"/>
        </w:rPr>
        <w:t xml:space="preserve">through FFY 2025 SPPs/APRs, due </w:t>
      </w:r>
      <w:r w:rsidR="00AD1B29">
        <w:rPr>
          <w:rFonts w:cs="Arial"/>
          <w:szCs w:val="16"/>
        </w:rPr>
        <w:t xml:space="preserve">February </w:t>
      </w:r>
      <w:r w:rsidR="00935E2F">
        <w:rPr>
          <w:rFonts w:cs="Arial"/>
          <w:szCs w:val="16"/>
        </w:rPr>
        <w:t>2022 through February 2027</w:t>
      </w:r>
      <w:r w:rsidR="00B00A11" w:rsidRPr="00781112">
        <w:rPr>
          <w:rFonts w:cs="Arial"/>
          <w:szCs w:val="16"/>
        </w:rPr>
        <w:t xml:space="preserve">, the State must provide updated data for that specific FFY (expressed as percentages) and that data must be aligned with the State-identified Measurable Result(s) </w:t>
      </w:r>
      <w:r w:rsidR="00F35094">
        <w:rPr>
          <w:rFonts w:cs="Arial"/>
          <w:szCs w:val="16"/>
        </w:rPr>
        <w:t xml:space="preserve">Children with Disabilities. </w:t>
      </w:r>
      <w:r w:rsidR="00B00A11" w:rsidRPr="00781112">
        <w:rPr>
          <w:rFonts w:cs="Arial"/>
          <w:szCs w:val="16"/>
        </w:rPr>
        <w:t>In its FFY</w:t>
      </w:r>
      <w:r w:rsidR="00F35094">
        <w:rPr>
          <w:rFonts w:cs="Arial"/>
          <w:szCs w:val="16"/>
        </w:rPr>
        <w:t>s</w:t>
      </w:r>
      <w:r w:rsidR="00B00A11" w:rsidRPr="00781112">
        <w:rPr>
          <w:rFonts w:cs="Arial"/>
          <w:szCs w:val="16"/>
        </w:rPr>
        <w:t xml:space="preserve"> </w:t>
      </w:r>
      <w:r w:rsidR="00935E2F">
        <w:rPr>
          <w:rFonts w:cs="Arial"/>
          <w:szCs w:val="16"/>
        </w:rPr>
        <w:t>2020</w:t>
      </w:r>
      <w:r w:rsidR="00B21923" w:rsidRPr="00781112">
        <w:rPr>
          <w:rFonts w:cs="Arial"/>
          <w:szCs w:val="16"/>
        </w:rPr>
        <w:t xml:space="preserve"> </w:t>
      </w:r>
      <w:r w:rsidR="00B00A11" w:rsidRPr="00781112">
        <w:rPr>
          <w:rFonts w:cs="Arial"/>
          <w:szCs w:val="16"/>
        </w:rPr>
        <w:t>through FFY 2025 SPPs/APRs, the State must report on whether it met its target.</w:t>
      </w:r>
    </w:p>
    <w:p w14:paraId="3660F78F" w14:textId="77777777" w:rsidR="00AE1972" w:rsidRPr="00781112" w:rsidRDefault="00AE1972" w:rsidP="00AE1972">
      <w:pPr>
        <w:pStyle w:val="Subhed"/>
      </w:pPr>
      <w:r w:rsidRPr="00781112">
        <w:t>Overview of the Three Phases of the SSIP</w:t>
      </w:r>
    </w:p>
    <w:p w14:paraId="41060915" w14:textId="1038334F" w:rsidR="00AE1972" w:rsidRPr="00781112" w:rsidRDefault="00B00A11" w:rsidP="00AE1972">
      <w:pPr>
        <w:rPr>
          <w:rFonts w:cs="Arial"/>
          <w:szCs w:val="16"/>
        </w:rPr>
      </w:pPr>
      <w:r w:rsidRPr="00781112">
        <w:rPr>
          <w:rFonts w:cs="Arial"/>
          <w:szCs w:val="16"/>
        </w:rPr>
        <w:t>It is of the utmost importance to improve results for children with disabilities by improving educational services, including special education and related services. Stakeholders, including parents of children with disabilities, local educational agencies, the State Advisory Panel, and others, are critical participants in improving results for children with disabilities and should be included in developing, implementing, evaluating, and revising the SSIP and included in establishing the State’s targets under Indicator 17. The SSIP should include information about stakeholder involvement in all three phases.</w:t>
      </w:r>
    </w:p>
    <w:p w14:paraId="1F974632" w14:textId="656B04EE" w:rsidR="00AE1972" w:rsidRPr="00781112" w:rsidRDefault="00AE1972" w:rsidP="00AE1972">
      <w:pPr>
        <w:pStyle w:val="Subhed"/>
        <w:rPr>
          <w:b w:val="0"/>
        </w:rPr>
      </w:pPr>
      <w:r w:rsidRPr="00781112">
        <w:rPr>
          <w:i/>
        </w:rPr>
        <w:t>Phase I: Analysis:</w:t>
      </w:r>
      <w:r w:rsidRPr="00781112">
        <w:rPr>
          <w:b w:val="0"/>
        </w:rPr>
        <w:t xml:space="preserve"> </w:t>
      </w:r>
    </w:p>
    <w:p w14:paraId="096C9E4B" w14:textId="77777777" w:rsidR="00AE1972" w:rsidRPr="00781112" w:rsidRDefault="00AE1972" w:rsidP="00AE1972">
      <w:pPr>
        <w:ind w:left="360"/>
      </w:pPr>
      <w:r w:rsidRPr="00781112">
        <w:t>- Data Analysis;</w:t>
      </w:r>
    </w:p>
    <w:p w14:paraId="27016A94" w14:textId="77777777" w:rsidR="00AE1972" w:rsidRPr="00781112" w:rsidRDefault="00AE1972" w:rsidP="00AE1972">
      <w:pPr>
        <w:ind w:left="360"/>
      </w:pPr>
      <w:r w:rsidRPr="00781112">
        <w:t>- Analysis of State Infrastructure to Support Improvement and Build Capacity;</w:t>
      </w:r>
    </w:p>
    <w:p w14:paraId="7C62869B" w14:textId="77122CAD" w:rsidR="00AE1972" w:rsidRPr="00781112" w:rsidRDefault="00AE1972" w:rsidP="00AE1972">
      <w:pPr>
        <w:ind w:left="360"/>
      </w:pPr>
      <w:r w:rsidRPr="00781112">
        <w:t xml:space="preserve">- State-identified Measurable Result(s) for </w:t>
      </w:r>
      <w:r w:rsidR="00B00A11" w:rsidRPr="00781112">
        <w:rPr>
          <w:rFonts w:cs="Arial"/>
          <w:szCs w:val="16"/>
        </w:rPr>
        <w:t>Children with Disabilities</w:t>
      </w:r>
      <w:r w:rsidRPr="00781112">
        <w:t>;</w:t>
      </w:r>
    </w:p>
    <w:p w14:paraId="6AD2D627" w14:textId="77777777" w:rsidR="00AE1972" w:rsidRPr="00781112" w:rsidRDefault="00AE1972" w:rsidP="00AE1972">
      <w:pPr>
        <w:ind w:left="360"/>
      </w:pPr>
      <w:r w:rsidRPr="00781112">
        <w:t>- Selection of Coherent Improvement Strategies; and</w:t>
      </w:r>
    </w:p>
    <w:p w14:paraId="356E7B19" w14:textId="77777777" w:rsidR="00AE1972" w:rsidRPr="00781112" w:rsidRDefault="00AE1972" w:rsidP="00AE1972">
      <w:pPr>
        <w:ind w:left="360"/>
      </w:pPr>
      <w:r w:rsidRPr="00781112">
        <w:t>- Theory of Action.</w:t>
      </w:r>
    </w:p>
    <w:p w14:paraId="6A753B55" w14:textId="02BE0D90" w:rsidR="00AE1972" w:rsidRPr="00781112" w:rsidRDefault="00AE1972" w:rsidP="00AE1972">
      <w:pPr>
        <w:pStyle w:val="Subhed"/>
        <w:rPr>
          <w:b w:val="0"/>
        </w:rPr>
      </w:pPr>
      <w:r w:rsidRPr="00781112">
        <w:rPr>
          <w:i/>
        </w:rPr>
        <w:t>Phase II: Plan</w:t>
      </w:r>
      <w:r w:rsidRPr="00781112">
        <w:rPr>
          <w:b w:val="0"/>
        </w:rPr>
        <w:t xml:space="preserve"> (which, </w:t>
      </w:r>
      <w:r w:rsidR="00D14A1B" w:rsidRPr="00781112">
        <w:rPr>
          <w:b w:val="0"/>
        </w:rPr>
        <w:t xml:space="preserve">is </w:t>
      </w:r>
      <w:r w:rsidRPr="00781112">
        <w:rPr>
          <w:b w:val="0"/>
        </w:rPr>
        <w:t>in addition to the Phase I content (including any updates)</w:t>
      </w:r>
      <w:r w:rsidR="00F35094">
        <w:rPr>
          <w:b w:val="0"/>
        </w:rPr>
        <w:t>)</w:t>
      </w:r>
      <w:r w:rsidRPr="00781112">
        <w:rPr>
          <w:b w:val="0"/>
        </w:rPr>
        <w:t xml:space="preserve"> outlined above</w:t>
      </w:r>
      <w:r w:rsidR="00F35094">
        <w:rPr>
          <w:b w:val="0"/>
        </w:rPr>
        <w:t>)</w:t>
      </w:r>
      <w:r w:rsidRPr="00781112">
        <w:rPr>
          <w:b w:val="0"/>
        </w:rPr>
        <w:t>:</w:t>
      </w:r>
    </w:p>
    <w:p w14:paraId="0A22BE99" w14:textId="77777777" w:rsidR="006B5750" w:rsidRDefault="00756B33" w:rsidP="008877E3">
      <w:pPr>
        <w:ind w:left="360"/>
      </w:pPr>
      <w:r w:rsidRPr="00781112">
        <w:t xml:space="preserve">- </w:t>
      </w:r>
      <w:r w:rsidR="00AE1972" w:rsidRPr="00781112">
        <w:t>Infrastructure Development;</w:t>
      </w:r>
    </w:p>
    <w:p w14:paraId="66997D61" w14:textId="59DC7764" w:rsidR="006B5750" w:rsidRDefault="006B5750" w:rsidP="008877E3">
      <w:pPr>
        <w:ind w:left="360"/>
      </w:pPr>
      <w:r>
        <w:t>- Support for local educational agency (LEA)</w:t>
      </w:r>
      <w:r w:rsidDel="006B5750">
        <w:t xml:space="preserve"> </w:t>
      </w:r>
      <w:r>
        <w:t>Implementation of Evidence-Based Practices; and</w:t>
      </w:r>
      <w:r w:rsidRPr="00781112">
        <w:t xml:space="preserve"> </w:t>
      </w:r>
    </w:p>
    <w:p w14:paraId="38176125" w14:textId="4276E770" w:rsidR="00AE1972" w:rsidRPr="00781112" w:rsidRDefault="00756B33" w:rsidP="008877E3">
      <w:pPr>
        <w:ind w:left="360"/>
      </w:pPr>
      <w:r w:rsidRPr="00781112">
        <w:t xml:space="preserve">- </w:t>
      </w:r>
      <w:r w:rsidR="00AE1972" w:rsidRPr="00781112">
        <w:t>Evaluation.</w:t>
      </w:r>
    </w:p>
    <w:p w14:paraId="73F6A460" w14:textId="0BCB7E98" w:rsidR="00AE1972" w:rsidRPr="00781112" w:rsidRDefault="00AE1972" w:rsidP="00AE1972">
      <w:pPr>
        <w:pStyle w:val="Subhed"/>
        <w:rPr>
          <w:b w:val="0"/>
        </w:rPr>
      </w:pPr>
      <w:r w:rsidRPr="00781112">
        <w:rPr>
          <w:i/>
        </w:rPr>
        <w:t>Phase III: Implementation and Evaluation</w:t>
      </w:r>
      <w:r w:rsidRPr="00781112">
        <w:rPr>
          <w:b w:val="0"/>
        </w:rPr>
        <w:t xml:space="preserve"> (which, </w:t>
      </w:r>
      <w:r w:rsidR="00D14A1B" w:rsidRPr="00781112">
        <w:rPr>
          <w:b w:val="0"/>
        </w:rPr>
        <w:t xml:space="preserve">is </w:t>
      </w:r>
      <w:r w:rsidRPr="00781112">
        <w:rPr>
          <w:b w:val="0"/>
        </w:rPr>
        <w:t>in addition to the Phase I and Phase II content (including any updates)</w:t>
      </w:r>
      <w:r w:rsidR="00F35094">
        <w:rPr>
          <w:b w:val="0"/>
        </w:rPr>
        <w:t>)</w:t>
      </w:r>
      <w:r w:rsidRPr="00781112">
        <w:rPr>
          <w:b w:val="0"/>
        </w:rPr>
        <w:t xml:space="preserve"> outlined above</w:t>
      </w:r>
      <w:r w:rsidR="00F35094">
        <w:rPr>
          <w:b w:val="0"/>
        </w:rPr>
        <w:t>)</w:t>
      </w:r>
      <w:r w:rsidRPr="00781112">
        <w:rPr>
          <w:b w:val="0"/>
        </w:rPr>
        <w:t>:</w:t>
      </w:r>
    </w:p>
    <w:p w14:paraId="580CF235" w14:textId="77777777" w:rsidR="00AE1972" w:rsidRPr="00781112" w:rsidRDefault="00AE1972" w:rsidP="00AE1972">
      <w:pPr>
        <w:ind w:left="360"/>
      </w:pPr>
      <w:r w:rsidRPr="00781112">
        <w:t>- Results of Ongoing Evaluation and Revisions to the SSIP.</w:t>
      </w:r>
    </w:p>
    <w:p w14:paraId="03B4B47F" w14:textId="77777777" w:rsidR="00AE1972" w:rsidRPr="00781112" w:rsidRDefault="00AE1972" w:rsidP="00AE1972">
      <w:pPr>
        <w:rPr>
          <w:b/>
        </w:rPr>
      </w:pPr>
      <w:r w:rsidRPr="00781112">
        <w:rPr>
          <w:b/>
        </w:rPr>
        <w:t>Specific Content of Each Phase of the SSIP</w:t>
      </w:r>
    </w:p>
    <w:p w14:paraId="467D2C6D" w14:textId="3F55CFEA" w:rsidR="00AE1972" w:rsidRPr="00781112" w:rsidRDefault="00AE1972" w:rsidP="00AE1972">
      <w:r w:rsidRPr="00781112">
        <w:t>Refer to FFY 2013-2015 Measurement Table for detailed requirements of Phase I and Phase II SSIP submissions.</w:t>
      </w:r>
    </w:p>
    <w:p w14:paraId="4B1E2598" w14:textId="77777777" w:rsidR="00AE1972" w:rsidRPr="00781112" w:rsidRDefault="00AE1972" w:rsidP="00AE1972">
      <w:r w:rsidRPr="00781112">
        <w:t>Phase III should only include information from Phase I or Phase II if changes or revisions are being made by the State and/or if information previously required in Phase I or Phase II was not reported.</w:t>
      </w:r>
    </w:p>
    <w:p w14:paraId="5E950372" w14:textId="77777777" w:rsidR="00AE1972" w:rsidRPr="00781112" w:rsidRDefault="00AE1972" w:rsidP="00AE1972">
      <w:pPr>
        <w:rPr>
          <w:b/>
          <w:i/>
        </w:rPr>
      </w:pPr>
      <w:r w:rsidRPr="00781112">
        <w:rPr>
          <w:b/>
          <w:i/>
        </w:rPr>
        <w:t>Phase III: Implementation and Evaluation</w:t>
      </w:r>
    </w:p>
    <w:p w14:paraId="2ACE13F7" w14:textId="77777777" w:rsidR="00496EF6" w:rsidRPr="00781112" w:rsidRDefault="00496EF6" w:rsidP="00496EF6">
      <w:pPr>
        <w:rPr>
          <w:rFonts w:cs="Arial"/>
          <w:szCs w:val="16"/>
        </w:rPr>
      </w:pPr>
      <w:r w:rsidRPr="00781112">
        <w:rPr>
          <w:rFonts w:cs="Arial"/>
          <w:szCs w:val="16"/>
        </w:rPr>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Result(s) for Children with Disabilities (SiMR);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6BC324F8" w14:textId="77777777" w:rsidR="00AE1972" w:rsidRPr="00781112" w:rsidRDefault="00AE1972" w:rsidP="00AE1972">
      <w:pPr>
        <w:tabs>
          <w:tab w:val="left" w:pos="270"/>
          <w:tab w:val="left" w:pos="630"/>
        </w:tabs>
      </w:pPr>
      <w:r w:rsidRPr="00781112">
        <w:t xml:space="preserve">A. </w:t>
      </w:r>
      <w:r w:rsidRPr="00781112">
        <w:tab/>
        <w:t>Data Analysis</w:t>
      </w:r>
    </w:p>
    <w:p w14:paraId="7509FEFA" w14:textId="30AC8B39" w:rsidR="000063AC" w:rsidRPr="00781112" w:rsidRDefault="000063AC" w:rsidP="000063AC">
      <w:pPr>
        <w:rPr>
          <w:rFonts w:cs="Arial"/>
          <w:szCs w:val="16"/>
        </w:rPr>
      </w:pPr>
      <w:r w:rsidRPr="00781112">
        <w:rPr>
          <w:rFonts w:cs="Arial"/>
          <w:szCs w:val="16"/>
        </w:rPr>
        <w:t>As required in the Instructions for the Indicator/Measurement, in its FFYs 2020 through 2025 SPPs/APRs, the State must report data for that specific FFY (expressed as actual numbers and percentages) that are aligned with the SiMR. The State must report on whether the State met its target. In addition, the State may report on any additional data (e.g., progress monitoring data) that were collected and analyzed that would suggest progress toward the SiMR. States using a subset of the population from the indicator (e.g., a sample, cohort model) should describe how data are collected and analyzed for the SiMR if that was not described in Phase I or Phase II of the SSIP.</w:t>
      </w:r>
    </w:p>
    <w:p w14:paraId="77280910" w14:textId="77777777" w:rsidR="00AE1972" w:rsidRPr="00781112" w:rsidRDefault="00AE1972" w:rsidP="00AE1972">
      <w:pPr>
        <w:tabs>
          <w:tab w:val="left" w:pos="360"/>
        </w:tabs>
      </w:pPr>
      <w:r w:rsidRPr="00781112">
        <w:t xml:space="preserve">B. </w:t>
      </w:r>
      <w:r w:rsidRPr="00781112">
        <w:tab/>
        <w:t>Phase III Implementation, Analysis and Evaluation</w:t>
      </w:r>
    </w:p>
    <w:p w14:paraId="55F09A01" w14:textId="4301A565" w:rsidR="00AE1972" w:rsidRPr="00781112" w:rsidRDefault="00AE1972" w:rsidP="00AE1972">
      <w:r w:rsidRPr="00781112">
        <w:t xml:space="preserve">The State must provide a narrative or graphic representation, </w:t>
      </w:r>
      <w:r w:rsidR="00F35094">
        <w:t>(</w:t>
      </w:r>
      <w:r w:rsidRPr="00781112">
        <w:t>e.g., a logic model</w:t>
      </w:r>
      <w:r w:rsidR="00F35094">
        <w:t>)</w:t>
      </w:r>
      <w:r w:rsidRPr="00781112">
        <w:t xml:space="preserve"> of the principal activities, measures and outcomes that were implemented since the State’s last SSIP submission (i.e., </w:t>
      </w:r>
      <w:r w:rsidR="00F302A0" w:rsidRPr="00781112">
        <w:t>Feb</w:t>
      </w:r>
      <w:r w:rsidR="00A94276">
        <w:t>ruary</w:t>
      </w:r>
      <w:r w:rsidRPr="00781112">
        <w:t xml:space="preserve"> </w:t>
      </w:r>
      <w:r w:rsidR="00A94276">
        <w:t xml:space="preserve">1, </w:t>
      </w:r>
      <w:r w:rsidR="00B21923" w:rsidRPr="00781112">
        <w:t>202</w:t>
      </w:r>
      <w:r w:rsidR="005F4CA4">
        <w:t>4</w:t>
      </w:r>
      <w:r w:rsidRPr="00781112">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0A51077C" w14:textId="31B0BED5" w:rsidR="00AE1972" w:rsidRPr="00781112" w:rsidRDefault="00AE1972" w:rsidP="00AE1972">
      <w:r w:rsidRPr="00781112">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The State must describe the next steps for each infrastructure improvement strategy and the anticipated outcomes to be attained during the next fiscal year (e.g., </w:t>
      </w:r>
      <w:r w:rsidR="00B21923">
        <w:rPr>
          <w:rFonts w:cs="Arial"/>
          <w:szCs w:val="16"/>
        </w:rPr>
        <w:t>for the FFY 202</w:t>
      </w:r>
      <w:r w:rsidR="005F4CA4">
        <w:rPr>
          <w:rFonts w:cs="Arial"/>
          <w:szCs w:val="16"/>
        </w:rPr>
        <w:t>3</w:t>
      </w:r>
      <w:r w:rsidR="00B21923">
        <w:rPr>
          <w:rFonts w:cs="Arial"/>
          <w:szCs w:val="16"/>
        </w:rPr>
        <w:t xml:space="preserve"> APR, report on anticipated outcomes to be obtained during FFY 202</w:t>
      </w:r>
      <w:r w:rsidR="005F4CA4">
        <w:rPr>
          <w:rFonts w:cs="Arial"/>
          <w:szCs w:val="16"/>
        </w:rPr>
        <w:t>4</w:t>
      </w:r>
      <w:r w:rsidR="00B21923">
        <w:rPr>
          <w:rFonts w:cs="Arial"/>
          <w:szCs w:val="16"/>
        </w:rPr>
        <w:t>, i.e., July 1, 202</w:t>
      </w:r>
      <w:r w:rsidR="005F4CA4">
        <w:rPr>
          <w:rFonts w:cs="Arial"/>
          <w:szCs w:val="16"/>
        </w:rPr>
        <w:t>4</w:t>
      </w:r>
      <w:r w:rsidR="00B21923">
        <w:rPr>
          <w:rFonts w:cs="Arial"/>
          <w:szCs w:val="16"/>
        </w:rPr>
        <w:t>-June 30, 202</w:t>
      </w:r>
      <w:r w:rsidR="005F4CA4">
        <w:rPr>
          <w:rFonts w:cs="Arial"/>
          <w:szCs w:val="16"/>
        </w:rPr>
        <w:t>5</w:t>
      </w:r>
      <w:r w:rsidR="00B21923" w:rsidRPr="00651E83">
        <w:rPr>
          <w:rFonts w:cs="Arial"/>
          <w:szCs w:val="16"/>
        </w:rPr>
        <w:t>).</w:t>
      </w:r>
    </w:p>
    <w:p w14:paraId="6198E1D5" w14:textId="1ABEA34C" w:rsidR="00AE1972" w:rsidRPr="00781112" w:rsidRDefault="00AE1972" w:rsidP="00AE1972">
      <w:r w:rsidRPr="00781112">
        <w:t>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SiMR by changing program/district policies, procedures, and/or practices, teacher/provider practices (</w:t>
      </w:r>
      <w:r w:rsidR="00A94276">
        <w:t>e.g</w:t>
      </w:r>
      <w:r w:rsidRPr="00781112">
        <w:t xml:space="preserve">., behaviors), parent/caregiver outcomes, </w:t>
      </w:r>
      <w:r w:rsidRPr="00781112">
        <w:lastRenderedPageBreak/>
        <w:t>and/or child outcomes. Describe any additional data (</w:t>
      </w:r>
      <w:r w:rsidR="00A94276">
        <w:t>e.g</w:t>
      </w:r>
      <w:r w:rsidRPr="00781112">
        <w:t>., progress monitoring data) that was collected to support the on-going use of the evidence-based practices and inform decision-making for the next year of SSIP implementation.</w:t>
      </w:r>
    </w:p>
    <w:p w14:paraId="411C94A7" w14:textId="77777777" w:rsidR="00AE1972" w:rsidRPr="00781112" w:rsidRDefault="00AE1972" w:rsidP="00AE1972">
      <w:pPr>
        <w:tabs>
          <w:tab w:val="left" w:pos="270"/>
        </w:tabs>
      </w:pPr>
      <w:r w:rsidRPr="00781112">
        <w:t xml:space="preserve">C. </w:t>
      </w:r>
      <w:r w:rsidRPr="00781112">
        <w:tab/>
        <w:t>Stakeholder Engagement</w:t>
      </w:r>
    </w:p>
    <w:p w14:paraId="007F9035" w14:textId="77777777" w:rsidR="00AE1972" w:rsidRPr="00781112" w:rsidRDefault="00AE1972" w:rsidP="00AE1972">
      <w:r w:rsidRPr="00781112">
        <w:t>The State must describe the specific strategies implemented to engage stakeholders in key improvement efforts and how the State addressed concerns, if any, raised by stakeholders through its engagement activities.</w:t>
      </w:r>
    </w:p>
    <w:p w14:paraId="38CBE3F2" w14:textId="77777777" w:rsidR="00AE1972" w:rsidRPr="00781112" w:rsidRDefault="00AE1972" w:rsidP="00AE1972">
      <w:r w:rsidRPr="00781112">
        <w:t>Additional Implementation Activities</w:t>
      </w:r>
    </w:p>
    <w:p w14:paraId="00F49894" w14:textId="6674EACA" w:rsidR="00AE1972" w:rsidRPr="00781112" w:rsidRDefault="00AE1972" w:rsidP="00AE1972">
      <w:r w:rsidRPr="00781112">
        <w:t xml:space="preserve">The State should identify any activities not already described that it intends to implement in the next fiscal year (e.g., </w:t>
      </w:r>
      <w:r w:rsidR="00B21923">
        <w:rPr>
          <w:rFonts w:cs="Arial"/>
          <w:szCs w:val="16"/>
        </w:rPr>
        <w:t>for the FFY 202</w:t>
      </w:r>
      <w:r w:rsidR="005F4CA4">
        <w:rPr>
          <w:rFonts w:cs="Arial"/>
          <w:szCs w:val="16"/>
        </w:rPr>
        <w:t>3</w:t>
      </w:r>
      <w:r w:rsidR="00B21923">
        <w:rPr>
          <w:rFonts w:cs="Arial"/>
          <w:szCs w:val="16"/>
        </w:rPr>
        <w:t xml:space="preserve"> APR, report on activities it intends to implement in FFY 202</w:t>
      </w:r>
      <w:r w:rsidR="005F4CA4">
        <w:rPr>
          <w:rFonts w:cs="Arial"/>
          <w:szCs w:val="16"/>
        </w:rPr>
        <w:t>4</w:t>
      </w:r>
      <w:r w:rsidR="00B21923">
        <w:rPr>
          <w:rFonts w:cs="Arial"/>
          <w:szCs w:val="16"/>
        </w:rPr>
        <w:t>, i.e., July 1, 202</w:t>
      </w:r>
      <w:r w:rsidR="005F4CA4">
        <w:rPr>
          <w:rFonts w:cs="Arial"/>
          <w:szCs w:val="16"/>
        </w:rPr>
        <w:t>4</w:t>
      </w:r>
      <w:r w:rsidR="00B21923">
        <w:rPr>
          <w:rFonts w:cs="Arial"/>
          <w:szCs w:val="16"/>
        </w:rPr>
        <w:t>-June 30, 202</w:t>
      </w:r>
      <w:r w:rsidR="005F4CA4">
        <w:rPr>
          <w:rFonts w:cs="Arial"/>
          <w:szCs w:val="16"/>
        </w:rPr>
        <w:t>5</w:t>
      </w:r>
      <w:r w:rsidR="00A94276">
        <w:rPr>
          <w:rFonts w:cs="Arial"/>
          <w:szCs w:val="16"/>
        </w:rPr>
        <w:t>)</w:t>
      </w:r>
      <w:r w:rsidR="00FC1D83">
        <w:rPr>
          <w:rFonts w:cs="Arial"/>
          <w:szCs w:val="16"/>
        </w:rPr>
        <w:t xml:space="preserve"> </w:t>
      </w:r>
      <w:r w:rsidRPr="00781112">
        <w:t>including a timeline, anticipated data collection and measures, and expected outcomes that are related to the SiMR. The State should describe any newly identified barriers and include steps to address these barriers.</w:t>
      </w:r>
    </w:p>
    <w:p w14:paraId="428E26A7" w14:textId="6193C9E6" w:rsidR="00AE1972" w:rsidRPr="00781112" w:rsidRDefault="00AE1972" w:rsidP="00AE1972">
      <w:pPr>
        <w:pStyle w:val="Heading2"/>
      </w:pPr>
      <w:r w:rsidRPr="00781112">
        <w:t>1</w:t>
      </w:r>
      <w:r w:rsidR="00B90835" w:rsidRPr="00781112">
        <w:t>7</w:t>
      </w:r>
      <w:r w:rsidRPr="00781112">
        <w:t xml:space="preserve"> - Indicator Data</w:t>
      </w:r>
    </w:p>
    <w:p w14:paraId="626DBA0C" w14:textId="77777777" w:rsidR="00AE1972" w:rsidRPr="00781112" w:rsidRDefault="00AE1972" w:rsidP="00AE1972">
      <w:pPr>
        <w:rPr>
          <w:b/>
          <w:bCs/>
        </w:rPr>
      </w:pPr>
      <w:r w:rsidRPr="00781112">
        <w:rPr>
          <w:b/>
          <w:bCs/>
        </w:rPr>
        <w:t>Section A: Data Analysis</w:t>
      </w:r>
    </w:p>
    <w:p w14:paraId="26873A73" w14:textId="77777777" w:rsidR="00AE1972" w:rsidRPr="00781112" w:rsidRDefault="00AE1972" w:rsidP="00AE1972">
      <w:pPr>
        <w:rPr>
          <w:b/>
          <w:bCs/>
        </w:rPr>
      </w:pPr>
      <w:r w:rsidRPr="00781112">
        <w:rPr>
          <w:b/>
          <w:bCs/>
        </w:rPr>
        <w:t>What is the State-identified Measurable Result (SiMR)?</w:t>
      </w:r>
    </w:p>
    <w:p w14:paraId="2CDA0A52" w14:textId="1253220E" w:rsidR="00AE1972" w:rsidRPr="00781112" w:rsidRDefault="00AE1972" w:rsidP="00AE1972">
      <w:pPr>
        <w:rPr>
          <w:color w:val="000000" w:themeColor="text1"/>
        </w:rPr>
      </w:pPr>
      <w:r w:rsidRPr="00781112">
        <w:rPr>
          <w:color w:val="000000" w:themeColor="text1"/>
        </w:rPr>
        <w:t>86% of West Virginia students with disabilities will graduate with a regular diploma by June 2025.</w:t>
      </w:r>
    </w:p>
    <w:p w14:paraId="43CABCA3" w14:textId="77777777" w:rsidR="00AE1972" w:rsidRPr="00781112" w:rsidRDefault="00AE1972" w:rsidP="00AE1972">
      <w:pPr>
        <w:rPr>
          <w:b/>
          <w:bCs/>
        </w:rPr>
      </w:pPr>
      <w:bookmarkStart w:id="96" w:name="_Hlk85195358"/>
      <w:r w:rsidRPr="00781112">
        <w:rPr>
          <w:b/>
          <w:bCs/>
        </w:rPr>
        <w:t>Has the SiMR changed since the last SSIP submission? (yes/no)</w:t>
      </w:r>
    </w:p>
    <w:p w14:paraId="53B392AE" w14:textId="5D60E4A2" w:rsidR="00AE1972" w:rsidRDefault="00AE1972" w:rsidP="00AE1972">
      <w:r w:rsidRPr="00781112">
        <w:t>NO</w:t>
      </w:r>
    </w:p>
    <w:bookmarkEnd w:id="96"/>
    <w:p w14:paraId="1B1A90F5" w14:textId="77777777" w:rsidR="00935B96" w:rsidRPr="00781112" w:rsidRDefault="00935B96" w:rsidP="00AE1972"/>
    <w:p w14:paraId="4DB5CA5B" w14:textId="77777777" w:rsidR="00AE1972" w:rsidRPr="00781112" w:rsidRDefault="00AE1972" w:rsidP="00AE1972">
      <w:pPr>
        <w:rPr>
          <w:b/>
          <w:bCs/>
        </w:rPr>
      </w:pPr>
      <w:r w:rsidRPr="00781112">
        <w:rPr>
          <w:b/>
          <w:bCs/>
        </w:rPr>
        <w:t>Is the State using a subset of the population from the indicator (</w:t>
      </w:r>
      <w:r w:rsidRPr="00781112">
        <w:rPr>
          <w:b/>
          <w:bCs/>
          <w:i/>
          <w:iCs/>
        </w:rPr>
        <w:t>e.g.</w:t>
      </w:r>
      <w:r w:rsidRPr="00781112">
        <w:rPr>
          <w:b/>
          <w:bCs/>
        </w:rPr>
        <w:t>, a sample, cohort model)? (yes/no)</w:t>
      </w:r>
    </w:p>
    <w:p w14:paraId="5220F24E" w14:textId="45A17085" w:rsidR="00AE1972" w:rsidRDefault="00AE1972" w:rsidP="00AE1972">
      <w:r w:rsidRPr="00781112">
        <w:rPr>
          <w:color w:val="000000" w:themeColor="text1"/>
        </w:rPr>
        <w:t>NO</w:t>
      </w:r>
    </w:p>
    <w:p w14:paraId="74BC6A9B" w14:textId="77777777" w:rsidR="00AE1972" w:rsidRPr="00781112" w:rsidRDefault="00AE1972" w:rsidP="00AE1972">
      <w:pPr>
        <w:rPr>
          <w:b/>
          <w:bCs/>
        </w:rPr>
      </w:pPr>
    </w:p>
    <w:p w14:paraId="7B52B71D" w14:textId="77777777" w:rsidR="00AE1972" w:rsidRPr="00781112" w:rsidRDefault="00AE1972" w:rsidP="00AE1972">
      <w:pPr>
        <w:rPr>
          <w:b/>
          <w:bCs/>
        </w:rPr>
      </w:pPr>
      <w:r w:rsidRPr="00781112">
        <w:rPr>
          <w:b/>
          <w:bCs/>
        </w:rPr>
        <w:t>Is the State’s theory of action new or revised since the previous submission? (yes/no)</w:t>
      </w:r>
    </w:p>
    <w:p w14:paraId="2F47C8A6" w14:textId="34E2E007" w:rsidR="00AE1972" w:rsidRDefault="00AE1972" w:rsidP="00AE1972">
      <w:r w:rsidRPr="00781112">
        <w:t>NO</w:t>
      </w:r>
    </w:p>
    <w:p w14:paraId="233336CC" w14:textId="56400261" w:rsidR="00A202E9" w:rsidRPr="00781112" w:rsidRDefault="00A202E9" w:rsidP="00A202E9">
      <w:pPr>
        <w:rPr>
          <w:rFonts w:cs="Arial"/>
          <w:b/>
          <w:bCs/>
          <w:szCs w:val="16"/>
        </w:rPr>
      </w:pPr>
      <w:r w:rsidRPr="00781112">
        <w:rPr>
          <w:rFonts w:cs="Arial"/>
          <w:b/>
          <w:bCs/>
          <w:szCs w:val="16"/>
        </w:rPr>
        <w:t>Please provide a link to the current theory of action.</w:t>
      </w:r>
    </w:p>
    <w:p w14:paraId="7EC9F4F7" w14:textId="0C6CDBBD" w:rsidR="00A202E9" w:rsidRDefault="00A202E9" w:rsidP="00A202E9">
      <w:r w:rsidRPr="00781112">
        <w:t>https://wvde.us/special-education/wv-guideposts-to-graduation/ - scroll to SSIP Section of this webpage to open theory of action</w:t>
      </w:r>
    </w:p>
    <w:p w14:paraId="17DFD7D0" w14:textId="77777777" w:rsidR="00B41EFC" w:rsidRDefault="00B41EFC" w:rsidP="00A202E9"/>
    <w:p w14:paraId="5C9EC454" w14:textId="77777777" w:rsidR="00AE1972" w:rsidRPr="007E6407" w:rsidRDefault="00AE1972" w:rsidP="007E6407">
      <w:pPr>
        <w:rPr>
          <w:b/>
          <w:bCs/>
        </w:rPr>
      </w:pPr>
      <w:r w:rsidRPr="007E6407">
        <w:rPr>
          <w:b/>
          <w:bCs/>
        </w:rPr>
        <w:t>Progress toward the SiMR</w:t>
      </w:r>
    </w:p>
    <w:p w14:paraId="51DEC3F9" w14:textId="77777777" w:rsidR="00AE1972" w:rsidRPr="00781112" w:rsidRDefault="00AE1972" w:rsidP="00AE1972">
      <w:pPr>
        <w:rPr>
          <w:rFonts w:cs="Arial"/>
          <w:b/>
          <w:bCs/>
        </w:rPr>
      </w:pPr>
      <w:r w:rsidRPr="00781112">
        <w:rPr>
          <w:rFonts w:cs="Arial"/>
          <w:b/>
          <w:bCs/>
        </w:rPr>
        <w:t>Please provide the data for the specific FFY listed below (expressed as actual number and percentages)</w:t>
      </w:r>
      <w:r w:rsidRPr="00781112">
        <w:rPr>
          <w:rFonts w:cs="Arial"/>
          <w:b/>
          <w:bCs/>
          <w:i/>
          <w:iCs/>
        </w:rPr>
        <w:t xml:space="preserve">. </w:t>
      </w:r>
    </w:p>
    <w:p w14:paraId="6A111227" w14:textId="77777777" w:rsidR="00AE1972" w:rsidRPr="00781112" w:rsidRDefault="00AE1972" w:rsidP="00AE1972">
      <w:pPr>
        <w:rPr>
          <w:b/>
          <w:bCs/>
        </w:rPr>
      </w:pPr>
      <w:r w:rsidRPr="00781112">
        <w:rPr>
          <w:b/>
          <w:bCs/>
        </w:rPr>
        <w:t>Select yes if the State uses two targets for measurement. (yes/no)</w:t>
      </w:r>
    </w:p>
    <w:p w14:paraId="2BF2552F" w14:textId="1ABFEEE3" w:rsidR="00AE1972" w:rsidRDefault="00AE1972" w:rsidP="00AE1972">
      <w:r w:rsidRPr="00781112">
        <w:t>NO</w:t>
      </w:r>
    </w:p>
    <w:p w14:paraId="73EF288E" w14:textId="77777777" w:rsidR="00B41EFC" w:rsidRDefault="00B41EFC" w:rsidP="00B41EFC">
      <w:pPr>
        <w:rPr>
          <w:rFonts w:cs="Arial"/>
          <w:szCs w:val="16"/>
        </w:rPr>
      </w:pPr>
    </w:p>
    <w:p w14:paraId="4446F409" w14:textId="77777777" w:rsidR="00B41EFC" w:rsidRDefault="00B41EFC" w:rsidP="00B41EFC">
      <w:pPr>
        <w:rPr>
          <w:rFonts w:cs="Arial"/>
          <w:b/>
          <w:bCs/>
          <w:szCs w:val="16"/>
        </w:rPr>
      </w:pPr>
    </w:p>
    <w:p w14:paraId="0CE6ADBC" w14:textId="4FD54FDF" w:rsidR="00AE1972" w:rsidRPr="00781112" w:rsidRDefault="00AE1972" w:rsidP="00AE1972">
      <w:pPr>
        <w:rPr>
          <w:rFonts w:cs="Arial"/>
          <w:b/>
          <w:color w:val="000000" w:themeColor="text1"/>
          <w:szCs w:val="16"/>
        </w:rPr>
      </w:pPr>
      <w:r w:rsidRPr="00781112">
        <w:rPr>
          <w:rFonts w:cs="Arial"/>
          <w:b/>
          <w:color w:val="000000" w:themeColor="text1"/>
          <w:szCs w:val="16"/>
        </w:rPr>
        <w:t>Historical Data</w:t>
      </w: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7BASELINEDATA"/>
      </w:tblPr>
      <w:tblGrid>
        <w:gridCol w:w="2811"/>
        <w:gridCol w:w="875"/>
      </w:tblGrid>
      <w:tr w:rsidR="00AE1972" w:rsidRPr="00781112" w14:paraId="1864403F" w14:textId="77777777" w:rsidTr="00597BC3">
        <w:trPr>
          <w:trHeight w:val="350"/>
          <w:tblHeader/>
        </w:trPr>
        <w:tc>
          <w:tcPr>
            <w:tcW w:w="4389" w:type="pct"/>
            <w:tcBorders>
              <w:bottom w:val="single" w:sz="4" w:space="0" w:color="auto"/>
            </w:tcBorders>
            <w:shd w:val="clear" w:color="auto" w:fill="auto"/>
            <w:vAlign w:val="center"/>
          </w:tcPr>
          <w:p w14:paraId="0F193165" w14:textId="77777777" w:rsidR="00AE1972" w:rsidRPr="00781112" w:rsidRDefault="00AE1972" w:rsidP="00FE5C1F">
            <w:pPr>
              <w:jc w:val="center"/>
              <w:rPr>
                <w:b/>
                <w:bCs/>
                <w:color w:val="000000" w:themeColor="text1"/>
              </w:rPr>
            </w:pPr>
            <w:r w:rsidRPr="00781112">
              <w:rPr>
                <w:b/>
                <w:bCs/>
                <w:color w:val="000000" w:themeColor="text1"/>
              </w:rPr>
              <w:t>Baseline Year</w:t>
            </w:r>
          </w:p>
        </w:tc>
        <w:tc>
          <w:tcPr>
            <w:tcW w:w="611" w:type="pct"/>
            <w:shd w:val="clear" w:color="auto" w:fill="auto"/>
            <w:vAlign w:val="center"/>
          </w:tcPr>
          <w:p w14:paraId="54889FB8" w14:textId="77777777" w:rsidR="00AE1972" w:rsidRPr="00781112" w:rsidRDefault="00AE1972" w:rsidP="00FE5C1F">
            <w:pPr>
              <w:jc w:val="center"/>
              <w:rPr>
                <w:b/>
                <w:bCs/>
                <w:color w:val="000000" w:themeColor="text1"/>
              </w:rPr>
            </w:pPr>
            <w:r w:rsidRPr="00781112">
              <w:rPr>
                <w:b/>
                <w:bCs/>
                <w:color w:val="000000" w:themeColor="text1"/>
              </w:rPr>
              <w:t>Baseline Data</w:t>
            </w:r>
          </w:p>
        </w:tc>
      </w:tr>
      <w:tr w:rsidR="00AE1972" w:rsidRPr="00781112" w14:paraId="6F811ED4" w14:textId="77777777" w:rsidTr="00597BC3">
        <w:trPr>
          <w:trHeight w:val="350"/>
        </w:trPr>
        <w:tc>
          <w:tcPr>
            <w:tcW w:w="4389" w:type="pct"/>
            <w:tcBorders>
              <w:bottom w:val="single" w:sz="4" w:space="0" w:color="auto"/>
            </w:tcBorders>
            <w:shd w:val="clear" w:color="auto" w:fill="auto"/>
          </w:tcPr>
          <w:p w14:paraId="590161AA" w14:textId="53B72043" w:rsidR="00AE1972" w:rsidRPr="00781112" w:rsidRDefault="00AE1972" w:rsidP="00FE5C1F">
            <w:pPr>
              <w:jc w:val="center"/>
              <w:rPr>
                <w:b/>
                <w:color w:val="000000" w:themeColor="text1"/>
              </w:rPr>
            </w:pPr>
            <w:r w:rsidRPr="00781112">
              <w:rPr>
                <w:color w:val="000000" w:themeColor="text1"/>
              </w:rPr>
              <w:t>2018</w:t>
            </w:r>
          </w:p>
        </w:tc>
        <w:tc>
          <w:tcPr>
            <w:tcW w:w="611" w:type="pct"/>
            <w:shd w:val="clear" w:color="auto" w:fill="auto"/>
            <w:vAlign w:val="center"/>
          </w:tcPr>
          <w:p w14:paraId="250C9A1D" w14:textId="277095B1" w:rsidR="00AE1972" w:rsidRPr="00781112" w:rsidRDefault="00AE1972" w:rsidP="00FE5C1F">
            <w:pPr>
              <w:jc w:val="center"/>
              <w:rPr>
                <w:color w:val="000000" w:themeColor="text1"/>
              </w:rPr>
            </w:pPr>
            <w:r w:rsidRPr="00781112">
              <w:rPr>
                <w:color w:val="000000" w:themeColor="text1"/>
              </w:rPr>
              <w:t>83.21%</w:t>
            </w:r>
          </w:p>
        </w:tc>
      </w:tr>
    </w:tbl>
    <w:p w14:paraId="4788921E" w14:textId="77777777" w:rsidR="00AE1972" w:rsidRPr="00781112" w:rsidRDefault="00AE1972" w:rsidP="00AE1972">
      <w:pPr>
        <w:rPr>
          <w:rFonts w:cs="Arial"/>
          <w:b/>
          <w:color w:val="000000" w:themeColor="text1"/>
          <w:szCs w:val="16"/>
        </w:rPr>
      </w:pPr>
    </w:p>
    <w:p w14:paraId="0C86853A" w14:textId="443BF373" w:rsidR="00A434C8" w:rsidRDefault="00A434C8" w:rsidP="00AE1972">
      <w:pPr>
        <w:rPr>
          <w:b/>
          <w:color w:val="000000" w:themeColor="text1"/>
        </w:rPr>
      </w:pPr>
    </w:p>
    <w:p w14:paraId="31429C8D" w14:textId="77777777" w:rsidR="00B41EFC" w:rsidRDefault="00B41EFC" w:rsidP="00AE1972">
      <w:pPr>
        <w:rPr>
          <w:b/>
          <w:color w:val="000000" w:themeColor="text1"/>
        </w:rPr>
      </w:pPr>
    </w:p>
    <w:p w14:paraId="5D5A6057" w14:textId="7CB1F16B" w:rsidR="00AE1972" w:rsidRPr="00781112" w:rsidRDefault="00AE1972" w:rsidP="00AE1972">
      <w:pPr>
        <w:rPr>
          <w:color w:val="000000" w:themeColor="text1"/>
        </w:rPr>
      </w:pPr>
      <w:r w:rsidRPr="00781112">
        <w:rPr>
          <w:b/>
          <w:color w:val="000000" w:themeColor="text1"/>
        </w:rPr>
        <w:t>Targets</w:t>
      </w:r>
    </w:p>
    <w:tbl>
      <w:tblPr>
        <w:tblW w:w="34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TARGETS"/>
      </w:tblPr>
      <w:tblGrid>
        <w:gridCol w:w="806"/>
        <w:gridCol w:w="1667"/>
        <w:gridCol w:w="1665"/>
        <w:gridCol w:w="1665"/>
        <w:gridCol w:w="1664"/>
      </w:tblGrid>
      <w:tr w:rsidR="007F76DD" w:rsidRPr="00781112" w14:paraId="6151B608" w14:textId="77777777" w:rsidTr="007F76DD">
        <w:trPr>
          <w:trHeight w:val="360"/>
        </w:trPr>
        <w:tc>
          <w:tcPr>
            <w:tcW w:w="540" w:type="pct"/>
            <w:tcBorders>
              <w:bottom w:val="single" w:sz="4" w:space="0" w:color="auto"/>
            </w:tcBorders>
            <w:shd w:val="clear" w:color="auto" w:fill="auto"/>
          </w:tcPr>
          <w:p w14:paraId="6F2EC278" w14:textId="77777777" w:rsidR="007F76DD" w:rsidRPr="00781112" w:rsidRDefault="007F76DD" w:rsidP="00FE5C1F">
            <w:pPr>
              <w:jc w:val="center"/>
              <w:rPr>
                <w:b/>
                <w:color w:val="000000" w:themeColor="text1"/>
              </w:rPr>
            </w:pPr>
            <w:r w:rsidRPr="00781112">
              <w:rPr>
                <w:b/>
                <w:color w:val="000000" w:themeColor="text1"/>
              </w:rPr>
              <w:t>FFY</w:t>
            </w:r>
          </w:p>
        </w:tc>
        <w:tc>
          <w:tcPr>
            <w:tcW w:w="1116" w:type="pct"/>
          </w:tcPr>
          <w:p w14:paraId="2B701BD5" w14:textId="7BC1A8DC" w:rsidR="007F76DD" w:rsidRPr="00781112" w:rsidRDefault="007F76DD" w:rsidP="00FE5C1F">
            <w:pPr>
              <w:jc w:val="center"/>
              <w:rPr>
                <w:b/>
                <w:color w:val="000000" w:themeColor="text1"/>
              </w:rPr>
            </w:pPr>
            <w:r>
              <w:rPr>
                <w:b/>
                <w:color w:val="000000" w:themeColor="text1"/>
              </w:rPr>
              <w:t>Current Relationship</w:t>
            </w:r>
          </w:p>
        </w:tc>
        <w:tc>
          <w:tcPr>
            <w:tcW w:w="1115" w:type="pct"/>
            <w:shd w:val="clear" w:color="auto" w:fill="auto"/>
            <w:vAlign w:val="center"/>
          </w:tcPr>
          <w:p w14:paraId="6FE75FC4" w14:textId="543C615D" w:rsidR="007F76DD" w:rsidRPr="00781112" w:rsidRDefault="007F76DD" w:rsidP="00FE5C1F">
            <w:pPr>
              <w:jc w:val="center"/>
              <w:rPr>
                <w:b/>
                <w:color w:val="000000" w:themeColor="text1"/>
              </w:rPr>
            </w:pPr>
            <w:r w:rsidRPr="00781112">
              <w:rPr>
                <w:b/>
                <w:color w:val="000000" w:themeColor="text1"/>
              </w:rPr>
              <w:t>2023</w:t>
            </w:r>
          </w:p>
        </w:tc>
        <w:tc>
          <w:tcPr>
            <w:tcW w:w="1115" w:type="pct"/>
          </w:tcPr>
          <w:p w14:paraId="1A51CAE1" w14:textId="77777777" w:rsidR="007F76DD" w:rsidRPr="00781112" w:rsidRDefault="007F76DD" w:rsidP="00FE5C1F">
            <w:pPr>
              <w:jc w:val="center"/>
              <w:rPr>
                <w:b/>
                <w:color w:val="000000" w:themeColor="text1"/>
              </w:rPr>
            </w:pPr>
            <w:r w:rsidRPr="00781112">
              <w:rPr>
                <w:rFonts w:cs="Arial"/>
                <w:b/>
                <w:color w:val="000000" w:themeColor="text1"/>
                <w:szCs w:val="16"/>
              </w:rPr>
              <w:t>2024</w:t>
            </w:r>
          </w:p>
        </w:tc>
        <w:tc>
          <w:tcPr>
            <w:tcW w:w="1115" w:type="pct"/>
          </w:tcPr>
          <w:p w14:paraId="4EE0EA23" w14:textId="77777777" w:rsidR="007F76DD" w:rsidRPr="00781112" w:rsidRDefault="007F76DD" w:rsidP="00FE5C1F">
            <w:pPr>
              <w:jc w:val="center"/>
              <w:rPr>
                <w:b/>
                <w:color w:val="000000" w:themeColor="text1"/>
              </w:rPr>
            </w:pPr>
            <w:r w:rsidRPr="00781112">
              <w:rPr>
                <w:rFonts w:cs="Arial"/>
                <w:b/>
                <w:color w:val="000000" w:themeColor="text1"/>
                <w:szCs w:val="16"/>
              </w:rPr>
              <w:t>2025</w:t>
            </w:r>
          </w:p>
        </w:tc>
      </w:tr>
      <w:tr w:rsidR="007F76DD" w:rsidRPr="00781112" w14:paraId="7F5560B1" w14:textId="77777777" w:rsidTr="007F76DD">
        <w:trPr>
          <w:trHeight w:val="367"/>
        </w:trPr>
        <w:tc>
          <w:tcPr>
            <w:tcW w:w="540" w:type="pct"/>
            <w:shd w:val="clear" w:color="auto" w:fill="auto"/>
          </w:tcPr>
          <w:p w14:paraId="16C136D0" w14:textId="4A0B58F9" w:rsidR="007F76DD" w:rsidRPr="00781112" w:rsidRDefault="007F76DD" w:rsidP="00BA3DBE">
            <w:pPr>
              <w:jc w:val="center"/>
              <w:rPr>
                <w:rFonts w:cs="Arial"/>
                <w:color w:val="000000" w:themeColor="text1"/>
                <w:szCs w:val="16"/>
              </w:rPr>
            </w:pPr>
            <w:r w:rsidRPr="00781112">
              <w:rPr>
                <w:rFonts w:cs="Arial"/>
                <w:color w:val="000000" w:themeColor="text1"/>
                <w:szCs w:val="16"/>
              </w:rPr>
              <w:t>Target</w:t>
            </w:r>
          </w:p>
        </w:tc>
        <w:tc>
          <w:tcPr>
            <w:tcW w:w="1116" w:type="pct"/>
          </w:tcPr>
          <w:p w14:paraId="1EE4EF8F" w14:textId="2FF13FB0" w:rsidR="007F76DD" w:rsidRPr="00781112" w:rsidRDefault="007F76DD" w:rsidP="00FE5C1F">
            <w:pPr>
              <w:jc w:val="center"/>
              <w:rPr>
                <w:color w:val="000000" w:themeColor="text1"/>
              </w:rPr>
            </w:pPr>
            <w:r w:rsidRPr="008A0370">
              <w:rPr>
                <w:color w:val="000000" w:themeColor="text1"/>
              </w:rPr>
              <w:t>Data must be greater than or equal to the target</w:t>
            </w:r>
          </w:p>
        </w:tc>
        <w:tc>
          <w:tcPr>
            <w:tcW w:w="1115" w:type="pct"/>
            <w:shd w:val="clear" w:color="auto" w:fill="auto"/>
            <w:vAlign w:val="center"/>
          </w:tcPr>
          <w:p w14:paraId="0D607E3E" w14:textId="06E87534" w:rsidR="007F76DD" w:rsidRPr="00781112" w:rsidRDefault="007F76DD" w:rsidP="00FE5C1F">
            <w:pPr>
              <w:jc w:val="center"/>
              <w:rPr>
                <w:color w:val="000000" w:themeColor="text1"/>
              </w:rPr>
            </w:pPr>
            <w:r w:rsidRPr="00781112">
              <w:rPr>
                <w:color w:val="000000" w:themeColor="text1"/>
              </w:rPr>
              <w:t>85.21%</w:t>
            </w:r>
          </w:p>
        </w:tc>
        <w:tc>
          <w:tcPr>
            <w:tcW w:w="1115" w:type="pct"/>
          </w:tcPr>
          <w:p w14:paraId="49D7B83C" w14:textId="5D2EEC9F" w:rsidR="007F76DD" w:rsidRPr="00781112" w:rsidRDefault="007F76DD" w:rsidP="00FE5C1F">
            <w:pPr>
              <w:jc w:val="center"/>
              <w:rPr>
                <w:color w:val="000000" w:themeColor="text1"/>
              </w:rPr>
            </w:pPr>
            <w:r w:rsidRPr="00781112">
              <w:rPr>
                <w:rFonts w:cs="Arial"/>
                <w:color w:val="000000" w:themeColor="text1"/>
                <w:szCs w:val="16"/>
              </w:rPr>
              <w:t>85.71%</w:t>
            </w:r>
          </w:p>
        </w:tc>
        <w:tc>
          <w:tcPr>
            <w:tcW w:w="1115" w:type="pct"/>
          </w:tcPr>
          <w:p w14:paraId="73C3B9F9" w14:textId="4B324AE0" w:rsidR="007F76DD" w:rsidRPr="00781112" w:rsidRDefault="007F76DD" w:rsidP="00FE5C1F">
            <w:pPr>
              <w:jc w:val="center"/>
              <w:rPr>
                <w:color w:val="000000" w:themeColor="text1"/>
              </w:rPr>
            </w:pPr>
            <w:r w:rsidRPr="00781112">
              <w:rPr>
                <w:rFonts w:cs="Arial"/>
                <w:color w:val="000000" w:themeColor="text1"/>
                <w:szCs w:val="16"/>
              </w:rPr>
              <w:t>86.21%</w:t>
            </w:r>
          </w:p>
        </w:tc>
      </w:tr>
    </w:tbl>
    <w:p w14:paraId="096B5400" w14:textId="77777777" w:rsidR="00AE1972" w:rsidRPr="00781112" w:rsidRDefault="00AE1972" w:rsidP="00AE1972">
      <w:pPr>
        <w:pStyle w:val="Italic"/>
        <w:rPr>
          <w:rFonts w:cs="Arial"/>
          <w:i w:val="0"/>
          <w:color w:val="000000" w:themeColor="text1"/>
          <w:szCs w:val="16"/>
        </w:rPr>
      </w:pPr>
    </w:p>
    <w:p w14:paraId="7582347A" w14:textId="2E603155" w:rsidR="00AE1972" w:rsidRPr="00781112" w:rsidRDefault="0047313F" w:rsidP="00AE1972">
      <w:pPr>
        <w:rPr>
          <w:b/>
          <w:color w:val="000000" w:themeColor="text1"/>
        </w:rPr>
      </w:pPr>
      <w:r>
        <w:rPr>
          <w:b/>
          <w:color w:val="000000" w:themeColor="text1"/>
        </w:rPr>
        <w:t xml:space="preserve">FFY 2023 SPP/APR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FFYAPRDATA"/>
      </w:tblPr>
      <w:tblGrid>
        <w:gridCol w:w="2515"/>
        <w:gridCol w:w="1890"/>
        <w:gridCol w:w="1439"/>
        <w:gridCol w:w="1351"/>
        <w:gridCol w:w="1260"/>
        <w:gridCol w:w="1260"/>
        <w:gridCol w:w="1075"/>
      </w:tblGrid>
      <w:tr w:rsidR="00B21923" w:rsidRPr="00781112" w14:paraId="6ACE308B" w14:textId="77777777" w:rsidTr="004B2960">
        <w:trPr>
          <w:trHeight w:val="354"/>
        </w:trPr>
        <w:tc>
          <w:tcPr>
            <w:tcW w:w="1165" w:type="pct"/>
            <w:shd w:val="clear" w:color="auto" w:fill="auto"/>
            <w:vAlign w:val="bottom"/>
          </w:tcPr>
          <w:p w14:paraId="1F241A2B" w14:textId="43C3BBEC" w:rsidR="00B21923" w:rsidRPr="00781112" w:rsidRDefault="00B21923" w:rsidP="00B21923">
            <w:pPr>
              <w:jc w:val="center"/>
              <w:rPr>
                <w:b/>
                <w:bCs/>
                <w:color w:val="000000" w:themeColor="text1"/>
                <w:szCs w:val="16"/>
              </w:rPr>
            </w:pPr>
            <w:r w:rsidRPr="00781112">
              <w:rPr>
                <w:b/>
                <w:bCs/>
                <w:color w:val="000000" w:themeColor="text1"/>
                <w:szCs w:val="16"/>
              </w:rPr>
              <w:t>Number of youth with IEPs (ages 14-21) who exited special education due to graduating with a regular high school diploma</w:t>
            </w:r>
          </w:p>
        </w:tc>
        <w:tc>
          <w:tcPr>
            <w:tcW w:w="876" w:type="pct"/>
            <w:shd w:val="clear" w:color="auto" w:fill="auto"/>
            <w:vAlign w:val="bottom"/>
          </w:tcPr>
          <w:p w14:paraId="470CA230" w14:textId="5C37C1F9" w:rsidR="00B21923" w:rsidRPr="00781112" w:rsidRDefault="00B21923" w:rsidP="00B21923">
            <w:pPr>
              <w:jc w:val="center"/>
              <w:rPr>
                <w:b/>
                <w:bCs/>
                <w:color w:val="000000" w:themeColor="text1"/>
                <w:szCs w:val="16"/>
              </w:rPr>
            </w:pPr>
            <w:r w:rsidRPr="00781112">
              <w:rPr>
                <w:b/>
                <w:bCs/>
                <w:color w:val="000000" w:themeColor="text1"/>
                <w:szCs w:val="16"/>
              </w:rPr>
              <w:t xml:space="preserve">Number of all youth with IEPs who exited special education (ages 14-21)  </w:t>
            </w:r>
          </w:p>
        </w:tc>
        <w:tc>
          <w:tcPr>
            <w:tcW w:w="667" w:type="pct"/>
            <w:shd w:val="clear" w:color="auto" w:fill="auto"/>
            <w:vAlign w:val="bottom"/>
          </w:tcPr>
          <w:p w14:paraId="4AB6D89D" w14:textId="3B515D93" w:rsidR="00B21923" w:rsidRPr="005F4CA4" w:rsidRDefault="00B21923" w:rsidP="00B21923">
            <w:pPr>
              <w:jc w:val="center"/>
              <w:rPr>
                <w:b/>
                <w:bCs/>
                <w:color w:val="000000" w:themeColor="text1"/>
                <w:szCs w:val="16"/>
              </w:rPr>
            </w:pPr>
            <w:r w:rsidRPr="00FE4611">
              <w:rPr>
                <w:b/>
                <w:bCs/>
              </w:rPr>
              <w:t>FFY 2022 Data</w:t>
            </w:r>
          </w:p>
        </w:tc>
        <w:tc>
          <w:tcPr>
            <w:tcW w:w="626" w:type="pct"/>
            <w:shd w:val="clear" w:color="auto" w:fill="auto"/>
            <w:vAlign w:val="bottom"/>
          </w:tcPr>
          <w:p w14:paraId="63A0DC52" w14:textId="3B7FA61F" w:rsidR="00B21923" w:rsidRPr="005F4CA4" w:rsidRDefault="00B21923" w:rsidP="00B21923">
            <w:pPr>
              <w:jc w:val="center"/>
              <w:rPr>
                <w:b/>
                <w:bCs/>
                <w:color w:val="000000" w:themeColor="text1"/>
                <w:szCs w:val="16"/>
              </w:rPr>
            </w:pPr>
            <w:r w:rsidRPr="00FE4611">
              <w:rPr>
                <w:b/>
                <w:bCs/>
              </w:rPr>
              <w:t>FFY 2023 Target</w:t>
            </w:r>
          </w:p>
        </w:tc>
        <w:tc>
          <w:tcPr>
            <w:tcW w:w="584" w:type="pct"/>
            <w:shd w:val="clear" w:color="auto" w:fill="auto"/>
            <w:vAlign w:val="bottom"/>
          </w:tcPr>
          <w:p w14:paraId="2D311519" w14:textId="2B14C54F" w:rsidR="00B21923" w:rsidRPr="005F4CA4" w:rsidRDefault="00B21923" w:rsidP="00B21923">
            <w:pPr>
              <w:jc w:val="center"/>
              <w:rPr>
                <w:b/>
                <w:bCs/>
                <w:color w:val="000000" w:themeColor="text1"/>
                <w:szCs w:val="16"/>
              </w:rPr>
            </w:pPr>
            <w:r w:rsidRPr="00FE4611">
              <w:rPr>
                <w:b/>
                <w:bCs/>
              </w:rPr>
              <w:t>FFY 2023 Data</w:t>
            </w:r>
          </w:p>
        </w:tc>
        <w:tc>
          <w:tcPr>
            <w:tcW w:w="584" w:type="pct"/>
            <w:shd w:val="clear" w:color="auto" w:fill="auto"/>
            <w:vAlign w:val="bottom"/>
          </w:tcPr>
          <w:p w14:paraId="4F033BB8" w14:textId="77777777" w:rsidR="00B21923" w:rsidRPr="00781112" w:rsidRDefault="00B21923" w:rsidP="00B21923">
            <w:pPr>
              <w:jc w:val="center"/>
              <w:rPr>
                <w:b/>
                <w:color w:val="000000" w:themeColor="text1"/>
                <w:szCs w:val="16"/>
              </w:rPr>
            </w:pPr>
            <w:r w:rsidRPr="00781112">
              <w:rPr>
                <w:b/>
                <w:color w:val="000000" w:themeColor="text1"/>
                <w:szCs w:val="16"/>
              </w:rPr>
              <w:t>Status</w:t>
            </w:r>
          </w:p>
        </w:tc>
        <w:tc>
          <w:tcPr>
            <w:tcW w:w="498" w:type="pct"/>
            <w:shd w:val="clear" w:color="auto" w:fill="auto"/>
            <w:vAlign w:val="bottom"/>
          </w:tcPr>
          <w:p w14:paraId="4A16E14D" w14:textId="77777777" w:rsidR="00B21923" w:rsidRPr="00781112" w:rsidRDefault="00B21923" w:rsidP="00B21923">
            <w:pPr>
              <w:jc w:val="center"/>
              <w:rPr>
                <w:b/>
                <w:color w:val="000000" w:themeColor="text1"/>
                <w:szCs w:val="16"/>
              </w:rPr>
            </w:pPr>
            <w:r w:rsidRPr="00781112">
              <w:rPr>
                <w:b/>
                <w:color w:val="000000" w:themeColor="text1"/>
                <w:szCs w:val="16"/>
              </w:rPr>
              <w:t>Slippage</w:t>
            </w:r>
          </w:p>
        </w:tc>
      </w:tr>
      <w:tr w:rsidR="00AE1972" w:rsidRPr="00781112" w14:paraId="0CC3AF11" w14:textId="77777777" w:rsidTr="004B2960">
        <w:trPr>
          <w:trHeight w:val="287"/>
        </w:trPr>
        <w:tc>
          <w:tcPr>
            <w:tcW w:w="1165" w:type="pct"/>
            <w:shd w:val="clear" w:color="auto" w:fill="auto"/>
            <w:vAlign w:val="center"/>
          </w:tcPr>
          <w:p w14:paraId="03294214" w14:textId="00B9AA4D" w:rsidR="00AE1972" w:rsidRPr="00781112" w:rsidRDefault="00AE1972" w:rsidP="00FE5C1F">
            <w:pPr>
              <w:jc w:val="center"/>
              <w:rPr>
                <w:color w:val="000000" w:themeColor="text1"/>
                <w:szCs w:val="16"/>
              </w:rPr>
            </w:pPr>
            <w:r w:rsidRPr="00781112">
              <w:rPr>
                <w:color w:val="000000" w:themeColor="text1"/>
                <w:szCs w:val="16"/>
              </w:rPr>
              <w:t>2,189</w:t>
            </w:r>
          </w:p>
        </w:tc>
        <w:tc>
          <w:tcPr>
            <w:tcW w:w="876" w:type="pct"/>
            <w:shd w:val="clear" w:color="auto" w:fill="auto"/>
            <w:vAlign w:val="center"/>
          </w:tcPr>
          <w:p w14:paraId="60D8BD39" w14:textId="04B0428F" w:rsidR="00AE1972" w:rsidRPr="00781112" w:rsidRDefault="00AE1972" w:rsidP="00FE5C1F">
            <w:pPr>
              <w:jc w:val="center"/>
              <w:rPr>
                <w:color w:val="000000" w:themeColor="text1"/>
                <w:szCs w:val="16"/>
              </w:rPr>
            </w:pPr>
            <w:r w:rsidRPr="00781112">
              <w:rPr>
                <w:color w:val="000000" w:themeColor="text1"/>
                <w:szCs w:val="16"/>
              </w:rPr>
              <w:t>2,599</w:t>
            </w:r>
          </w:p>
        </w:tc>
        <w:tc>
          <w:tcPr>
            <w:tcW w:w="667" w:type="pct"/>
            <w:shd w:val="clear" w:color="auto" w:fill="auto"/>
          </w:tcPr>
          <w:p w14:paraId="75E02A3E" w14:textId="1669E08C" w:rsidR="00AE1972" w:rsidRPr="00781112" w:rsidRDefault="00AE1972" w:rsidP="00FE5C1F">
            <w:pPr>
              <w:jc w:val="center"/>
              <w:rPr>
                <w:color w:val="000000" w:themeColor="text1"/>
                <w:szCs w:val="16"/>
              </w:rPr>
            </w:pPr>
            <w:r w:rsidRPr="00781112">
              <w:rPr>
                <w:rFonts w:cs="Arial"/>
                <w:color w:val="000000" w:themeColor="text1"/>
                <w:szCs w:val="16"/>
              </w:rPr>
              <w:t>83.51%</w:t>
            </w:r>
          </w:p>
        </w:tc>
        <w:tc>
          <w:tcPr>
            <w:tcW w:w="626" w:type="pct"/>
            <w:shd w:val="clear" w:color="auto" w:fill="auto"/>
          </w:tcPr>
          <w:p w14:paraId="33C18B01" w14:textId="595A4E89" w:rsidR="00AE1972" w:rsidRPr="00781112" w:rsidRDefault="00AE1972" w:rsidP="00FE5C1F">
            <w:pPr>
              <w:jc w:val="center"/>
              <w:rPr>
                <w:color w:val="000000" w:themeColor="text1"/>
                <w:szCs w:val="16"/>
              </w:rPr>
            </w:pPr>
            <w:r w:rsidRPr="00781112">
              <w:rPr>
                <w:color w:val="000000" w:themeColor="text1"/>
                <w:szCs w:val="16"/>
              </w:rPr>
              <w:t>85.21%</w:t>
            </w:r>
          </w:p>
        </w:tc>
        <w:tc>
          <w:tcPr>
            <w:tcW w:w="584" w:type="pct"/>
            <w:shd w:val="clear" w:color="auto" w:fill="auto"/>
          </w:tcPr>
          <w:p w14:paraId="22FE7038" w14:textId="7027AD57" w:rsidR="00AE1972" w:rsidRPr="00781112" w:rsidRDefault="00AE1972" w:rsidP="00FE5C1F">
            <w:pPr>
              <w:jc w:val="center"/>
              <w:rPr>
                <w:color w:val="000000" w:themeColor="text1"/>
                <w:szCs w:val="16"/>
              </w:rPr>
            </w:pPr>
            <w:r w:rsidRPr="00781112">
              <w:rPr>
                <w:rFonts w:cs="Arial"/>
                <w:color w:val="000000" w:themeColor="text1"/>
                <w:szCs w:val="16"/>
              </w:rPr>
              <w:t>84.22%</w:t>
            </w:r>
          </w:p>
        </w:tc>
        <w:tc>
          <w:tcPr>
            <w:tcW w:w="584" w:type="pct"/>
            <w:shd w:val="clear" w:color="auto" w:fill="auto"/>
          </w:tcPr>
          <w:p w14:paraId="1623D96E" w14:textId="3DCB7177" w:rsidR="00AE1972" w:rsidRPr="00781112" w:rsidRDefault="00AE1972" w:rsidP="00FE5C1F">
            <w:pPr>
              <w:jc w:val="center"/>
              <w:rPr>
                <w:color w:val="000000" w:themeColor="text1"/>
              </w:rPr>
            </w:pPr>
            <w:r w:rsidRPr="00781112">
              <w:rPr>
                <w:color w:val="000000" w:themeColor="text1"/>
              </w:rPr>
              <w:t>Did not meet target</w:t>
            </w:r>
          </w:p>
        </w:tc>
        <w:tc>
          <w:tcPr>
            <w:tcW w:w="498" w:type="pct"/>
            <w:shd w:val="clear" w:color="auto" w:fill="auto"/>
          </w:tcPr>
          <w:p w14:paraId="78591691" w14:textId="070A8ABA" w:rsidR="00AE1972" w:rsidRPr="00781112" w:rsidRDefault="00AE1972" w:rsidP="00FE5C1F">
            <w:pPr>
              <w:jc w:val="center"/>
              <w:rPr>
                <w:color w:val="000000" w:themeColor="text1"/>
              </w:rPr>
            </w:pPr>
            <w:r w:rsidRPr="00781112">
              <w:rPr>
                <w:color w:val="000000" w:themeColor="text1"/>
              </w:rPr>
              <w:t>No Slippage</w:t>
            </w:r>
          </w:p>
        </w:tc>
      </w:tr>
    </w:tbl>
    <w:p w14:paraId="39105459" w14:textId="162D4481" w:rsidR="000F007B" w:rsidRDefault="000F007B" w:rsidP="000F007B"/>
    <w:p w14:paraId="42809EAB" w14:textId="359196D5" w:rsidR="000F007B" w:rsidRDefault="000F007B" w:rsidP="000F007B"/>
    <w:p w14:paraId="66E5C45A" w14:textId="77777777" w:rsidR="00AE1972" w:rsidRPr="00781112" w:rsidRDefault="00AE1972" w:rsidP="00AE1972"/>
    <w:p w14:paraId="30EFC313" w14:textId="1E5DBFCF" w:rsidR="005D6EB4" w:rsidRPr="00781112" w:rsidRDefault="004F3929" w:rsidP="005D6EB4">
      <w:pPr>
        <w:rPr>
          <w:b/>
          <w:bCs/>
        </w:rPr>
      </w:pPr>
      <w:r>
        <w:rPr>
          <w:b/>
          <w:bCs/>
        </w:rPr>
        <w:t>Provide the data source for the FFY 2023 data.</w:t>
      </w:r>
    </w:p>
    <w:p w14:paraId="791B79B4" w14:textId="2C5B8D5E" w:rsidR="005D6EB4" w:rsidRPr="00781112" w:rsidRDefault="005D6EB4" w:rsidP="005D6EB4">
      <w:pPr>
        <w:rPr>
          <w:color w:val="000000" w:themeColor="text1"/>
        </w:rPr>
      </w:pPr>
      <w:r w:rsidRPr="00781112">
        <w:rPr>
          <w:color w:val="000000" w:themeColor="text1"/>
        </w:rPr>
        <w:t>618 graduation data (file specification FS009)</w:t>
      </w:r>
    </w:p>
    <w:p w14:paraId="17AAB1A6" w14:textId="2D1007DB" w:rsidR="00AE1972" w:rsidRPr="00781112" w:rsidRDefault="00AE1972" w:rsidP="00AE1972">
      <w:r w:rsidRPr="00781112">
        <w:rPr>
          <w:b/>
          <w:bCs/>
        </w:rPr>
        <w:t>Please describe how data are collected and analyzed for the SiMR</w:t>
      </w:r>
      <w:r w:rsidRPr="00781112">
        <w:t>.</w:t>
      </w:r>
    </w:p>
    <w:p w14:paraId="0A6DF7F0" w14:textId="29C12277" w:rsidR="00AE1972" w:rsidRPr="00781112" w:rsidRDefault="00AE1972" w:rsidP="00AE1972">
      <w:pPr>
        <w:rPr>
          <w:color w:val="000000" w:themeColor="text1"/>
        </w:rPr>
      </w:pPr>
      <w:r w:rsidRPr="00781112">
        <w:rPr>
          <w:color w:val="000000" w:themeColor="text1"/>
        </w:rPr>
        <w:lastRenderedPageBreak/>
        <w:t>Beginning with FFY 2020, SSIP baseline and target data were aligned with 618 graduation data, using the definitions in EDFacts file specification FS009. For the FFY 2023 reporting period, data were collected by the LEAs using the statewide database (WVEIS). Special Education Directors and Superintendents certify the data in WVEIS prior to submission to the SEA. The SEA’s Division of Data Management and Information Systems team analyzes and cleans all data prior to submission of the FS009 data file. WVDE/OSE then receives the finalized data for additional analyses related to improving the SiMR. This includes WVDE/OSE review of individual LEA data to improve SEA support to LEAs who are furthest from the graduation target and sending a detailed report (i.e., Counts and Calcs Report) to each LEA containing current/previous data for improved decision making at the local level.</w:t>
      </w:r>
      <w:r w:rsidRPr="00781112">
        <w:rPr>
          <w:color w:val="000000" w:themeColor="text1"/>
        </w:rPr>
        <w:br/>
      </w:r>
      <w:r w:rsidRPr="00781112">
        <w:rPr>
          <w:color w:val="000000" w:themeColor="text1"/>
        </w:rPr>
        <w:br/>
        <w:t>Data are also presented to stakeholders regularly and feedback/input is sought to guide the SSIP work. Stakeholders attending meetings were provided with a survey link for evaluation purposes [LINK: https://forms.office.com/r/jziWajfTpu]. Although graduation rates are lag data, stakeholders can use the data to inform the development of resources necessary for continuous improvement activities at state and local levels. WVDE/OSE analyzes the effectiveness of stakeholder meetings and considers all comments or next steps suggested by a variety of stakeholders. For example, stakeholders expressed that timelines in the SPP/APR submissions can be confusing and WVDE/OSE acknowledged this concern. Lag data is used to measure progress toward the SiMR, yet the remainder of the narrative includes activities and supports that are based on a February 1 – January 31 timeframe. Stakeholders requested that WVDE/OSE align the indicator 17 submission to the school year(s) being reported in most of the SPP/APR indicators. Therefore, beginning with the FFY 2024 submission, the SSIP will report EBPs, infrastructure, and data on a school year basis, rather than a submission-to-submission basis.</w:t>
      </w:r>
    </w:p>
    <w:p w14:paraId="37CD625E" w14:textId="77777777" w:rsidR="00AE1972" w:rsidRPr="00781112" w:rsidRDefault="00AE1972" w:rsidP="00AE1972"/>
    <w:p w14:paraId="5D43821E" w14:textId="77777777" w:rsidR="00AE1972" w:rsidRPr="00781112" w:rsidRDefault="00AE1972" w:rsidP="00AE1972">
      <w:pPr>
        <w:rPr>
          <w:rFonts w:cs="Arial"/>
          <w:b/>
          <w:bCs/>
        </w:rPr>
      </w:pPr>
      <w:r w:rsidRPr="00781112">
        <w:rPr>
          <w:rFonts w:cs="Arial"/>
          <w:b/>
          <w:bCs/>
        </w:rPr>
        <w:t xml:space="preserve">Optional: Has the State collected additional data </w:t>
      </w:r>
      <w:r w:rsidRPr="00781112">
        <w:rPr>
          <w:rFonts w:cs="Arial"/>
          <w:b/>
          <w:bCs/>
          <w:i/>
          <w:iCs/>
        </w:rPr>
        <w:t>(i.e., benchmark, CQI, survey)</w:t>
      </w:r>
      <w:r w:rsidRPr="00781112">
        <w:rPr>
          <w:rFonts w:cs="Arial"/>
          <w:b/>
          <w:bCs/>
        </w:rPr>
        <w:t xml:space="preserve"> that demonstrates progress toward the SiMR?</w:t>
      </w:r>
      <w:r w:rsidRPr="00781112">
        <w:rPr>
          <w:b/>
          <w:bCs/>
        </w:rPr>
        <w:t xml:space="preserve"> (yes/no)</w:t>
      </w:r>
      <w:r w:rsidRPr="00781112">
        <w:rPr>
          <w:rFonts w:cs="Arial"/>
          <w:b/>
          <w:bCs/>
        </w:rPr>
        <w:t xml:space="preserve">  </w:t>
      </w:r>
    </w:p>
    <w:p w14:paraId="01E3AE2A" w14:textId="671ECC26" w:rsidR="00AE1972" w:rsidRDefault="00AE1972" w:rsidP="00AE1972">
      <w:pPr>
        <w:rPr>
          <w:color w:val="000000" w:themeColor="text1"/>
        </w:rPr>
      </w:pPr>
      <w:r w:rsidRPr="00781112">
        <w:rPr>
          <w:color w:val="000000" w:themeColor="text1"/>
        </w:rPr>
        <w:t>YES</w:t>
      </w:r>
    </w:p>
    <w:p w14:paraId="169D3F00" w14:textId="18D3CE95" w:rsidR="00AE1972" w:rsidRPr="00781112" w:rsidRDefault="009134E5" w:rsidP="00AE1972">
      <w:pPr>
        <w:rPr>
          <w:rFonts w:cs="Arial"/>
          <w:b/>
          <w:bCs/>
        </w:rPr>
      </w:pPr>
      <w:r w:rsidRPr="00781112">
        <w:rPr>
          <w:rFonts w:cs="Arial"/>
          <w:b/>
          <w:bCs/>
        </w:rPr>
        <w:t>Describe any additional data collected by the State to assess progress toward the SiMR.</w:t>
      </w:r>
    </w:p>
    <w:p w14:paraId="2986B041" w14:textId="11964637" w:rsidR="00AE1972" w:rsidRDefault="00AE1972" w:rsidP="00AE1972">
      <w:pPr>
        <w:rPr>
          <w:color w:val="000000" w:themeColor="text1"/>
        </w:rPr>
      </w:pPr>
      <w:r w:rsidRPr="00781112">
        <w:rPr>
          <w:color w:val="000000" w:themeColor="text1"/>
        </w:rPr>
        <w:t>Evaluation Data - WVDE/OSE reviews data obtained through the implementation of the West Virginia Guideposts to Graduation (WVGtG) work (i.e., the SSIP work in WV) to ensure that students with disabilities are continuing to receive supports and services necessary to graduate with a regular high school diploma. Data collected based on the evaluation plan includes outcome descriptions, responsible parties, measurable performance indicators, data collection sources, and frequency of data collection. The evaluation plan link is provided in the appropriate section below.</w:t>
      </w:r>
    </w:p>
    <w:p w14:paraId="2F248282" w14:textId="77777777" w:rsidR="00AE1972" w:rsidRPr="00781112" w:rsidRDefault="00AE1972" w:rsidP="00AE1972">
      <w:pPr>
        <w:rPr>
          <w:b/>
          <w:bCs/>
        </w:rPr>
      </w:pPr>
    </w:p>
    <w:p w14:paraId="26AF875A" w14:textId="0D941FB9" w:rsidR="00AE1972" w:rsidRPr="00781112" w:rsidRDefault="00AE1972" w:rsidP="00AE1972">
      <w:pPr>
        <w:spacing w:after="0"/>
        <w:rPr>
          <w:rFonts w:cs="Arial"/>
          <w:b/>
          <w:bCs/>
        </w:rPr>
      </w:pPr>
      <w:r w:rsidRPr="00781112">
        <w:rPr>
          <w:rFonts w:cs="Arial"/>
          <w:b/>
          <w:bCs/>
        </w:rPr>
        <w:t xml:space="preserve">Did the State identify any general data quality concerns, unrelated to COVID-19, which affected progress toward the SiMR during the reporting period? </w:t>
      </w:r>
      <w:r w:rsidRPr="00781112">
        <w:rPr>
          <w:b/>
          <w:bCs/>
        </w:rPr>
        <w:t>(yes/no)</w:t>
      </w:r>
    </w:p>
    <w:p w14:paraId="36E83E2B" w14:textId="1C140CC0" w:rsidR="00AE1972" w:rsidRDefault="00AE1972" w:rsidP="00AE1972">
      <w:pPr>
        <w:spacing w:after="0"/>
        <w:rPr>
          <w:color w:val="000000" w:themeColor="text1"/>
        </w:rPr>
      </w:pPr>
      <w:r w:rsidRPr="00781112">
        <w:rPr>
          <w:color w:val="000000" w:themeColor="text1"/>
        </w:rPr>
        <w:t>YES</w:t>
      </w:r>
    </w:p>
    <w:p w14:paraId="06A5D37D" w14:textId="230791FB" w:rsidR="00AE1972" w:rsidRPr="00781112" w:rsidRDefault="004801D4" w:rsidP="00AE1972">
      <w:pPr>
        <w:spacing w:after="0"/>
        <w:rPr>
          <w:rFonts w:cs="Arial"/>
          <w:b/>
          <w:bCs/>
        </w:rPr>
      </w:pPr>
      <w:r w:rsidRPr="00781112">
        <w:rPr>
          <w:rFonts w:cs="Arial"/>
          <w:b/>
          <w:bCs/>
        </w:rPr>
        <w:t>Describe any data quality issues, unrelated to COVID-19, specific to the SiMR data and include actions taken to address data quality concerns.</w:t>
      </w:r>
    </w:p>
    <w:p w14:paraId="22AF0A0D" w14:textId="360D29E7" w:rsidR="00AE1972" w:rsidRDefault="00AE1972" w:rsidP="00AE1972">
      <w:pPr>
        <w:rPr>
          <w:color w:val="000000" w:themeColor="text1"/>
        </w:rPr>
      </w:pPr>
      <w:r w:rsidRPr="00781112">
        <w:rPr>
          <w:color w:val="000000" w:themeColor="text1"/>
        </w:rPr>
        <w:t>Although WVDE upgraded its student data system known as WVEIS in July 2022, the transition to a single streamlined and integrated data platform continues to impact SSIP data for this reporting period as the data source is lag data for graduation and there may have been minor issues with timely access for data entry during the transition from old WVEIS to the upgraded version. Guidance was developed mid-year that would clarify the procedures for collecting and certifying special education data and this document can be found on the WVDE/OSE website [LINK: https://wvde.us/data-school-improvement/special-education-data-public-reporting/], under the ‘Special Education Data Maintenance and Collection’ heading. This reporting period would be the first graduation data submission after implementing the upgraded WVEIS system, and only a partial year after the guidance was released. WVDE/OSE expects to continue improving data quality for graduation results as more LEA staff become proficient in using WVEIS and accessing support through the publicly available guidance on special education data maintenance and collection.</w:t>
      </w:r>
    </w:p>
    <w:p w14:paraId="30214B92" w14:textId="77777777" w:rsidR="00AE1972" w:rsidRPr="00781112" w:rsidRDefault="00AE1972" w:rsidP="00AE1972">
      <w:pPr>
        <w:rPr>
          <w:b/>
          <w:bCs/>
        </w:rPr>
      </w:pPr>
    </w:p>
    <w:p w14:paraId="085CF862" w14:textId="77777777" w:rsidR="00AE1972" w:rsidRPr="00781112" w:rsidRDefault="00AE1972" w:rsidP="00AE1972">
      <w:pPr>
        <w:rPr>
          <w:b/>
          <w:bCs/>
        </w:rPr>
      </w:pPr>
      <w:r w:rsidRPr="00781112">
        <w:rPr>
          <w:b/>
          <w:bCs/>
        </w:rPr>
        <w:t>Did the State identify any data quality concerns directly related to the COVID-19 pandemic during the reporting period? (yes/no)</w:t>
      </w:r>
    </w:p>
    <w:p w14:paraId="71B180FE" w14:textId="5A61759D" w:rsidR="00AE1972" w:rsidRDefault="00AE1972" w:rsidP="00AE1972">
      <w:pPr>
        <w:rPr>
          <w:color w:val="000000" w:themeColor="text1"/>
        </w:rPr>
      </w:pPr>
      <w:r w:rsidRPr="00781112">
        <w:rPr>
          <w:color w:val="000000" w:themeColor="text1"/>
        </w:rPr>
        <w:t>NO</w:t>
      </w:r>
    </w:p>
    <w:p w14:paraId="1CD7E2E2" w14:textId="77777777" w:rsidR="00AE1972" w:rsidRPr="00781112" w:rsidRDefault="00AE1972" w:rsidP="00AE1972">
      <w:pPr>
        <w:rPr>
          <w:b/>
          <w:bCs/>
        </w:rPr>
      </w:pPr>
    </w:p>
    <w:p w14:paraId="2127B612" w14:textId="77777777" w:rsidR="00AE1972" w:rsidRPr="00074B33" w:rsidRDefault="00AE1972" w:rsidP="00074B33">
      <w:pPr>
        <w:rPr>
          <w:b/>
          <w:bCs/>
        </w:rPr>
      </w:pPr>
      <w:r w:rsidRPr="00074B33">
        <w:rPr>
          <w:b/>
          <w:bCs/>
        </w:rPr>
        <w:t>Section B: Implementation, Analysis and Evaluation</w:t>
      </w:r>
    </w:p>
    <w:p w14:paraId="08E78A8E" w14:textId="77777777" w:rsidR="00E84BDF" w:rsidRPr="00E84BDF" w:rsidRDefault="00E84BDF" w:rsidP="00E84BDF">
      <w:pPr>
        <w:rPr>
          <w:rFonts w:cs="Arial"/>
          <w:b/>
          <w:bCs/>
        </w:rPr>
      </w:pPr>
      <w:r w:rsidRPr="00E84BDF">
        <w:rPr>
          <w:rFonts w:cs="Arial"/>
          <w:b/>
          <w:bCs/>
        </w:rPr>
        <w:t>Please provide a link to the State’s current evaluation plan.</w:t>
      </w:r>
    </w:p>
    <w:p w14:paraId="0A6517E8" w14:textId="77777777" w:rsidR="00E84BDF" w:rsidRDefault="00E84BDF" w:rsidP="00E84BDF">
      <w:pPr>
        <w:rPr>
          <w:color w:val="000000" w:themeColor="text1"/>
        </w:rPr>
      </w:pPr>
      <w:r w:rsidRPr="00781112">
        <w:rPr>
          <w:color w:val="000000" w:themeColor="text1"/>
        </w:rPr>
        <w:t>https://wvde.us/special-education/wv-guideposts-to-graduation/ - scroll to SSIP Section of this webpage to open evaluation plan</w:t>
      </w:r>
    </w:p>
    <w:p w14:paraId="0B808C56" w14:textId="786EB067" w:rsidR="00AE1972" w:rsidRPr="00781112" w:rsidRDefault="00E84BDF" w:rsidP="00AE1972">
      <w:pPr>
        <w:rPr>
          <w:rFonts w:cs="Arial"/>
          <w:b/>
          <w:bCs/>
        </w:rPr>
      </w:pPr>
      <w:r w:rsidRPr="00E84BDF">
        <w:rPr>
          <w:rFonts w:cs="Arial"/>
          <w:b/>
          <w:bCs/>
        </w:rPr>
        <w:t xml:space="preserve">Is the State’s evaluation plan new or revised since the previous submission? </w:t>
      </w:r>
      <w:r w:rsidR="00AE1972" w:rsidRPr="00781112">
        <w:rPr>
          <w:b/>
          <w:bCs/>
        </w:rPr>
        <w:t>(yes/no)</w:t>
      </w:r>
    </w:p>
    <w:p w14:paraId="5D9470C5" w14:textId="1F552EB5" w:rsidR="00AE1972" w:rsidRDefault="00AE1972" w:rsidP="00AE1972">
      <w:pPr>
        <w:rPr>
          <w:color w:val="000000" w:themeColor="text1"/>
        </w:rPr>
      </w:pPr>
      <w:r w:rsidRPr="00781112">
        <w:rPr>
          <w:color w:val="000000" w:themeColor="text1"/>
        </w:rPr>
        <w:t>NO</w:t>
      </w:r>
    </w:p>
    <w:p w14:paraId="19DFF8CC" w14:textId="77777777" w:rsidR="00AE1972" w:rsidRPr="00781112" w:rsidRDefault="00AE1972" w:rsidP="00AE1972">
      <w:pPr>
        <w:rPr>
          <w:rFonts w:cs="Arial"/>
          <w:b/>
          <w:bCs/>
        </w:rPr>
      </w:pPr>
    </w:p>
    <w:p w14:paraId="405861A2" w14:textId="55A85451" w:rsidR="00AE1972" w:rsidRPr="00781112" w:rsidRDefault="00AB11F1" w:rsidP="00AE1972">
      <w:pPr>
        <w:rPr>
          <w:rFonts w:cs="Arial"/>
          <w:b/>
          <w:bCs/>
        </w:rPr>
      </w:pPr>
      <w:r w:rsidRPr="00AB11F1">
        <w:rPr>
          <w:rFonts w:cs="Arial"/>
          <w:b/>
          <w:bCs/>
        </w:rPr>
        <w:t>Provide a summary of each infrastructure improvement strategy implemented in the reporting period:</w:t>
      </w:r>
    </w:p>
    <w:p w14:paraId="19A64E2F" w14:textId="09FED9B3" w:rsidR="00AE1972" w:rsidRPr="00781112" w:rsidRDefault="00AE1972" w:rsidP="00AE1972">
      <w:pPr>
        <w:rPr>
          <w:b/>
          <w:bCs/>
        </w:rPr>
      </w:pPr>
      <w:r w:rsidRPr="00781112">
        <w:rPr>
          <w:color w:val="000000" w:themeColor="text1"/>
        </w:rPr>
        <w:t>SSIP COORDINATOR</w:t>
      </w:r>
      <w:r w:rsidRPr="00781112">
        <w:rPr>
          <w:color w:val="000000" w:themeColor="text1"/>
        </w:rPr>
        <w:br/>
        <w:t>WVDE/OSE continues to support a dedicated position for SSIP/Secondary Transition Coordinator. This position has been responsible for the development, coordination, and implementation of all aspects of the SSIP/WVGtG work reported in the annual submission for indicators 17 and 13.</w:t>
      </w:r>
      <w:r w:rsidRPr="00781112">
        <w:rPr>
          <w:color w:val="000000" w:themeColor="text1"/>
        </w:rPr>
        <w:br/>
      </w:r>
      <w:r w:rsidRPr="00781112">
        <w:rPr>
          <w:color w:val="000000" w:themeColor="text1"/>
        </w:rPr>
        <w:br/>
        <w:t>INTERNAL EVALUATOR</w:t>
      </w:r>
      <w:r w:rsidRPr="00781112">
        <w:rPr>
          <w:color w:val="000000" w:themeColor="text1"/>
        </w:rPr>
        <w:br/>
        <w:t xml:space="preserve">WVDE/OSE continues to support the Research and Evaluation Coordinator position which includes SSIP evaluation activities as part of their responsibilities. The internal evaluator works closely with the SSIP Coordinator and the Part B Data Manager to improve the validity of data collected and used per the evaluation plan. The internal evaluator developed automated data collections to support LEAs with more efficient submissions. This automation of data collections included email reminders for due dates and activities, alternate submission options for collecting evaluation data (Excel or Forms link that auto-populated an Excel sheet at the SEA level), and interactive data dashboards posted on WVGtG webpage (see link below and scroll to dashboard section to access interactive options). Dashboards are updated annually to reflect data from the most recent publicly reported data. </w:t>
      </w:r>
      <w:r w:rsidRPr="00781112">
        <w:rPr>
          <w:color w:val="000000" w:themeColor="text1"/>
        </w:rPr>
        <w:br/>
      </w:r>
      <w:r w:rsidRPr="00781112">
        <w:rPr>
          <w:color w:val="000000" w:themeColor="text1"/>
        </w:rPr>
        <w:br/>
        <w:t>STATE-LEVEL IMPLEMENTATION TEAM</w:t>
      </w:r>
      <w:r w:rsidRPr="00781112">
        <w:rPr>
          <w:color w:val="000000" w:themeColor="text1"/>
        </w:rPr>
        <w:br/>
        <w:t>WVDE/OSE established an internal team of individuals whose responsibilities include student supports for improved graduation outcomes. This team believes in a cradle to career philosophy regarding a student's journey toward graduation and utilizes TEAMS to provide consistent messaging for aligning systems at the local level, expand working relationships, and gather feedback on the development and dissemination of materials and resources related to improving graduation outcomes for students with disabilities (SWD).</w:t>
      </w:r>
      <w:r w:rsidRPr="00781112">
        <w:rPr>
          <w:color w:val="000000" w:themeColor="text1"/>
        </w:rPr>
        <w:br/>
      </w:r>
      <w:r w:rsidRPr="00781112">
        <w:rPr>
          <w:color w:val="000000" w:themeColor="text1"/>
        </w:rPr>
        <w:br/>
        <w:t>FINANCIAL SUPPORT</w:t>
      </w:r>
      <w:r w:rsidRPr="00781112">
        <w:rPr>
          <w:color w:val="000000" w:themeColor="text1"/>
        </w:rPr>
        <w:br/>
        <w:t xml:space="preserve">WVDE/OSE offered competitive grant opportunities for which all LEAs were eligible to apply. The WVGtG grant opportunity opened the first Wednesday </w:t>
      </w:r>
      <w:r w:rsidRPr="00781112">
        <w:rPr>
          <w:color w:val="000000" w:themeColor="text1"/>
        </w:rPr>
        <w:lastRenderedPageBreak/>
        <w:t xml:space="preserve">in June 2024 with submissions due from LEAs by the last Friday in June. The application required LEAs to include measurable goals and activities focused on improving graduation and post-school outcomes for SWDs ages 14-21. Additional requirements included a description of how the LEAs would implement evidence-based practices in no more than two of the following categories: Educational Supports, Student and Family Engagement, Systemic Improvements, and Transition Services. LEAs were asked to include a proposed budget that could not exceed $50,000. Restrictions to the grant funding included a prohibition on attendance or behavior incentives unrelated to special education services, and all items included in the budget must be allowable under IDEA. Once submitted, applications were reviewed by a team consisting of at least the IDEA finance coordinator and the SSIP coordinator. To support as many LEAs as possible with funding, a rubric is used to ensure a fair and unbiased review of each application. Grantees were notified in July 2024 with funding available for drawdown approximately 30 days later. Although SSIP participation is optional for LEAs, grantees are required to participate in data collection requests and all SSIP activities. </w:t>
      </w:r>
      <w:r w:rsidRPr="00781112">
        <w:rPr>
          <w:color w:val="000000" w:themeColor="text1"/>
        </w:rPr>
        <w:br/>
      </w:r>
      <w:r w:rsidRPr="00781112">
        <w:rPr>
          <w:color w:val="000000" w:themeColor="text1"/>
        </w:rPr>
        <w:br/>
        <w:t>DIFFERENTIATED TECHNICAL ASSISTANCE and PROFESSIONAL DEVELOPMENT</w:t>
      </w:r>
      <w:r w:rsidRPr="00781112">
        <w:rPr>
          <w:color w:val="000000" w:themeColor="text1"/>
        </w:rPr>
        <w:br/>
        <w:t>Universal technical assistance for the SSIP is provided through the WVGtG webpage and dissemination of resources via the LEA special education director listserv, (e.g., announcements of upcoming deadlines and events). The WVGtG webpage has been designed to provide resources and materials intended to build capacity at the local level, as well as provide general information for the public. It also includes a publicly available survey link to solicit external stakeholder feedback and a dedicated email address to request information, differentiated support and/or technical assistance related to secondary transition services, graduation, drop-out prevention, and post-school outcomes. The survey results go directly to the internal evaluator for analysis and the SSIP/Secondary Transition Coordinator responds to all emails received. In addition, based on LEA determinations, 618 data collections, programmatic monitoring, and other data sources, the WVDE/OSE Team provides targeted and intensive technical assistance and support through monthly WVGtG Community of Practice virtual meetings, presentations at statewide professional development events, and individual support requested from WVGtG participants.</w:t>
      </w:r>
      <w:r w:rsidRPr="00781112">
        <w:rPr>
          <w:color w:val="000000" w:themeColor="text1"/>
        </w:rPr>
        <w:br/>
      </w:r>
      <w:r w:rsidRPr="00781112">
        <w:rPr>
          <w:color w:val="000000" w:themeColor="text1"/>
        </w:rPr>
        <w:br/>
        <w:t>LINK to resources and dashboard [https://wvde.us/special-education/wv-guideposts-to-graduation/]</w:t>
      </w:r>
    </w:p>
    <w:p w14:paraId="1C121BBF" w14:textId="77777777" w:rsidR="00AE1972" w:rsidRPr="00781112" w:rsidRDefault="00AE1972" w:rsidP="00AE1972">
      <w:pPr>
        <w:rPr>
          <w:rFonts w:cs="Arial"/>
          <w:b/>
          <w:bCs/>
        </w:rPr>
      </w:pPr>
    </w:p>
    <w:p w14:paraId="2116126D" w14:textId="03C97716" w:rsidR="00AB11F1" w:rsidRPr="00781112" w:rsidRDefault="00AB11F1" w:rsidP="00AE1972">
      <w:pPr>
        <w:rPr>
          <w:rFonts w:cs="Arial"/>
          <w:b/>
          <w:bCs/>
        </w:rPr>
      </w:pPr>
      <w:r w:rsidRPr="00AB11F1">
        <w:rPr>
          <w:rFonts w:cs="Arial"/>
          <w:b/>
          <w:bCs/>
        </w:rPr>
        <w:t>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w:t>
      </w:r>
    </w:p>
    <w:p w14:paraId="29CD7E16" w14:textId="62EA3FF0" w:rsidR="00AE1972" w:rsidRPr="00781112" w:rsidRDefault="00AE1972" w:rsidP="00AE1972">
      <w:pPr>
        <w:rPr>
          <w:b/>
          <w:bCs/>
        </w:rPr>
      </w:pPr>
      <w:r w:rsidRPr="00781112">
        <w:rPr>
          <w:color w:val="000000" w:themeColor="text1"/>
        </w:rPr>
        <w:t>SSIP COORDINATOR</w:t>
      </w:r>
      <w:r w:rsidRPr="00781112">
        <w:rPr>
          <w:color w:val="000000" w:themeColor="text1"/>
        </w:rPr>
        <w:br/>
        <w:t>The SSIP Coordinator focused on improving progress toward achieving the SiMR and sustainability of systems improvement efforts through developing resources, providing technical assistance, and offering professional development opportunities to improve graduation and post-school outcomes. The Coordinator represented the State Director of Special Education on multiple interagency teams (Developmental Disability Council, Employment First Initiative Task Force, State Rehabilitation Council, and the Statewide Independent Living Council) regarding secondary transition and post-school outcomes, ensuring consistent messaging related to systems improvement efforts by WVDE/OSE. In February 2024, the Coordinator presented on secondary transition planning and service delivery at the annual WV Division of Rehabilitation Services Staff meeting and the WV Statewide Secondary Transition Conference in June 2024, with over 200 attendees at each event. Evaluation data indicated improved knowledge and skill gains for attendees, impacting the achievement of the SiMR.</w:t>
      </w:r>
      <w:r w:rsidRPr="00781112">
        <w:rPr>
          <w:color w:val="000000" w:themeColor="text1"/>
        </w:rPr>
        <w:br/>
      </w:r>
      <w:r w:rsidRPr="00781112">
        <w:rPr>
          <w:color w:val="000000" w:themeColor="text1"/>
        </w:rPr>
        <w:br/>
        <w:t xml:space="preserve">INTERNAL EVALUATOR </w:t>
      </w:r>
      <w:r w:rsidRPr="00781112">
        <w:rPr>
          <w:color w:val="000000" w:themeColor="text1"/>
        </w:rPr>
        <w:br/>
        <w:t>The internal evaluator collaborates with the SSIP Coordinator to analyze data received through the evaluation plan and 618 data collections. The resulting data is displayed to the public through an interactive data dashboard on the WVGtG webpage. The evaluator supports scale-up and sustainability of improvement efforts by providing quicker and meaningful access to data through the interactive dashboard, which is revised when updated data is available.</w:t>
      </w:r>
      <w:r w:rsidRPr="00781112">
        <w:rPr>
          <w:color w:val="000000" w:themeColor="text1"/>
        </w:rPr>
        <w:br/>
      </w:r>
      <w:r w:rsidRPr="00781112">
        <w:rPr>
          <w:color w:val="000000" w:themeColor="text1"/>
        </w:rPr>
        <w:br/>
        <w:t xml:space="preserve">STATE-LEVEL IMPLEMENTATION TEAM </w:t>
      </w:r>
      <w:r w:rsidRPr="00781112">
        <w:rPr>
          <w:color w:val="000000" w:themeColor="text1"/>
        </w:rPr>
        <w:br/>
        <w:t>This team previously developed a vision statement to engage in open, concise, and meaningful internal communication and collaboration, resulting in the delivery of consistent, high-quality professional learning and TA to increase local capacity for preparing students with disabilities (SWD) for everyday living, employment, education, and/or enlistment. For this reporting period, the team provided asynchronous input and feedback on the work of WVGtG using TEAMS posts and small group meetings to align this work with other state initiatives. This team is crucial in aligning state-level work and ensuring sustainability of improvement efforts at the LEA level.</w:t>
      </w:r>
      <w:r w:rsidRPr="00781112">
        <w:rPr>
          <w:color w:val="000000" w:themeColor="text1"/>
        </w:rPr>
        <w:br/>
      </w:r>
      <w:r w:rsidRPr="00781112">
        <w:rPr>
          <w:color w:val="000000" w:themeColor="text1"/>
        </w:rPr>
        <w:br/>
        <w:t xml:space="preserve">FINANCIAL SUPPORT </w:t>
      </w:r>
      <w:r w:rsidRPr="00781112">
        <w:rPr>
          <w:color w:val="000000" w:themeColor="text1"/>
        </w:rPr>
        <w:br/>
        <w:t>WVDE/OSE competitive grantees submitted progress reports outlining the evidence-based practices (EBP) they intended to implement and what they actually implemented. WVGtG grant applications were received from 35 LEAs, with funding requests ranging from $6,570 to $46,500. This year, 35 LEAs applied for funding compared to 37 applicants last year, with an average award of $29,805, a 22% increase from the previous year. LEAs were required to include considerations for future sustainability/local support for this work and align no more than two EBPs to the WV Standards for Effective Schools. Many LEAs commented that they could not sustain or scale-up this work without the financial support provided by the WVGtG/SSIP grants.</w:t>
      </w:r>
      <w:r w:rsidRPr="00781112">
        <w:rPr>
          <w:color w:val="000000" w:themeColor="text1"/>
        </w:rPr>
        <w:br/>
      </w:r>
      <w:r w:rsidRPr="00781112">
        <w:rPr>
          <w:color w:val="000000" w:themeColor="text1"/>
        </w:rPr>
        <w:br/>
        <w:t>DIFFERENTIATED TECHNICAL ASSISTANCE (TA) &amp; PROFESSIONAL DEVELOPMENT</w:t>
      </w:r>
      <w:r w:rsidRPr="00781112">
        <w:rPr>
          <w:color w:val="000000" w:themeColor="text1"/>
        </w:rPr>
        <w:br/>
        <w:t>WVDE/OSE continues to support a dedicated webpage for the SSIP and the West Virginia Guideposts to Graduation (WVGtG) initiative. This resource, which is continually updated, offers a consistent message through both public and internal platforms for educators, families, and anyone interested in graduation improvement efforts. WVDE/OSE regularly updates all resources, verifies external links, and prioritizes family-friendliness on the WVGtG webpage. This demonstrates WVDE/OSE's commitment to transparency and responsiveness in its mission to improve graduation rates for SWDs. The WVGtG webpage remains a valuable resource for all stakeholders invested in this work.</w:t>
      </w:r>
      <w:r w:rsidRPr="00781112">
        <w:rPr>
          <w:color w:val="000000" w:themeColor="text1"/>
        </w:rPr>
        <w:br/>
      </w:r>
      <w:r w:rsidRPr="00781112">
        <w:rPr>
          <w:color w:val="000000" w:themeColor="text1"/>
        </w:rPr>
        <w:br/>
        <w:t xml:space="preserve">Compared to the previous years, the WVGtG webpage continues to see significant increases in unique pageviews since its launch in 2022 (414 views in 2022; 1,721 in 2023; and between Feb 1st to Dec 1st, 2024, there were 6,661 pageviews). This surge reflects the importance of valuable resources and increased engagement with the interactive Data Dashboard that provides graduation/drop-out rates, secondary transition planning compliance, and additional LEA performance measures relevant to the SSIP. The Data Dashboard empowers users to explore various types of LEA information, including targeted improvement areas, special education data, SSIP participation, graduation rates, and much more. Updated periodically throughout the year, it presents data for counties, public charter schools, and non-county LEAs in user-friendly formats. </w:t>
      </w:r>
      <w:r w:rsidRPr="00781112">
        <w:rPr>
          <w:color w:val="000000" w:themeColor="text1"/>
        </w:rPr>
        <w:br/>
        <w:t>The WVGtG Community of Practice (CoP) met virtually for 90 minutes/month to provide targeted TA. Each meeting included a presentation on implementation strategies or a spotlight on a specific EBP or resource, followed by breakout sessions for discussion. These CoP meetings were required for LEAs who received funding for SSIP implementation but were open to all who wanted to participate. Attendance fluctuated between 60 and 75 at each meeting. The TEAMS site for ongoing communication and sharing of internal documents has 143 members.</w:t>
      </w:r>
      <w:r w:rsidRPr="00781112">
        <w:rPr>
          <w:color w:val="000000" w:themeColor="text1"/>
        </w:rPr>
        <w:br/>
      </w:r>
      <w:r w:rsidRPr="00781112">
        <w:rPr>
          <w:color w:val="000000" w:themeColor="text1"/>
        </w:rPr>
        <w:br/>
      </w:r>
      <w:r w:rsidRPr="00781112">
        <w:rPr>
          <w:color w:val="000000" w:themeColor="text1"/>
        </w:rPr>
        <w:lastRenderedPageBreak/>
        <w:t>Because one of the EBPs is secondary transition services, stakeholders decided that the monthly CoPs should focus heavily on developing high-quality Secondary Transition Plans and provision of secondary transition services. In June 2024 WVDE/OSE sponsored its first statewide interagency secondary transition conference. This conference provided training and resources to families and school staff on secondary transition planning and services to ensure that students with disabilities are well-prepared for post-secondary education, employment, and independent living. Total attendance at this all-expenses paid conference reached the maximum of 250 for the venue. Feedback from participants included very positive comments such as “this conference was beyond my expectations,” “most enjoyable informative conference I’ve attended,” “no improvements needed. Sessions and time management were excellent, facility was clean and food delicious, and vendors were great,” and “I would love to attend again if another conference is held next year! Great info for parents!!” The least positive comments included requests for more information on fiscal topics such as waivers and setting up trusts, and a request for a future 2-day conference to allow participants to attend more sessions.</w:t>
      </w:r>
    </w:p>
    <w:p w14:paraId="4B6ADDE5" w14:textId="77777777" w:rsidR="00AE1972" w:rsidRPr="00781112" w:rsidRDefault="00AE1972" w:rsidP="00AE1972">
      <w:pPr>
        <w:rPr>
          <w:rFonts w:cs="Arial"/>
          <w:b/>
          <w:bCs/>
        </w:rPr>
      </w:pPr>
    </w:p>
    <w:p w14:paraId="5DCF741B" w14:textId="77777777" w:rsidR="00AE1972" w:rsidRPr="00781112" w:rsidRDefault="00AE1972" w:rsidP="00AE1972">
      <w:pPr>
        <w:rPr>
          <w:rFonts w:cs="Arial"/>
          <w:b/>
          <w:bCs/>
        </w:rPr>
      </w:pPr>
      <w:r w:rsidRPr="00781112">
        <w:rPr>
          <w:rFonts w:cs="Arial"/>
          <w:b/>
          <w:bCs/>
        </w:rPr>
        <w:t xml:space="preserve">Did the State implement any </w:t>
      </w:r>
      <w:r w:rsidRPr="00781112">
        <w:rPr>
          <w:rFonts w:cs="Arial"/>
          <w:b/>
          <w:bCs/>
          <w:u w:val="single"/>
        </w:rPr>
        <w:t>new</w:t>
      </w:r>
      <w:r w:rsidRPr="00781112">
        <w:rPr>
          <w:rFonts w:cs="Arial"/>
          <w:b/>
          <w:bCs/>
        </w:rPr>
        <w:t xml:space="preserve"> (newly identified) infrastructure improvement strategies during the reporting period?</w:t>
      </w:r>
      <w:r w:rsidRPr="00781112">
        <w:rPr>
          <w:b/>
          <w:bCs/>
        </w:rPr>
        <w:t xml:space="preserve"> (yes/no)</w:t>
      </w:r>
    </w:p>
    <w:p w14:paraId="7AA60872" w14:textId="7A06C54C" w:rsidR="00AE1972" w:rsidRDefault="00AE1972" w:rsidP="00AE1972">
      <w:pPr>
        <w:rPr>
          <w:color w:val="000000" w:themeColor="text1"/>
        </w:rPr>
      </w:pPr>
      <w:r w:rsidRPr="00781112">
        <w:rPr>
          <w:color w:val="000000" w:themeColor="text1"/>
        </w:rPr>
        <w:t>NO</w:t>
      </w:r>
    </w:p>
    <w:p w14:paraId="7A07D856" w14:textId="77777777" w:rsidR="00AE1972" w:rsidRPr="00781112" w:rsidRDefault="00AE1972" w:rsidP="00AE1972">
      <w:pPr>
        <w:rPr>
          <w:rFonts w:cs="Arial"/>
          <w:b/>
          <w:bCs/>
        </w:rPr>
      </w:pPr>
      <w:r w:rsidRPr="00781112">
        <w:rPr>
          <w:rFonts w:cs="Arial"/>
          <w:b/>
          <w:bCs/>
        </w:rPr>
        <w:t xml:space="preserve">Provide a summary of the next steps for each infrastructure improvement strategy and the anticipated outcomes to be attained during the next reporting period. </w:t>
      </w:r>
    </w:p>
    <w:p w14:paraId="1A03571A" w14:textId="0DF7AD96" w:rsidR="00AE1972" w:rsidRPr="00781112" w:rsidRDefault="00AE1972" w:rsidP="00AE1972">
      <w:pPr>
        <w:rPr>
          <w:b/>
          <w:bCs/>
        </w:rPr>
      </w:pPr>
      <w:r w:rsidRPr="00781112">
        <w:rPr>
          <w:color w:val="000000" w:themeColor="text1"/>
        </w:rPr>
        <w:t xml:space="preserve">Research shows that systemic improvements require consistent implementation over time to see improved and sustained outcomes. Thus, the next steps for each infrastructure activity outlined in this reporting cycle will continue unless data or stakeholder input indicates the need for mid-course corrections. This includes: </w:t>
      </w:r>
      <w:r w:rsidRPr="00781112">
        <w:rPr>
          <w:color w:val="000000" w:themeColor="text1"/>
        </w:rPr>
        <w:br/>
        <w:t>SSIP COORDINATOR and INTERNAL EVALUATOR</w:t>
      </w:r>
      <w:r w:rsidRPr="00781112">
        <w:rPr>
          <w:color w:val="000000" w:themeColor="text1"/>
        </w:rPr>
        <w:br/>
        <w:t>These will continue to be dedicated positions at the SEA.</w:t>
      </w:r>
      <w:r w:rsidRPr="00781112">
        <w:rPr>
          <w:color w:val="000000" w:themeColor="text1"/>
        </w:rPr>
        <w:br/>
      </w:r>
      <w:r w:rsidRPr="00781112">
        <w:rPr>
          <w:color w:val="000000" w:themeColor="text1"/>
        </w:rPr>
        <w:br/>
        <w:t>STATE-LEVEL IMPLEMENTATION TEAM</w:t>
      </w:r>
      <w:r w:rsidRPr="00781112">
        <w:rPr>
          <w:color w:val="000000" w:themeColor="text1"/>
        </w:rPr>
        <w:br/>
        <w:t xml:space="preserve">This team will evolve to include regular communication with an interagency collaborative team supported by TA Facilitators from NTACT:C who will focus on sharing resources designed to improve post-school outcomes. The SSIP Coordinator will continue making connections with stakeholders to develop resources aligned with state priorities and will continue to represent the WVDE and SSIP work on interagency councils as appropriate. Anticipated outcomes include consistent messaging and better access to resources for students, families, and professionals. </w:t>
      </w:r>
      <w:r w:rsidRPr="00781112">
        <w:rPr>
          <w:color w:val="000000" w:themeColor="text1"/>
        </w:rPr>
        <w:br/>
      </w:r>
      <w:r w:rsidRPr="00781112">
        <w:rPr>
          <w:color w:val="000000" w:themeColor="text1"/>
        </w:rPr>
        <w:br/>
        <w:t>FINANCIAL SUPPORT</w:t>
      </w:r>
      <w:r w:rsidRPr="00781112">
        <w:rPr>
          <w:color w:val="000000" w:themeColor="text1"/>
        </w:rPr>
        <w:br/>
        <w:t>Financial support is expected to be maintained by providing similar funding opportunities to the previous two reporting cycles. Awards will prioritize applications that focus on systems improvements and activities related to secondary transition (which is a statewide need based on indicator 13 compliance data). Anticipated outcomes include improved data for indicators 1, 2, and 13.</w:t>
      </w:r>
      <w:r w:rsidRPr="00781112">
        <w:rPr>
          <w:color w:val="000000" w:themeColor="text1"/>
        </w:rPr>
        <w:br/>
      </w:r>
      <w:r w:rsidRPr="00781112">
        <w:rPr>
          <w:color w:val="000000" w:themeColor="text1"/>
        </w:rPr>
        <w:br/>
        <w:t>DIFFERENTIATED TECHNICAL ASSISTANCE (TA) and PROFESSIONAL DEVELOPMENT</w:t>
      </w:r>
      <w:r w:rsidRPr="00781112">
        <w:rPr>
          <w:color w:val="000000" w:themeColor="text1"/>
        </w:rPr>
        <w:br/>
        <w:t xml:space="preserve">Continued targeted TA and support will be provided regarding transition planning and service delivery and systems improvement. There was also a need identified through the monthly CoPs and stakeholder input that WVDE/OSE should expand its support and training in data literacy and analysis. Beginning with SY 2024-25 WVDE/OSE held a statewide special education data summit with a keynote speaker from IDC, and breakout sessions from SEA staff on topics related to special education data collection and reporting. This summit was followed by in-person hands-on learning academies (HOLAs) in December 2024 for all participants in the SSIP. At the December HOLA, LEAs were provided with support and training to determine their capacity and readiness for implementing EBPs at the local level and for developing action plans to address barriers. WVDE/OSE adapted, with permission, a tool from NIRN which became the CARL (Capacity Assessment Rubric for LEAs). This tool is also the basis for a semi-annual fidelity check to be completed in January and April 2025. A second HOLA is scheduled for March 2025, and will be used to provide continued support and training for these data tools and action plans developed in December. This is the first time some LEAs have been asked to engage in these activities, and the learning curve can be steep, especially for new special education directors (35 out of 62 have been in their role less than two years). Therefore, WVDE/OSE will continue to support LEAs with building capacity and measuring progress based on data for the next reporting cycle. </w:t>
      </w:r>
      <w:r w:rsidRPr="00781112">
        <w:rPr>
          <w:color w:val="000000" w:themeColor="text1"/>
        </w:rPr>
        <w:br/>
      </w:r>
      <w:r w:rsidRPr="00781112">
        <w:rPr>
          <w:color w:val="000000" w:themeColor="text1"/>
        </w:rPr>
        <w:br/>
        <w:t>Once LEAs are better equipped to collect and analyze data, future analyses may include evaluating progress toward the SiMR between subgroups (e.g., LEAs receiving funding and those who did not; LEAs with improved indicator 2 and 13 data) and potentially assessing linkages between all secondary school indicators and post-school outcomes. Should any data analysis include subgroups, the evaluation plan would also be appropriately revised.</w:t>
      </w:r>
    </w:p>
    <w:p w14:paraId="0D313DAA" w14:textId="77777777" w:rsidR="00AE1972" w:rsidRPr="00781112" w:rsidRDefault="00AE1972" w:rsidP="00AE1972">
      <w:pPr>
        <w:rPr>
          <w:rFonts w:cs="Arial"/>
          <w:b/>
          <w:bCs/>
        </w:rPr>
      </w:pPr>
    </w:p>
    <w:p w14:paraId="35176598" w14:textId="77777777" w:rsidR="00AE1972" w:rsidRPr="00781112" w:rsidRDefault="00AE1972" w:rsidP="00AE1972">
      <w:pPr>
        <w:rPr>
          <w:rFonts w:cs="Arial"/>
          <w:b/>
          <w:bCs/>
        </w:rPr>
      </w:pPr>
      <w:r w:rsidRPr="00781112">
        <w:rPr>
          <w:rFonts w:cs="Arial"/>
          <w:b/>
          <w:bCs/>
        </w:rPr>
        <w:t>List the selected evidence-based practices implement in the reporting period:</w:t>
      </w:r>
    </w:p>
    <w:p w14:paraId="5DA152F5" w14:textId="71CAFB34" w:rsidR="00AE1972" w:rsidRPr="00781112" w:rsidRDefault="00AE1972" w:rsidP="00AE1972">
      <w:pPr>
        <w:rPr>
          <w:b/>
          <w:bCs/>
        </w:rPr>
      </w:pPr>
      <w:r w:rsidRPr="00781112">
        <w:rPr>
          <w:color w:val="000000" w:themeColor="text1"/>
        </w:rPr>
        <w:t xml:space="preserve">West Virginia LEAs have 100% control over which specific strategies and interventions they will use and are allowed to choose evidence-based practices (EBPs) specific to their individual local needs. This flexibility has continued in response to stakeholder feedback and survey data obtained on the successes/challenges of current and previous SSIP work. </w:t>
      </w:r>
      <w:r w:rsidRPr="00781112">
        <w:rPr>
          <w:color w:val="000000" w:themeColor="text1"/>
        </w:rPr>
        <w:br/>
      </w:r>
      <w:r w:rsidRPr="00781112">
        <w:rPr>
          <w:color w:val="000000" w:themeColor="text1"/>
        </w:rPr>
        <w:br/>
        <w:t>LEAs participating in the SSIP must use one of the four EBPs domains listed below, and those who applied for funding were asked to include in their grant applications a summary of each EBP they intended to implement during the school year that must be aligned to the WV Standards for Effective Schools. A requirement of participating in SSIP and receiving funding is a semi-annual data collection in the fall and spring. The fall data collection asks them to report on what they intend to implement for EBPs and the spring data collection asks them what they were actually able to implement. Both data collections ask them to share successes and challenges related to implementation of EBPs that will improve graduation outcomes for students with disabilities.</w:t>
      </w:r>
      <w:r w:rsidRPr="00781112">
        <w:rPr>
          <w:color w:val="000000" w:themeColor="text1"/>
        </w:rPr>
        <w:br/>
      </w:r>
      <w:r w:rsidRPr="00781112">
        <w:rPr>
          <w:color w:val="000000" w:themeColor="text1"/>
        </w:rPr>
        <w:br/>
        <w:t>After the initial survey data was analyzed in SY 2022, four broad categories (i.e., domains) related to EBPs were identified:</w:t>
      </w:r>
      <w:r w:rsidRPr="00781112">
        <w:rPr>
          <w:color w:val="000000" w:themeColor="text1"/>
        </w:rPr>
        <w:br/>
      </w:r>
      <w:r w:rsidRPr="00781112">
        <w:rPr>
          <w:color w:val="000000" w:themeColor="text1"/>
        </w:rPr>
        <w:br/>
        <w:t>* Educational Supports/Academic Performance</w:t>
      </w:r>
      <w:r w:rsidRPr="00781112">
        <w:rPr>
          <w:color w:val="000000" w:themeColor="text1"/>
        </w:rPr>
        <w:br/>
        <w:t>* Student and Family Engagement</w:t>
      </w:r>
      <w:r w:rsidRPr="00781112">
        <w:rPr>
          <w:color w:val="000000" w:themeColor="text1"/>
        </w:rPr>
        <w:br/>
        <w:t xml:space="preserve">* Secondary Transition Activities </w:t>
      </w:r>
      <w:r w:rsidRPr="00781112">
        <w:rPr>
          <w:color w:val="000000" w:themeColor="text1"/>
        </w:rPr>
        <w:br/>
        <w:t>* Systemic Improvements</w:t>
      </w:r>
      <w:r w:rsidRPr="00781112">
        <w:rPr>
          <w:color w:val="000000" w:themeColor="text1"/>
        </w:rPr>
        <w:br/>
      </w:r>
      <w:r w:rsidRPr="00781112">
        <w:rPr>
          <w:color w:val="000000" w:themeColor="text1"/>
        </w:rPr>
        <w:br/>
        <w:t>These categories are the EBP domains implemented in West Virginia schools participating in the SSIP and the data reported is aggregated for each domain.</w:t>
      </w:r>
    </w:p>
    <w:p w14:paraId="10F85993" w14:textId="77777777" w:rsidR="00AE1972" w:rsidRPr="00781112" w:rsidRDefault="00AE1972" w:rsidP="00AE1972">
      <w:pPr>
        <w:rPr>
          <w:rFonts w:cs="Arial"/>
          <w:b/>
          <w:bCs/>
        </w:rPr>
      </w:pPr>
    </w:p>
    <w:p w14:paraId="22910457" w14:textId="0691C68A" w:rsidR="00AE1972" w:rsidRPr="00781112" w:rsidRDefault="00AE1972" w:rsidP="00AE1972">
      <w:pPr>
        <w:rPr>
          <w:rFonts w:cs="Arial"/>
          <w:b/>
          <w:bCs/>
        </w:rPr>
      </w:pPr>
      <w:r w:rsidRPr="00781112">
        <w:rPr>
          <w:rFonts w:cs="Arial"/>
          <w:b/>
          <w:bCs/>
        </w:rPr>
        <w:t>Provide a summary of each evidence-based practice.</w:t>
      </w:r>
    </w:p>
    <w:p w14:paraId="30605054" w14:textId="1313DE13" w:rsidR="00AE1972" w:rsidRPr="00781112" w:rsidRDefault="00AE1972" w:rsidP="00AE1972">
      <w:pPr>
        <w:rPr>
          <w:b/>
          <w:bCs/>
        </w:rPr>
      </w:pPr>
      <w:r w:rsidRPr="00781112">
        <w:rPr>
          <w:color w:val="000000" w:themeColor="text1"/>
        </w:rPr>
        <w:t>The summaries below describe previously reported activities with included weblinks that provide additional information to the help readers understand the implementation of EBP domains in West Virginia.</w:t>
      </w:r>
      <w:r w:rsidRPr="00781112">
        <w:rPr>
          <w:color w:val="000000" w:themeColor="text1"/>
        </w:rPr>
        <w:br/>
      </w:r>
      <w:r w:rsidRPr="00781112">
        <w:rPr>
          <w:color w:val="000000" w:themeColor="text1"/>
        </w:rPr>
        <w:br/>
      </w:r>
      <w:r w:rsidRPr="00781112">
        <w:rPr>
          <w:color w:val="000000" w:themeColor="text1"/>
        </w:rPr>
        <w:lastRenderedPageBreak/>
        <w:t xml:space="preserve">EDUCATIONAL SUPPORTS/ACADEMIC PERFORMANCE - includes activities related to credit recovery; tutoring; dropout prevention, graduation coaches (academic-/tutor specific role); Option Pathway - WV's multiple pathways to graduation found in WVBE Policy 2444.4 [https://wvde.state.wv.us/policies/] WV GEAR UP [https://www.wvgearup.org/] - a federally funded program that helps prepare students for post-secondary training and employment; and problem-solving/goal setting strategies initiated by students with adult support. </w:t>
      </w:r>
      <w:r w:rsidRPr="00781112">
        <w:rPr>
          <w:color w:val="000000" w:themeColor="text1"/>
        </w:rPr>
        <w:br/>
      </w:r>
      <w:r w:rsidRPr="00781112">
        <w:rPr>
          <w:color w:val="000000" w:themeColor="text1"/>
        </w:rPr>
        <w:br/>
        <w:t>STUDENT AND FAMILY ENGAGEMENT - includes activities that specifically target at-risk students. Examples include Check and Connect; mentoring; graduation coaches (family support role); social workers; and student assistance teams (SAT) consisting of school staff and parents using data to identify individual student needs and develop plans of support for a wide range of problems, including academics, behavior, social-emotional concerns, and attendance issues. Most of the SSIP/WVGtG participants also have a Communities in Schools site-based coordinator who leverages partnerships to connect students and families with community resources, tailoring them to their specific needs [https://wvde.us/cis/].</w:t>
      </w:r>
      <w:r w:rsidRPr="00781112">
        <w:rPr>
          <w:color w:val="000000" w:themeColor="text1"/>
        </w:rPr>
        <w:br/>
      </w:r>
      <w:r w:rsidRPr="00781112">
        <w:rPr>
          <w:color w:val="000000" w:themeColor="text1"/>
        </w:rPr>
        <w:br/>
        <w:t>SECONDARY TRANSITION ACTIVITIES - includes activities related to transition specialist/coach/coordinator; work-based learning, job exploration, and work readiness training; self-advocacy training; transition/job fair events, and simulated workplace opportunities [https://wvde.us/simulated-workplace/]. Also includes pre-employment transition services (Pre-ETS) that may be provided by WV Division of Rehabilitation (DRS).</w:t>
      </w:r>
      <w:r w:rsidRPr="00781112">
        <w:rPr>
          <w:color w:val="000000" w:themeColor="text1"/>
        </w:rPr>
        <w:br/>
      </w:r>
      <w:r w:rsidRPr="00781112">
        <w:rPr>
          <w:color w:val="000000" w:themeColor="text1"/>
        </w:rPr>
        <w:br/>
        <w:t xml:space="preserve">SYSTEMIC IMPROVEMENTS - includes activities that mention programmatic or building-level improvements; implementation of changes to programs/practices based on root cause analysis and data-based decision making; improved IEP compliance; collaboration; and expanded professional development opportunities intended to support and improve outcomes for students with disabilities. </w:t>
      </w:r>
    </w:p>
    <w:p w14:paraId="79F66E5E" w14:textId="77777777" w:rsidR="00AE1972" w:rsidRPr="00781112" w:rsidRDefault="00AE1972" w:rsidP="00AE1972">
      <w:pPr>
        <w:rPr>
          <w:rFonts w:cs="Arial"/>
          <w:b/>
          <w:bCs/>
        </w:rPr>
      </w:pPr>
      <w:r w:rsidRPr="00781112">
        <w:rPr>
          <w:rFonts w:cs="Arial"/>
          <w:b/>
          <w:bCs/>
        </w:rPr>
        <w:t xml:space="preserve"> </w:t>
      </w:r>
    </w:p>
    <w:p w14:paraId="7DF513C4" w14:textId="38901088" w:rsidR="00AE1972" w:rsidRPr="00781112" w:rsidRDefault="00AE1972" w:rsidP="00AE1972">
      <w:pPr>
        <w:rPr>
          <w:rFonts w:cs="Arial"/>
          <w:b/>
          <w:bCs/>
        </w:rPr>
      </w:pPr>
      <w:bookmarkStart w:id="97" w:name="_Hlk88409387"/>
      <w:r w:rsidRPr="00781112">
        <w:rPr>
          <w:rFonts w:cs="Arial"/>
          <w:b/>
          <w:bCs/>
        </w:rPr>
        <w:t xml:space="preserve">Provide a summary of how each evidence-based practice and activities or strategies that support its use, is intended to impact the SiMR by changing program/district policies, procedures, and/or practices, teacher/provider practices (e.g., behaviors), parent/caregiver outcomes, and/or child /outcomes. </w:t>
      </w:r>
    </w:p>
    <w:bookmarkEnd w:id="97"/>
    <w:p w14:paraId="3E043DB7" w14:textId="7C3B2CD4" w:rsidR="00AE1972" w:rsidRPr="00781112" w:rsidRDefault="00AE1972" w:rsidP="00AE1972">
      <w:pPr>
        <w:rPr>
          <w:b/>
          <w:bCs/>
        </w:rPr>
      </w:pPr>
      <w:r w:rsidRPr="00781112">
        <w:rPr>
          <w:color w:val="000000" w:themeColor="text1"/>
        </w:rPr>
        <w:t>EDUCATIONAL SUPPORTS/ACADEMIC PERFORMANCE - 28.87% of LEAs participating in the SSIP focused on this domain which is less than last year’s data (30.39%). When students are more successful in school, they are more likely to be engaged in their education. This will impact the SiMR through changes in teacher/provider practices that may include more co-teaching, fewer pull-out services, and better student engagement. This may also indirectly impact results related to indicator 3 data.</w:t>
      </w:r>
      <w:r w:rsidRPr="00781112">
        <w:rPr>
          <w:color w:val="000000" w:themeColor="text1"/>
        </w:rPr>
        <w:br/>
      </w:r>
      <w:r w:rsidRPr="00781112">
        <w:rPr>
          <w:color w:val="000000" w:themeColor="text1"/>
        </w:rPr>
        <w:br/>
        <w:t>STUDENT/FAMILY ENGAGEMENT – 14.43% of LEAs participating in the SSIP focused on this domain which is less than year’s data (16.67%). When students and families are engaged with the school community, attendance increases, and they begin to see the benefits of receiving a regular high school diploma. This will impact the SiMR through changes in teacher/provider practices, parent/student outcomes, and district practices. This may include more frequent teacher/parent communication, increased student attendance, and improved school climate. This may also indirectly impact results related to indicator 8 data.</w:t>
      </w:r>
      <w:r w:rsidRPr="00781112">
        <w:rPr>
          <w:color w:val="000000" w:themeColor="text1"/>
        </w:rPr>
        <w:br/>
      </w:r>
      <w:r w:rsidRPr="00781112">
        <w:rPr>
          <w:color w:val="000000" w:themeColor="text1"/>
        </w:rPr>
        <w:br/>
        <w:t>SYSTEMIC IMPROVEMENTS – 24.74% of LEAs participating in the SSIP focused on this domain which is greater than last year’s data (19.61%). When programs, policies, and procedures/practices change to meet the needs of every student, then the culture and climate change over time to become more inclusive. When schools support inclusive practices, then they can begin improving academic performance for all students. This will impact the SiMR through changes in district policies, procedures, and practices.</w:t>
      </w:r>
      <w:r w:rsidRPr="00781112">
        <w:rPr>
          <w:color w:val="000000" w:themeColor="text1"/>
        </w:rPr>
        <w:br/>
      </w:r>
      <w:r w:rsidRPr="00781112">
        <w:rPr>
          <w:color w:val="000000" w:themeColor="text1"/>
        </w:rPr>
        <w:br/>
        <w:t>SECONDARY TRANSITION ACTIVITIES – 31.96% of LEAs participating in the SSIP focused on this domain which is similar to last year’s data (33.34%). When high-quality transition plans are written and implemented, students are better prepared to achieve their post-secondary goals related to education/training, employment, and independent living. When students and families see potential for the future, graduation outcomes also improve. This will impact the SiMR through changes in teacher/provider practices, parent/student outcomes, and district practices with secondary transition plans focused on improving results, not just compliance. This may also indirectly impact results related to indicator 13 data.</w:t>
      </w:r>
    </w:p>
    <w:p w14:paraId="43C06488" w14:textId="77777777" w:rsidR="00AE1972" w:rsidRPr="00781112" w:rsidRDefault="00AE1972" w:rsidP="00AE1972">
      <w:pPr>
        <w:rPr>
          <w:rFonts w:cs="Arial"/>
          <w:b/>
          <w:bCs/>
        </w:rPr>
      </w:pPr>
      <w:r w:rsidRPr="00781112">
        <w:rPr>
          <w:rFonts w:cs="Arial"/>
          <w:b/>
          <w:bCs/>
        </w:rPr>
        <w:t xml:space="preserve"> </w:t>
      </w:r>
    </w:p>
    <w:p w14:paraId="46DD8115" w14:textId="77777777" w:rsidR="00AE1972" w:rsidRPr="00781112" w:rsidRDefault="00AE1972" w:rsidP="00AE1972">
      <w:pPr>
        <w:rPr>
          <w:rFonts w:cs="Arial"/>
          <w:b/>
          <w:bCs/>
        </w:rPr>
      </w:pPr>
      <w:r w:rsidRPr="00781112">
        <w:rPr>
          <w:rFonts w:cs="Arial"/>
          <w:b/>
          <w:bCs/>
        </w:rPr>
        <w:t xml:space="preserve">Describe the data collected to monitor fidelity of implementation and to assess practice change. </w:t>
      </w:r>
    </w:p>
    <w:p w14:paraId="3AADEE00" w14:textId="0533CE7C" w:rsidR="00AE1972" w:rsidRPr="00781112" w:rsidRDefault="00AE1972" w:rsidP="00AE1972">
      <w:pPr>
        <w:rPr>
          <w:b/>
          <w:bCs/>
        </w:rPr>
      </w:pPr>
      <w:r w:rsidRPr="00781112">
        <w:rPr>
          <w:color w:val="000000" w:themeColor="text1"/>
        </w:rPr>
        <w:t>Beginning with SY 2022-23, data collection surveys were revised to include both quantitative and qualitative response options for a mixed method analysis. The format and content of each survey is similar so that data may be analyzed and compared for continuous improvement activities and to assess practice change. Data were collected per the evaluation plan and analyzed by the internal evaluation coordinator with input from stakeholders.</w:t>
      </w:r>
      <w:r w:rsidRPr="00781112">
        <w:rPr>
          <w:color w:val="000000" w:themeColor="text1"/>
        </w:rPr>
        <w:br/>
      </w:r>
      <w:r w:rsidRPr="00781112">
        <w:rPr>
          <w:color w:val="000000" w:themeColor="text1"/>
        </w:rPr>
        <w:br/>
        <w:t xml:space="preserve">Data collected from LEAs regarding their intended and actual implementation of one or more of the EBP domains was analyzed to determine which EBP domains improved outcomes for students with disabilities in the areas of graduation, drop-out, and secondary transition. Based on the data below, and with stakeholder input, WVDE/OSE provided differentiated TA and support for LEAs participating in SSIP/WVGtG. </w:t>
      </w:r>
      <w:r w:rsidRPr="00781112">
        <w:rPr>
          <w:color w:val="000000" w:themeColor="text1"/>
        </w:rPr>
        <w:br/>
      </w:r>
      <w:r w:rsidRPr="00781112">
        <w:rPr>
          <w:color w:val="000000" w:themeColor="text1"/>
        </w:rPr>
        <w:br/>
        <w:t>NOTE: For each participating LEA, the data below reflects a percentage of LEAs who chose each EBP domain and maintained or had growth in results for graduation, drop-out and when appropriate secondary transition.</w:t>
      </w:r>
      <w:r w:rsidRPr="00781112">
        <w:rPr>
          <w:color w:val="000000" w:themeColor="text1"/>
        </w:rPr>
        <w:br/>
      </w:r>
      <w:r w:rsidRPr="00781112">
        <w:rPr>
          <w:color w:val="000000" w:themeColor="text1"/>
        </w:rPr>
        <w:br/>
        <w:t>EDUCATIONAL SUPPORTS/ACADEMIC PERFORMANCE</w:t>
      </w:r>
      <w:r w:rsidRPr="00781112">
        <w:rPr>
          <w:color w:val="000000" w:themeColor="text1"/>
        </w:rPr>
        <w:br/>
        <w:t>61.54% of LEAs with maintenance or growth in data for graduation (indicator 1) between FFY2021 and FFY2023</w:t>
      </w:r>
      <w:r w:rsidRPr="00781112">
        <w:rPr>
          <w:color w:val="000000" w:themeColor="text1"/>
        </w:rPr>
        <w:br/>
        <w:t>65.38% of LEAs with maintenance or growth in data for dropout (indicator 2) between FFY2021 and FFY2023</w:t>
      </w:r>
      <w:r w:rsidRPr="00781112">
        <w:rPr>
          <w:color w:val="000000" w:themeColor="text1"/>
        </w:rPr>
        <w:br/>
        <w:t>61.54% of LEAs with maintenance or growth in data for transition compliance (indicator 13) between FFY2022 and FFY2023</w:t>
      </w:r>
      <w:r w:rsidRPr="00781112">
        <w:rPr>
          <w:color w:val="000000" w:themeColor="text1"/>
        </w:rPr>
        <w:br/>
        <w:t>Qualitative Data from survey results included – “Students coming off the D and F list as a result of tutoring and support”; “Last year, 15 identified at-risk students were able to successfully pass their classes”; and “students are more aware of graduation requirements are being assisted before they fall too far behind. This has helped eliminate the need for Credit Recovery in the summer.”</w:t>
      </w:r>
      <w:r w:rsidRPr="00781112">
        <w:rPr>
          <w:color w:val="000000" w:themeColor="text1"/>
        </w:rPr>
        <w:br/>
      </w:r>
      <w:r w:rsidRPr="00781112">
        <w:rPr>
          <w:color w:val="000000" w:themeColor="text1"/>
        </w:rPr>
        <w:br/>
        <w:t>STUDENT AND FAMILY ENGAGEMENT</w:t>
      </w:r>
      <w:r w:rsidRPr="00781112">
        <w:rPr>
          <w:color w:val="000000" w:themeColor="text1"/>
        </w:rPr>
        <w:br/>
        <w:t>84.62% of LEAs with maintenance or growth in data for graduation (indicator 1) between FFY 2021 and FFY 2023</w:t>
      </w:r>
      <w:r w:rsidRPr="00781112">
        <w:rPr>
          <w:color w:val="000000" w:themeColor="text1"/>
        </w:rPr>
        <w:br/>
        <w:t>84.62% of LEAs with maintenance or growth in data for dropout (indicator 2) between FFY 2021 and FFY 2023</w:t>
      </w:r>
      <w:r w:rsidRPr="00781112">
        <w:rPr>
          <w:color w:val="000000" w:themeColor="text1"/>
        </w:rPr>
        <w:br/>
        <w:t>61.54% of LEAs with maintenance or growth in data for transition compliance (indicator 13) between FFY 2022 and FFY 2023</w:t>
      </w:r>
      <w:r w:rsidRPr="00781112">
        <w:rPr>
          <w:color w:val="000000" w:themeColor="text1"/>
        </w:rPr>
        <w:br/>
        <w:t>Qualitative Data from survey results included – “Schools and district personnel are incredibly more aware of their students who are falling behind and offering supports to those students. Parent communication has also improved. Teachers and administrators have received many hours of training in how to deal with students who have dealt or are dealing with trauma”; “students have been excited to come to school to go to the job placements”; and “graduation coach has been very successful. Students engaged and attending school.”</w:t>
      </w:r>
      <w:r w:rsidRPr="00781112">
        <w:rPr>
          <w:color w:val="000000" w:themeColor="text1"/>
        </w:rPr>
        <w:br/>
      </w:r>
      <w:r w:rsidRPr="00781112">
        <w:rPr>
          <w:color w:val="000000" w:themeColor="text1"/>
        </w:rPr>
        <w:br/>
        <w:t>SECONDARY TRANSITION ACTIVITIES</w:t>
      </w:r>
      <w:r w:rsidRPr="00781112">
        <w:rPr>
          <w:color w:val="000000" w:themeColor="text1"/>
        </w:rPr>
        <w:br/>
        <w:t>63.33% of LEAs with maintenance or growth in data for graduation (indicator 1) between FFY 2021 and FFY 2023</w:t>
      </w:r>
      <w:r w:rsidRPr="00781112">
        <w:rPr>
          <w:color w:val="000000" w:themeColor="text1"/>
        </w:rPr>
        <w:br/>
      </w:r>
      <w:r w:rsidRPr="00781112">
        <w:rPr>
          <w:color w:val="000000" w:themeColor="text1"/>
        </w:rPr>
        <w:lastRenderedPageBreak/>
        <w:t>70.00% of LEAs with maintenance or growth in data for dropout (indicator 2) between FFY 2021 and FFY 2023</w:t>
      </w:r>
      <w:r w:rsidRPr="00781112">
        <w:rPr>
          <w:color w:val="000000" w:themeColor="text1"/>
        </w:rPr>
        <w:br/>
        <w:t>66.67% of LEAs with maintenance or growth in data for transition compliance (indicator 13) between FFY 2022 and FFY 2023</w:t>
      </w:r>
      <w:r w:rsidRPr="00781112">
        <w:rPr>
          <w:color w:val="000000" w:themeColor="text1"/>
        </w:rPr>
        <w:br/>
        <w:t>Qualitative Data from survey results included – “decreased dropout compared to last year, students actively participating in transition planning”; “This year we had a career/job fair during school hours. We had 34 groups represented: Job Corp, Upward Bound, The Department of Rehabilitation, New Community College and Technical Center, as well as other Colleges: Concord University, Bluefield State, Radford, Virginia Tech, WVU, Glenville, WV State University, and others. All branches of the military were represented as well as local businesses and agencies. Grades 8-12 attended! What a wealth of information was shared!” and “All of our high schools have met with our contracted transition coordinator. Many have scheduled transition activities for increased engagement and relevancy for transition activities tied to their IEP Transition Plan.”</w:t>
      </w:r>
      <w:r w:rsidRPr="00781112">
        <w:rPr>
          <w:color w:val="000000" w:themeColor="text1"/>
        </w:rPr>
        <w:br/>
      </w:r>
      <w:r w:rsidRPr="00781112">
        <w:rPr>
          <w:color w:val="000000" w:themeColor="text1"/>
        </w:rPr>
        <w:br/>
        <w:t>SYSTEMIC IMPROVEMENTS</w:t>
      </w:r>
      <w:r w:rsidRPr="00781112">
        <w:rPr>
          <w:color w:val="000000" w:themeColor="text1"/>
        </w:rPr>
        <w:br/>
        <w:t>76.19% of LEAs with maintenance or growth in data for graduation (indicator 1) between FFY 2021 and FFY 2023</w:t>
      </w:r>
      <w:r w:rsidRPr="00781112">
        <w:rPr>
          <w:color w:val="000000" w:themeColor="text1"/>
        </w:rPr>
        <w:br/>
        <w:t>76.19% of LEAs with maintenance or growth in data for dropout (indicator 2) between FFY 2021 and FFY 2023</w:t>
      </w:r>
      <w:r w:rsidRPr="00781112">
        <w:rPr>
          <w:color w:val="000000" w:themeColor="text1"/>
        </w:rPr>
        <w:br/>
        <w:t>71.43% of LEAs with maintenance or growth in data for transition compliance (indicator 13) between FFY 2022 and FFY 2023</w:t>
      </w:r>
      <w:r w:rsidRPr="00781112">
        <w:rPr>
          <w:color w:val="000000" w:themeColor="text1"/>
        </w:rPr>
        <w:br/>
        <w:t>Qualitative Data from survey results included – “While we have had many stories of individual successes, overall, we have seen an increase in identifying students with needs and providing support. Referrals have increased by 2% over the previous year and the frequency of meetings to keep everyone updated, while at times has been difficult to maintain, has kept the process at the forefront of our work”; “During the co-planning sessions, the teachers at the 4 schools were able to work through Specially Designed Instruction through lesson planning as co-teaching pairs. They mapped out the remainder of the school year in either ELA or Math” and “Developed IEP Checklist/Guide to provide professional development for teachers, administrators, and related service providers.”</w:t>
      </w:r>
    </w:p>
    <w:p w14:paraId="3D905B01" w14:textId="77777777" w:rsidR="00AE1972" w:rsidRPr="00781112" w:rsidRDefault="00AE1972" w:rsidP="00AE1972">
      <w:pPr>
        <w:rPr>
          <w:rFonts w:cs="Arial"/>
          <w:b/>
          <w:bCs/>
        </w:rPr>
      </w:pPr>
    </w:p>
    <w:p w14:paraId="7A09B895" w14:textId="187B70C8" w:rsidR="00AE1972" w:rsidRPr="00781112" w:rsidRDefault="00C87801" w:rsidP="00AE1972">
      <w:pPr>
        <w:rPr>
          <w:rFonts w:cs="Arial"/>
          <w:b/>
          <w:bCs/>
        </w:rPr>
      </w:pPr>
      <w:r w:rsidRPr="00C87801">
        <w:rPr>
          <w:rFonts w:cs="Arial"/>
          <w:b/>
          <w:bCs/>
        </w:rPr>
        <w:t>Describe any additional data (e.g., progress monitoring) that was collected that supports the decision to continue the ongoing use of each evidence-based practice.</w:t>
      </w:r>
    </w:p>
    <w:p w14:paraId="61FB2284" w14:textId="795DBC6E" w:rsidR="00AE1972" w:rsidRDefault="00AE1972" w:rsidP="00AE1972">
      <w:pPr>
        <w:rPr>
          <w:color w:val="000000" w:themeColor="text1"/>
        </w:rPr>
      </w:pPr>
      <w:r w:rsidRPr="00781112">
        <w:rPr>
          <w:color w:val="000000" w:themeColor="text1"/>
        </w:rPr>
        <w:t>A requirement of participating in SSIP and receiving funding is a semi-annual data collection in the fall and spring. The fall data collection asks them to report on what they intend to implement for EBPs, and the spring data collection asks them what they were actually able to implement. The data indicate that:</w:t>
      </w:r>
      <w:r w:rsidRPr="00781112">
        <w:rPr>
          <w:color w:val="000000" w:themeColor="text1"/>
        </w:rPr>
        <w:br/>
      </w:r>
      <w:r w:rsidRPr="00781112">
        <w:rPr>
          <w:color w:val="000000" w:themeColor="text1"/>
        </w:rPr>
        <w:br/>
        <w:t>EDUCATIONAL SUPPORTS/ACADEMIC PERFORMANCE</w:t>
      </w:r>
      <w:r w:rsidRPr="00781112">
        <w:rPr>
          <w:color w:val="000000" w:themeColor="text1"/>
        </w:rPr>
        <w:br/>
        <w:t>28.87% of LEAs were able to implement based on Spring 2023 survey results</w:t>
      </w:r>
      <w:r w:rsidRPr="00781112">
        <w:rPr>
          <w:color w:val="000000" w:themeColor="text1"/>
        </w:rPr>
        <w:br/>
        <w:t>29.09% of LEAs planned to implement based on Fall 2024 survey results</w:t>
      </w:r>
      <w:r w:rsidRPr="00781112">
        <w:rPr>
          <w:color w:val="000000" w:themeColor="text1"/>
        </w:rPr>
        <w:br/>
      </w:r>
      <w:r w:rsidRPr="00781112">
        <w:rPr>
          <w:color w:val="000000" w:themeColor="text1"/>
        </w:rPr>
        <w:br/>
        <w:t>STUDENT AND FAMILY ENGAGEMENT</w:t>
      </w:r>
      <w:r w:rsidRPr="00781112">
        <w:rPr>
          <w:color w:val="000000" w:themeColor="text1"/>
        </w:rPr>
        <w:br/>
        <w:t>14.43% of LEAs were able to implement based on Spring 2023 survey results</w:t>
      </w:r>
      <w:r w:rsidRPr="00781112">
        <w:rPr>
          <w:color w:val="000000" w:themeColor="text1"/>
        </w:rPr>
        <w:br/>
        <w:t>16.36% of LEAs planned to implement based on Fall 2024 survey results</w:t>
      </w:r>
      <w:r w:rsidRPr="00781112">
        <w:rPr>
          <w:color w:val="000000" w:themeColor="text1"/>
        </w:rPr>
        <w:br/>
      </w:r>
      <w:r w:rsidRPr="00781112">
        <w:rPr>
          <w:color w:val="000000" w:themeColor="text1"/>
        </w:rPr>
        <w:br/>
        <w:t>SECONDARY TRANSITION ACTIVITIES</w:t>
      </w:r>
      <w:r w:rsidRPr="00781112">
        <w:rPr>
          <w:color w:val="000000" w:themeColor="text1"/>
        </w:rPr>
        <w:br/>
        <w:t>31.96% of LEAs were able to implement based on Spring 2023 survey results</w:t>
      </w:r>
      <w:r w:rsidRPr="00781112">
        <w:rPr>
          <w:color w:val="000000" w:themeColor="text1"/>
        </w:rPr>
        <w:br/>
        <w:t>33.64% of LEAs planned to implement based on Fall 2024 survey results</w:t>
      </w:r>
      <w:r w:rsidRPr="00781112">
        <w:rPr>
          <w:color w:val="000000" w:themeColor="text1"/>
        </w:rPr>
        <w:br/>
      </w:r>
      <w:r w:rsidRPr="00781112">
        <w:rPr>
          <w:color w:val="000000" w:themeColor="text1"/>
        </w:rPr>
        <w:br/>
        <w:t>SYSTEMIC IMPROVEMENTS</w:t>
      </w:r>
      <w:r w:rsidRPr="00781112">
        <w:rPr>
          <w:color w:val="000000" w:themeColor="text1"/>
        </w:rPr>
        <w:br/>
        <w:t>24.74% of LEAs were able to implement based on Spring 2023 survey results</w:t>
      </w:r>
      <w:r w:rsidRPr="00781112">
        <w:rPr>
          <w:color w:val="000000" w:themeColor="text1"/>
        </w:rPr>
        <w:br/>
        <w:t>19.09% of LEAs planned to implement based on Fall 2024 survey results</w:t>
      </w:r>
      <w:r w:rsidRPr="00781112">
        <w:rPr>
          <w:color w:val="000000" w:themeColor="text1"/>
        </w:rPr>
        <w:br/>
      </w:r>
      <w:r w:rsidRPr="00781112">
        <w:rPr>
          <w:color w:val="000000" w:themeColor="text1"/>
        </w:rPr>
        <w:br/>
        <w:t>NOTE: This comparison of planned EBP activities with implemented EBP activities was difficult for stakeholders as the data were collected and analyzed data across two school years. Furthermore, 28 out of 35 LEAs included temporary staff positions in their SY24-25 SSIP grant applications related to these EBP domains. It was not clear to stakeholders whether these staff positions impacted fidelity of implementation or contributed to differences between Spring 2023 and Fall 2024 survey results. Per stakeholder request described later in this section, the data for Fall 2024 will be compared to data collected for Spring 2025 and reported in FFY 2024.</w:t>
      </w:r>
    </w:p>
    <w:p w14:paraId="1C12C4CB" w14:textId="17146AE7" w:rsidR="00C87801" w:rsidRDefault="00C87801" w:rsidP="00AE1972">
      <w:pPr>
        <w:rPr>
          <w:color w:val="000000" w:themeColor="text1"/>
        </w:rPr>
      </w:pPr>
    </w:p>
    <w:p w14:paraId="00E7E41D" w14:textId="35F4BD30" w:rsidR="00C87801" w:rsidRPr="00C87801" w:rsidRDefault="00C87801" w:rsidP="00C87801">
      <w:pPr>
        <w:rPr>
          <w:b/>
          <w:bCs/>
          <w:color w:val="000000" w:themeColor="text1"/>
        </w:rPr>
      </w:pPr>
      <w:r w:rsidRPr="00730C62">
        <w:rPr>
          <w:b/>
          <w:bCs/>
          <w:color w:val="000000" w:themeColor="text1"/>
        </w:rPr>
        <w:t xml:space="preserve">Provide a summary of the next steps for each evidence-based practice and the anticipated outcomes to be attained during the next reporting period. </w:t>
      </w:r>
    </w:p>
    <w:p w14:paraId="3EDD1FBC" w14:textId="4546113E" w:rsidR="00C87801" w:rsidRDefault="00C87801" w:rsidP="00C87801">
      <w:pPr>
        <w:rPr>
          <w:color w:val="000000" w:themeColor="text1"/>
        </w:rPr>
      </w:pPr>
      <w:r w:rsidRPr="00781112">
        <w:rPr>
          <w:color w:val="000000" w:themeColor="text1"/>
        </w:rPr>
        <w:t xml:space="preserve">As we move toward transitioning to a future change in the SiMR, stakeholders have indicated that it would make sense to compress the current EBP domains from four to two. Based on the data reported above and stakeholder guidance, WVDE/OSE will focus on EBPs involving secondary transition activities and systemic improvements for FFY 2024. </w:t>
      </w:r>
      <w:r w:rsidRPr="00781112">
        <w:rPr>
          <w:color w:val="000000" w:themeColor="text1"/>
        </w:rPr>
        <w:br/>
      </w:r>
      <w:r w:rsidRPr="00781112">
        <w:rPr>
          <w:color w:val="000000" w:themeColor="text1"/>
        </w:rPr>
        <w:br/>
        <w:t xml:space="preserve">The rationale behind focusing on systems improvement activities is that this domain can incorporate educational supports/academic performance as well as student/family engagement with anticipated outcomes that could include changes in policies, procedures, and practices at the LEA to improve school climate and student outcomes in multiple measures (e.g., assessment data, least restrictive environment, decreased dropouts, increased graduation and post-school opportunities, etc.). </w:t>
      </w:r>
      <w:r w:rsidRPr="00781112">
        <w:rPr>
          <w:color w:val="000000" w:themeColor="text1"/>
        </w:rPr>
        <w:br/>
      </w:r>
      <w:r w:rsidRPr="00781112">
        <w:rPr>
          <w:color w:val="000000" w:themeColor="text1"/>
        </w:rPr>
        <w:br/>
        <w:t>The rationale behind focusing on secondary transition activities is that this domain will better prepare students for post-secondary education/training and employment opportunities. Focusing on this domain will also improve the state’s indicator 13 results.</w:t>
      </w:r>
    </w:p>
    <w:p w14:paraId="0555DA84" w14:textId="3045F812" w:rsidR="00C87801" w:rsidRDefault="00C87801" w:rsidP="00AE1972">
      <w:pPr>
        <w:rPr>
          <w:color w:val="000000" w:themeColor="text1"/>
        </w:rPr>
      </w:pPr>
    </w:p>
    <w:p w14:paraId="6D882D9B" w14:textId="77777777" w:rsidR="00987BD2" w:rsidRDefault="00987BD2" w:rsidP="00987BD2">
      <w:pPr>
        <w:rPr>
          <w:b/>
          <w:bCs/>
        </w:rPr>
      </w:pPr>
      <w:r w:rsidRPr="00730C62">
        <w:rPr>
          <w:b/>
          <w:bCs/>
        </w:rPr>
        <w:t>Does the State intend to continue implementing the SSIP without modifications? (yes/no)</w:t>
      </w:r>
    </w:p>
    <w:p w14:paraId="1C4A7F35" w14:textId="77777777" w:rsidR="00987BD2" w:rsidRDefault="00987BD2" w:rsidP="00987BD2">
      <w:r w:rsidRPr="00781112">
        <w:t>NO</w:t>
      </w:r>
    </w:p>
    <w:p w14:paraId="7C7CFD5B" w14:textId="77777777" w:rsidR="00987BD2" w:rsidRPr="00730C62" w:rsidRDefault="00987BD2" w:rsidP="00987BD2">
      <w:pPr>
        <w:rPr>
          <w:b/>
          <w:bCs/>
        </w:rPr>
      </w:pPr>
      <w:r w:rsidRPr="00730C62">
        <w:rPr>
          <w:b/>
          <w:bCs/>
          <w:szCs w:val="16"/>
        </w:rPr>
        <w:t>If no, describe any changes to the activities, strategies or timelines described in the previous submission and include a rationale or justification for the changes.</w:t>
      </w:r>
    </w:p>
    <w:p w14:paraId="62108E5B" w14:textId="77777777" w:rsidR="00987BD2" w:rsidRDefault="00987BD2" w:rsidP="00987BD2">
      <w:r w:rsidRPr="00781112">
        <w:t xml:space="preserve">The SSIP data obtained through the evaluation plan supports minor changes to the implementation to ensure a reliable and valid analysis of trend data. </w:t>
      </w:r>
      <w:r w:rsidRPr="00781112">
        <w:br/>
      </w:r>
      <w:r w:rsidRPr="00781112">
        <w:br/>
        <w:t xml:space="preserve">In Fall 2024, stakeholders requested that future SSIP reports be less confusing as the school year data is lag (indicator 1) but the activities are reported from Feb 1st to Jan 31st timeframe. They found it difficult to compare SSIP activities that occur in the spring of one school year and the fall of another with lag data reported from prior school years. To address this, starting with the next reporting cycle for FFY 2024, SSIP reported infrastructure, activities, and data will be reported for a single school year (e.g., SY2024-2025). </w:t>
      </w:r>
      <w:r w:rsidRPr="00781112">
        <w:br/>
      </w:r>
      <w:r w:rsidRPr="00781112">
        <w:br/>
        <w:t xml:space="preserve">In addition, these stakeholders also determined that the SSIP should begin transitioning from the current SiMR for this 5-year reporting cycle to a new </w:t>
      </w:r>
      <w:r w:rsidRPr="00781112">
        <w:lastRenderedPageBreak/>
        <w:t>SiMR in the next 5-year reporting cycle that will focus on improving post-school outcomes for students with disabilities. To begin this transition, the FFY 2024 report may include additional data from activities designed to improve both graduation and post-school outcomes. The transition to a new SiMR is expected to occur over a 2-year timeframe with reporting beginning with FFY 2025 reporting cycle.</w:t>
      </w:r>
      <w:r w:rsidRPr="00781112">
        <w:br/>
      </w:r>
      <w:r w:rsidRPr="00781112">
        <w:br/>
        <w:t>Although fiscal support will continue, changes will include limiting EBP domains to Secondary Transition Activities and Systemic Improvements. This change will begin the transition described in this section regarding a future SiMR change to post-school outcomes. In addition, focusing on secondary transition activities will also improve indicator 13 data for which WVDE/OSE is improving, but not at 100% compliance.</w:t>
      </w:r>
    </w:p>
    <w:p w14:paraId="074AA68E" w14:textId="77777777" w:rsidR="00987BD2" w:rsidRPr="00781112" w:rsidRDefault="00987BD2" w:rsidP="00AE1972">
      <w:pPr>
        <w:rPr>
          <w:color w:val="000000" w:themeColor="text1"/>
        </w:rPr>
      </w:pPr>
    </w:p>
    <w:p w14:paraId="4216CFE7" w14:textId="77777777" w:rsidR="00C2635F" w:rsidRPr="00781112" w:rsidRDefault="00C2635F" w:rsidP="00AE1972">
      <w:pPr>
        <w:rPr>
          <w:b/>
          <w:bCs/>
        </w:rPr>
      </w:pPr>
    </w:p>
    <w:p w14:paraId="7350AAE8" w14:textId="77777777" w:rsidR="00C2635F" w:rsidRPr="00781112" w:rsidRDefault="00AE1972" w:rsidP="00AE1972">
      <w:pPr>
        <w:rPr>
          <w:rFonts w:cs="Arial"/>
          <w:b/>
          <w:bCs/>
        </w:rPr>
      </w:pPr>
      <w:r w:rsidRPr="00781112">
        <w:rPr>
          <w:rFonts w:cs="Arial"/>
          <w:b/>
          <w:bCs/>
        </w:rPr>
        <w:t>Section C: Stakeholder Engagement</w:t>
      </w:r>
    </w:p>
    <w:p w14:paraId="7EBFA7EE" w14:textId="77777777" w:rsidR="00C2635F" w:rsidRPr="00781112" w:rsidRDefault="00C2635F" w:rsidP="00C2635F">
      <w:pPr>
        <w:pStyle w:val="Bold"/>
        <w:rPr>
          <w:color w:val="000000" w:themeColor="text1"/>
        </w:rPr>
      </w:pPr>
      <w:r w:rsidRPr="00781112">
        <w:rPr>
          <w:color w:val="000000" w:themeColor="text1"/>
        </w:rPr>
        <w:t>Description of Stakeholder Input</w:t>
      </w:r>
    </w:p>
    <w:p w14:paraId="613D691C" w14:textId="77777777" w:rsidR="00C2635F" w:rsidRPr="00781112" w:rsidRDefault="00C2635F" w:rsidP="00C2635F">
      <w:pPr>
        <w:pStyle w:val="Bold"/>
        <w:rPr>
          <w:b w:val="0"/>
          <w:color w:val="000000" w:themeColor="text1"/>
        </w:rPr>
      </w:pPr>
      <w:r w:rsidRPr="00781112">
        <w:rPr>
          <w:rFonts w:cs="Arial"/>
          <w:b w:val="0"/>
          <w:color w:val="000000" w:themeColor="text1"/>
          <w:szCs w:val="16"/>
        </w:rPr>
        <w:t>The WVDE/OSE actively engages stakeholders through a comprehensive strategy that includes various methods of communication and collaboration:</w:t>
      </w:r>
      <w:r w:rsidRPr="00781112">
        <w:rPr>
          <w:rFonts w:cs="Arial"/>
          <w:b w:val="0"/>
          <w:color w:val="000000" w:themeColor="text1"/>
          <w:szCs w:val="16"/>
        </w:rPr>
        <w:br/>
      </w:r>
      <w:r w:rsidRPr="00781112">
        <w:rPr>
          <w:rFonts w:cs="Arial"/>
          <w:b w:val="0"/>
          <w:color w:val="000000" w:themeColor="text1"/>
          <w:szCs w:val="16"/>
        </w:rPr>
        <w:br/>
        <w:t>Direct Communication</w:t>
      </w:r>
      <w:r w:rsidRPr="00781112">
        <w:rPr>
          <w:rFonts w:cs="Arial"/>
          <w:b w:val="0"/>
          <w:color w:val="000000" w:themeColor="text1"/>
          <w:szCs w:val="16"/>
        </w:rPr>
        <w:br/>
        <w:t>-Conducting individual calls with parents, advocates, teachers, and community members.</w:t>
      </w:r>
      <w:r w:rsidRPr="00781112">
        <w:rPr>
          <w:rFonts w:cs="Arial"/>
          <w:b w:val="0"/>
          <w:color w:val="000000" w:themeColor="text1"/>
          <w:szCs w:val="16"/>
        </w:rPr>
        <w:br/>
        <w:t>-Hosting monthly support calls with CSI-ATS school teams and special education directors.</w:t>
      </w:r>
      <w:r w:rsidRPr="00781112">
        <w:rPr>
          <w:rFonts w:cs="Arial"/>
          <w:b w:val="0"/>
          <w:color w:val="000000" w:themeColor="text1"/>
          <w:szCs w:val="16"/>
        </w:rPr>
        <w:br/>
        <w:t>-Sending emails and surveys to gather feedback from a wide range of stakeholders.</w:t>
      </w:r>
      <w:r w:rsidRPr="00781112">
        <w:rPr>
          <w:rFonts w:cs="Arial"/>
          <w:b w:val="0"/>
          <w:color w:val="000000" w:themeColor="text1"/>
          <w:szCs w:val="16"/>
        </w:rPr>
        <w:br/>
      </w:r>
      <w:r w:rsidRPr="00781112">
        <w:rPr>
          <w:rFonts w:cs="Arial"/>
          <w:b w:val="0"/>
          <w:color w:val="000000" w:themeColor="text1"/>
          <w:szCs w:val="16"/>
        </w:rPr>
        <w:br/>
        <w:t>Information Exchange</w:t>
      </w:r>
      <w:r w:rsidRPr="00781112">
        <w:rPr>
          <w:rFonts w:cs="Arial"/>
          <w:b w:val="0"/>
          <w:color w:val="000000" w:themeColor="text1"/>
          <w:szCs w:val="16"/>
        </w:rPr>
        <w:br/>
        <w:t>-Using a dedicated Teams site to communicate with LEAs.</w:t>
      </w:r>
      <w:r w:rsidRPr="00781112">
        <w:rPr>
          <w:rFonts w:cs="Arial"/>
          <w:b w:val="0"/>
          <w:color w:val="000000" w:themeColor="text1"/>
          <w:szCs w:val="16"/>
        </w:rPr>
        <w:br/>
        <w:t>-Providing a public input form on the WVDE website for the SSIP.</w:t>
      </w:r>
      <w:r w:rsidRPr="00781112">
        <w:rPr>
          <w:rFonts w:cs="Arial"/>
          <w:b w:val="0"/>
          <w:color w:val="000000" w:themeColor="text1"/>
          <w:szCs w:val="16"/>
        </w:rPr>
        <w:br/>
        <w:t>-Gathering feedback from parents, students, and school staff during monitoring activities.</w:t>
      </w:r>
      <w:r w:rsidRPr="00781112">
        <w:rPr>
          <w:rFonts w:cs="Arial"/>
          <w:b w:val="0"/>
          <w:color w:val="000000" w:themeColor="text1"/>
          <w:szCs w:val="16"/>
        </w:rPr>
        <w:br/>
      </w:r>
      <w:r w:rsidRPr="00781112">
        <w:rPr>
          <w:rFonts w:cs="Arial"/>
          <w:b w:val="0"/>
          <w:color w:val="000000" w:themeColor="text1"/>
          <w:szCs w:val="16"/>
        </w:rPr>
        <w:br/>
        <w:t>Collaborative Partnerships</w:t>
      </w:r>
      <w:r w:rsidRPr="00781112">
        <w:rPr>
          <w:rFonts w:cs="Arial"/>
          <w:b w:val="0"/>
          <w:color w:val="000000" w:themeColor="text1"/>
          <w:szCs w:val="16"/>
        </w:rPr>
        <w:br/>
        <w:t>-Participating in regular meetings and interagency teams focused on improving outcomes for individuals with disabilities.</w:t>
      </w:r>
      <w:r w:rsidRPr="00781112">
        <w:rPr>
          <w:rFonts w:cs="Arial"/>
          <w:b w:val="0"/>
          <w:color w:val="000000" w:themeColor="text1"/>
          <w:szCs w:val="16"/>
        </w:rPr>
        <w:br/>
        <w:t>-Ensuring state director involvement in all WVACEEC meetings, which includes participation, capacity building, and feedback solicitation from LEAs, parents, and community groups.</w:t>
      </w:r>
      <w:r w:rsidRPr="00781112">
        <w:rPr>
          <w:rFonts w:cs="Arial"/>
          <w:b w:val="0"/>
          <w:color w:val="000000" w:themeColor="text1"/>
          <w:szCs w:val="16"/>
        </w:rPr>
        <w:br/>
        <w:t>-Maintaining periodic meetings and working relationships with legislators, advocacy agencies, teacher organizations, and other interested parties.</w:t>
      </w:r>
    </w:p>
    <w:p w14:paraId="0227ECF0" w14:textId="4A877DBA" w:rsidR="00AE1972" w:rsidRPr="00781112" w:rsidRDefault="00AE1972" w:rsidP="00AE1972">
      <w:pPr>
        <w:rPr>
          <w:rFonts w:cs="Arial"/>
          <w:b/>
          <w:bCs/>
        </w:rPr>
      </w:pPr>
      <w:r w:rsidRPr="00781112">
        <w:rPr>
          <w:rFonts w:cs="Arial"/>
          <w:b/>
          <w:bCs/>
        </w:rPr>
        <w:t xml:space="preserve"> Describe the specific strategies implemented to engage stakeholders in key improvement efforts. </w:t>
      </w:r>
    </w:p>
    <w:p w14:paraId="50B976D9" w14:textId="4AEF384A" w:rsidR="00AE1972" w:rsidRPr="00781112" w:rsidRDefault="00AE1972" w:rsidP="00AE1972">
      <w:pPr>
        <w:rPr>
          <w:b/>
          <w:bCs/>
        </w:rPr>
      </w:pPr>
      <w:r w:rsidRPr="00781112">
        <w:rPr>
          <w:color w:val="000000" w:themeColor="text1"/>
        </w:rPr>
        <w:t xml:space="preserve">In addition to the general stakeholder input and feedback for the SPP/APR reporting period (FFY 2020 - 2026) described in this report, WVDE/OSE engages SSIP stakeholders through virtual meetings, in-person discussions, and a public survey link on the WVGtG webpage. SSIP stakeholder input is actively sought, and feedback is responded to regularly as it is obtained. </w:t>
      </w:r>
      <w:r w:rsidRPr="00781112">
        <w:rPr>
          <w:color w:val="000000" w:themeColor="text1"/>
        </w:rPr>
        <w:br/>
      </w:r>
      <w:r w:rsidRPr="00781112">
        <w:rPr>
          <w:color w:val="000000" w:themeColor="text1"/>
        </w:rPr>
        <w:br/>
        <w:t>WVGtG stakeholders include both internal and external representatives through virtual meetings, phone calls, and collaborative partnerships. Internally, state-level offices and programs support LEAs regarding graduation outcomes. Externally, stakeholders include LEAs, parents, advocates for people with disabilities, and the public.</w:t>
      </w:r>
      <w:r w:rsidRPr="00781112">
        <w:rPr>
          <w:color w:val="000000" w:themeColor="text1"/>
        </w:rPr>
        <w:br/>
      </w:r>
      <w:r w:rsidRPr="00781112">
        <w:rPr>
          <w:color w:val="000000" w:themeColor="text1"/>
        </w:rPr>
        <w:br/>
        <w:t>Internal team members collaborate regularly to ensure consistent messaging about graduation expectations for all students in West Virginia. They also develop resources and provide joint technical assistance whenever possible. Communication with internal stakeholders occurs via email, Teams site, and virtual or in-person meetings.</w:t>
      </w:r>
      <w:r w:rsidRPr="00781112">
        <w:rPr>
          <w:color w:val="000000" w:themeColor="text1"/>
        </w:rPr>
        <w:br/>
      </w:r>
      <w:r w:rsidRPr="00781112">
        <w:rPr>
          <w:color w:val="000000" w:themeColor="text1"/>
        </w:rPr>
        <w:br/>
        <w:t>The SSIP Coordinator represents WVDE/OSE at quarterly in-person or virtual meetings with multiple advocacy groups to support interagency alignment for improved post-school outcomes. These groups include the WV Parent Training and Information Center (WVPTI), WV DD Council, Employment First Initiative, and State Rehab Council.</w:t>
      </w:r>
      <w:r w:rsidRPr="00781112">
        <w:rPr>
          <w:color w:val="000000" w:themeColor="text1"/>
        </w:rPr>
        <w:br/>
      </w:r>
      <w:r w:rsidRPr="00781112">
        <w:rPr>
          <w:color w:val="000000" w:themeColor="text1"/>
        </w:rPr>
        <w:br/>
        <w:t>Parents are also represented through WVACEEC, the state advisory panel (described in the introduction section of this report). The SSIP/WVGtG work is discussed regularly, and feedback is provided to the SSIP Coordinator when appropriate.</w:t>
      </w:r>
      <w:r w:rsidRPr="00781112">
        <w:rPr>
          <w:color w:val="000000" w:themeColor="text1"/>
        </w:rPr>
        <w:br/>
      </w:r>
      <w:r w:rsidRPr="00781112">
        <w:rPr>
          <w:color w:val="000000" w:themeColor="text1"/>
        </w:rPr>
        <w:br/>
        <w:t>Stakeholder feedback was mostly collected through meeting notes for this reporting period as there were no feedback surveys submitted by attendees.</w:t>
      </w:r>
    </w:p>
    <w:p w14:paraId="0E7119BD" w14:textId="77777777" w:rsidR="00AE1972" w:rsidRPr="00781112" w:rsidRDefault="00AE1972" w:rsidP="00AE1972">
      <w:pPr>
        <w:rPr>
          <w:rFonts w:cs="Arial"/>
          <w:b/>
          <w:bCs/>
        </w:rPr>
      </w:pPr>
      <w:r w:rsidRPr="00781112">
        <w:rPr>
          <w:rFonts w:cs="Arial"/>
          <w:b/>
          <w:bCs/>
        </w:rPr>
        <w:t>Were there any concerns expressed by stakeholders during engagement activities?</w:t>
      </w:r>
      <w:r w:rsidRPr="00781112">
        <w:rPr>
          <w:b/>
          <w:bCs/>
        </w:rPr>
        <w:t xml:space="preserve"> (yes/no)</w:t>
      </w:r>
    </w:p>
    <w:p w14:paraId="23F53104" w14:textId="7B375F38" w:rsidR="00AE1972" w:rsidRDefault="00AE1972" w:rsidP="00AE1972">
      <w:pPr>
        <w:rPr>
          <w:color w:val="000000" w:themeColor="text1"/>
        </w:rPr>
      </w:pPr>
      <w:r w:rsidRPr="00781112">
        <w:rPr>
          <w:color w:val="000000" w:themeColor="text1"/>
        </w:rPr>
        <w:t>YES</w:t>
      </w:r>
    </w:p>
    <w:p w14:paraId="106639A0" w14:textId="39A5DE64" w:rsidR="00AE1972" w:rsidRPr="00781112" w:rsidRDefault="00C2635F" w:rsidP="00AE1972">
      <w:pPr>
        <w:rPr>
          <w:rFonts w:cs="Arial"/>
          <w:b/>
          <w:bCs/>
        </w:rPr>
      </w:pPr>
      <w:r w:rsidRPr="00781112">
        <w:rPr>
          <w:rFonts w:cs="Arial"/>
          <w:b/>
          <w:bCs/>
        </w:rPr>
        <w:t xml:space="preserve">Describe how the State addressed the concerns expressed by stakeholders. </w:t>
      </w:r>
    </w:p>
    <w:p w14:paraId="3CBD7A6E" w14:textId="0BCE4D81" w:rsidR="00AE1972" w:rsidRDefault="00AE1972" w:rsidP="00AE1972">
      <w:pPr>
        <w:rPr>
          <w:color w:val="000000" w:themeColor="text1"/>
        </w:rPr>
      </w:pPr>
      <w:r w:rsidRPr="00781112">
        <w:rPr>
          <w:color w:val="000000" w:themeColor="text1"/>
        </w:rPr>
        <w:t>In Fall 2024, stakeholders requested that future SSIP reports be less confusing. They found it difficult to compare SSIP activities that occur in the spring of one school year and the fall of another with data reported for a full school year. To address this, starting with the next reporting cycle for FFY 2024, SSIP activities will be reported within a single school year. There may be some overlap during the transition to this new reporting period.</w:t>
      </w:r>
      <w:r w:rsidRPr="00781112">
        <w:rPr>
          <w:color w:val="000000" w:themeColor="text1"/>
        </w:rPr>
        <w:br/>
      </w:r>
      <w:r w:rsidRPr="00781112">
        <w:rPr>
          <w:color w:val="000000" w:themeColor="text1"/>
        </w:rPr>
        <w:br/>
        <w:t>In addition, WVDE/OSE began laying the groundwork to consider changes to the SiMR by holding a stakeholder meeting on November 7, 2024, with 13 people in attendance. They represented both internal and external stakeholders from WVPTI, WVACEEC, VR, and WVDE staff who focus on improving graduation outcomes. This group will continue to meet over the next couple of years to develop a revised SiMR that will focus on improving post-school outcomes.</w:t>
      </w:r>
    </w:p>
    <w:p w14:paraId="4C0E967E" w14:textId="77777777" w:rsidR="00AE1972" w:rsidRPr="00781112" w:rsidRDefault="00AE1972" w:rsidP="00AE1972">
      <w:pPr>
        <w:rPr>
          <w:rFonts w:cs="Arial"/>
          <w:b/>
          <w:bCs/>
        </w:rPr>
      </w:pPr>
    </w:p>
    <w:p w14:paraId="66B03304" w14:textId="77777777" w:rsidR="00AE1972" w:rsidRPr="00781112" w:rsidRDefault="00AE1972" w:rsidP="00AE1972">
      <w:pPr>
        <w:rPr>
          <w:rFonts w:cstheme="minorHAnsi"/>
          <w:b/>
          <w:bCs/>
        </w:rPr>
      </w:pPr>
      <w:r w:rsidRPr="00781112">
        <w:rPr>
          <w:rFonts w:cstheme="minorHAnsi"/>
          <w:b/>
          <w:bCs/>
        </w:rPr>
        <w:t>Additional Implementation Activities</w:t>
      </w:r>
    </w:p>
    <w:p w14:paraId="10A21917" w14:textId="46068090" w:rsidR="00AE1972" w:rsidRPr="00781112" w:rsidRDefault="00AE1972" w:rsidP="00AE1972">
      <w:pPr>
        <w:rPr>
          <w:b/>
          <w:bCs/>
        </w:rPr>
      </w:pPr>
      <w:r w:rsidRPr="00781112">
        <w:rPr>
          <w:b/>
          <w:bCs/>
        </w:rPr>
        <w:t>List any activities not already described that the State intends to implement in the next fiscal year that are related to the SiMR.</w:t>
      </w:r>
    </w:p>
    <w:p w14:paraId="35A94BC4" w14:textId="6D7D4D2A" w:rsidR="00AE1972" w:rsidRPr="00781112" w:rsidRDefault="00AE1972" w:rsidP="00AE1972">
      <w:pPr>
        <w:rPr>
          <w:color w:val="000000" w:themeColor="text1"/>
        </w:rPr>
      </w:pPr>
      <w:r w:rsidRPr="00781112">
        <w:rPr>
          <w:color w:val="000000" w:themeColor="text1"/>
        </w:rPr>
        <w:t xml:space="preserve">1) The WVPTI pilot program continued to be supported by WVDE/OSE, which improved outreach and training for parents in secondary transition planning through the implementation of a program titled GUIDING THE JOURNEY: Transition Training Program for Parents. WVPTI Staff provide regular training in the evening and began including parents of younger students when discussion of transition planning should begin earlier. They divided parents equally into age groups 10-14, 14-16 and 16+ years of age. The demographics for these parents and caregivers varied significantly with respect to socioeconomic status and level of education. </w:t>
      </w:r>
      <w:r w:rsidRPr="00781112">
        <w:rPr>
          <w:color w:val="000000" w:themeColor="text1"/>
        </w:rPr>
        <w:br/>
      </w:r>
      <w:r w:rsidRPr="00781112">
        <w:rPr>
          <w:color w:val="000000" w:themeColor="text1"/>
        </w:rPr>
        <w:br/>
        <w:t xml:space="preserve">2) WVDE/OSE increased interagency work and connections for improved post-school outcomes for students with disabilities. The Interagency Collaboration Team (IC Team) expanded to include representation from LEAs, WVPTI, juvenile corrections, vocational rehabilitation and education. The IC team met monthly to develop a vision, mission, and goals to be implemented during SY 2024-25. </w:t>
      </w:r>
      <w:r w:rsidRPr="00781112">
        <w:rPr>
          <w:color w:val="000000" w:themeColor="text1"/>
        </w:rPr>
        <w:br/>
      </w:r>
      <w:r w:rsidRPr="00781112">
        <w:rPr>
          <w:color w:val="000000" w:themeColor="text1"/>
        </w:rPr>
        <w:lastRenderedPageBreak/>
        <w:br/>
        <w:t>3) WVDE/OSE will plan, coordinate, and support training related to improvements in graduation and post-school outcomes.</w:t>
      </w:r>
    </w:p>
    <w:p w14:paraId="3ACC71D3" w14:textId="77777777" w:rsidR="00AE1972" w:rsidRPr="00781112" w:rsidRDefault="00AE1972" w:rsidP="00AE1972">
      <w:pPr>
        <w:rPr>
          <w:rFonts w:cs="Arial"/>
          <w:b/>
          <w:bCs/>
        </w:rPr>
      </w:pPr>
      <w:r w:rsidRPr="00781112">
        <w:rPr>
          <w:rFonts w:cs="Arial"/>
          <w:b/>
          <w:bCs/>
        </w:rPr>
        <w:t xml:space="preserve">Provide a timeline, anticipated data collection and measures, and expected outcomes for these activities that are related to the SiMR. </w:t>
      </w:r>
    </w:p>
    <w:p w14:paraId="50377A67" w14:textId="7B063CE4" w:rsidR="00AE1972" w:rsidRPr="00781112" w:rsidRDefault="00AE1972" w:rsidP="00AE1972">
      <w:pPr>
        <w:rPr>
          <w:color w:val="000000" w:themeColor="text1"/>
        </w:rPr>
      </w:pPr>
      <w:r w:rsidRPr="00781112">
        <w:rPr>
          <w:color w:val="000000" w:themeColor="text1"/>
        </w:rPr>
        <w:t>1) WVPTI will provide data for SY2024-25 that will be reported in FFY 2024.</w:t>
      </w:r>
      <w:r w:rsidRPr="00781112">
        <w:rPr>
          <w:color w:val="000000" w:themeColor="text1"/>
        </w:rPr>
        <w:br/>
      </w:r>
      <w:r w:rsidRPr="00781112">
        <w:rPr>
          <w:color w:val="000000" w:themeColor="text1"/>
        </w:rPr>
        <w:br/>
        <w:t xml:space="preserve">2) Interagency connections are on-going and will continue to seek additional opportunities for providing greater resources and support to teachers, staff, and families which will improve both graduation and post-school outcomes for students with disabilities. </w:t>
      </w:r>
      <w:r w:rsidRPr="00781112">
        <w:rPr>
          <w:color w:val="000000" w:themeColor="text1"/>
        </w:rPr>
        <w:br/>
      </w:r>
      <w:r w:rsidRPr="00781112">
        <w:rPr>
          <w:color w:val="000000" w:themeColor="text1"/>
        </w:rPr>
        <w:br/>
        <w:t xml:space="preserve">3) Both a statewide secondary transition conference and a training on instructional coaching have been planned for Summer 2025. </w:t>
      </w:r>
      <w:r w:rsidRPr="00781112">
        <w:rPr>
          <w:color w:val="000000" w:themeColor="text1"/>
        </w:rPr>
        <w:br/>
      </w:r>
      <w:r w:rsidRPr="00781112">
        <w:rPr>
          <w:color w:val="000000" w:themeColor="text1"/>
        </w:rPr>
        <w:br/>
        <w:t>4) By moving to reporting on a school year basis, WVDE/OSE will be able to review data and analyze trends related to grant funding, graduation/exit from special education, and post-school outcomes. This will inform the continuation of or modifications to the current implementation of the SSIP.</w:t>
      </w:r>
    </w:p>
    <w:p w14:paraId="7B5F9795" w14:textId="77777777" w:rsidR="00AE1972" w:rsidRPr="00781112" w:rsidRDefault="00AE1972" w:rsidP="00AE1972">
      <w:pPr>
        <w:rPr>
          <w:color w:val="000000" w:themeColor="text1"/>
        </w:rPr>
      </w:pPr>
    </w:p>
    <w:p w14:paraId="1D472AFD" w14:textId="77777777" w:rsidR="00AE1972" w:rsidRPr="00781112" w:rsidRDefault="00AE1972" w:rsidP="00AE1972">
      <w:pPr>
        <w:rPr>
          <w:rFonts w:cs="Arial"/>
          <w:b/>
          <w:bCs/>
        </w:rPr>
      </w:pPr>
      <w:r w:rsidRPr="00781112">
        <w:rPr>
          <w:rFonts w:cs="Arial"/>
          <w:b/>
          <w:bCs/>
        </w:rPr>
        <w:t>Describe any newly identified barriers and include steps to address these barriers.</w:t>
      </w:r>
    </w:p>
    <w:p w14:paraId="4E48E920" w14:textId="395AE1C0" w:rsidR="00AE1972" w:rsidRPr="00781112" w:rsidRDefault="00AE1972" w:rsidP="00AE1972">
      <w:pPr>
        <w:rPr>
          <w:color w:val="000000" w:themeColor="text1"/>
        </w:rPr>
      </w:pPr>
      <w:r w:rsidRPr="00781112">
        <w:rPr>
          <w:color w:val="000000" w:themeColor="text1"/>
        </w:rPr>
        <w:t xml:space="preserve">Newly identified barriers include the potential for changing priorities based on 2024 election results that included a new West Virginia Governor and state legislators. In addition to state elections, national elections also occurred in 2024 which have been predicted to significantly change education priorities which may impact future SSIP funding and activities. There are minimal steps that can be taken to remediate any potential impact at this time. However, the State Superintendent of Schools maintains open lines of communication with the WV legislature and the governor’s office and shares information related to the needs of WV students and the requirements in IDEA. The efforts to maintain a positive working relationship between the SEA and the new state administration will hopefully result in an alignment of priorities necessary to alleviate barriers. </w:t>
      </w:r>
    </w:p>
    <w:p w14:paraId="5E2459D3" w14:textId="77777777" w:rsidR="00AE1972" w:rsidRPr="00781112" w:rsidRDefault="00AE1972" w:rsidP="00AE1972">
      <w:pPr>
        <w:rPr>
          <w:rFonts w:cs="Arial"/>
          <w:b/>
          <w:bCs/>
        </w:rPr>
      </w:pPr>
    </w:p>
    <w:p w14:paraId="3396CE64" w14:textId="77777777" w:rsidR="00AE1972" w:rsidRPr="00781112" w:rsidRDefault="00AE1972" w:rsidP="00AE1972">
      <w:pPr>
        <w:rPr>
          <w:rFonts w:cs="Arial"/>
          <w:b/>
          <w:bCs/>
        </w:rPr>
      </w:pPr>
      <w:r w:rsidRPr="00781112">
        <w:rPr>
          <w:rFonts w:cs="Arial"/>
          <w:b/>
          <w:bCs/>
        </w:rPr>
        <w:t>Provide additional information about this indicator (optional).</w:t>
      </w:r>
    </w:p>
    <w:p w14:paraId="3B78AAE5" w14:textId="1BDEAF09" w:rsidR="00AE1972" w:rsidRPr="00781112" w:rsidRDefault="00AE1972" w:rsidP="00AE1972">
      <w:pPr>
        <w:rPr>
          <w:color w:val="000000" w:themeColor="text1"/>
        </w:rPr>
      </w:pPr>
    </w:p>
    <w:p w14:paraId="1717717F" w14:textId="77777777" w:rsidR="00AE1972" w:rsidRPr="00781112" w:rsidRDefault="00AE1972" w:rsidP="00AE1972">
      <w:pPr>
        <w:rPr>
          <w:b/>
          <w:bCs/>
        </w:rPr>
      </w:pPr>
    </w:p>
    <w:p w14:paraId="7969DCFD" w14:textId="313BCCCE" w:rsidR="00AE1972" w:rsidRPr="00781112" w:rsidRDefault="00AE1972" w:rsidP="00AE1972">
      <w:pPr>
        <w:pStyle w:val="Heading2"/>
      </w:pPr>
      <w:r w:rsidRPr="00781112">
        <w:t>1</w:t>
      </w:r>
      <w:r w:rsidR="00B90835" w:rsidRPr="00781112">
        <w:t>7</w:t>
      </w:r>
      <w:r w:rsidRPr="00781112">
        <w:t xml:space="preserve"> - Prior FFY Required Actions</w:t>
      </w:r>
    </w:p>
    <w:p w14:paraId="6D4FDD87" w14:textId="61973738" w:rsidR="00AE1972" w:rsidRPr="00781112" w:rsidRDefault="00AE1972" w:rsidP="00AE1972">
      <w:pPr>
        <w:rPr>
          <w:color w:val="000000" w:themeColor="text1"/>
        </w:rPr>
      </w:pPr>
      <w:r w:rsidRPr="00781112">
        <w:rPr>
          <w:color w:val="000000" w:themeColor="text1"/>
        </w:rPr>
        <w:t>None</w:t>
      </w:r>
    </w:p>
    <w:p w14:paraId="26525888" w14:textId="754A2C29" w:rsidR="00AE1972" w:rsidRPr="00781112" w:rsidRDefault="00AE1972" w:rsidP="00AE1972">
      <w:pPr>
        <w:pStyle w:val="Heading2"/>
      </w:pPr>
      <w:r w:rsidRPr="00781112">
        <w:t>1</w:t>
      </w:r>
      <w:r w:rsidR="00B90835" w:rsidRPr="00781112">
        <w:t>7</w:t>
      </w:r>
      <w:r w:rsidRPr="00781112">
        <w:t xml:space="preserve"> - OSEP Response</w:t>
      </w:r>
    </w:p>
    <w:p w14:paraId="401B2D8D" w14:textId="470B927C" w:rsidR="00AE1972" w:rsidRPr="00781112" w:rsidRDefault="00AE1972" w:rsidP="00AE1972">
      <w:pPr>
        <w:rPr>
          <w:color w:val="000000" w:themeColor="text1"/>
        </w:rPr>
      </w:pPr>
    </w:p>
    <w:p w14:paraId="6DAF5363" w14:textId="73CEA9C3" w:rsidR="00AE1972" w:rsidRPr="00781112" w:rsidRDefault="00AE1972" w:rsidP="00AE1972">
      <w:pPr>
        <w:pStyle w:val="Heading2"/>
      </w:pPr>
      <w:r w:rsidRPr="00781112">
        <w:t>1</w:t>
      </w:r>
      <w:r w:rsidR="00B90835" w:rsidRPr="00781112">
        <w:t>7</w:t>
      </w:r>
      <w:r w:rsidRPr="00781112">
        <w:t xml:space="preserve"> - Required Actions</w:t>
      </w:r>
    </w:p>
    <w:p w14:paraId="54E94584" w14:textId="132794BB" w:rsidR="00066BAA" w:rsidRDefault="00066BAA" w:rsidP="000532EB">
      <w:pPr>
        <w:rPr>
          <w:color w:val="000000" w:themeColor="text1"/>
        </w:rPr>
      </w:pPr>
    </w:p>
    <w:p w14:paraId="23CCB9EC" w14:textId="19D3A83B" w:rsidR="007B2985" w:rsidRDefault="007B2985">
      <w:pPr>
        <w:spacing w:before="0" w:after="200" w:line="276" w:lineRule="auto"/>
        <w:rPr>
          <w:color w:val="000000" w:themeColor="text1"/>
        </w:rPr>
      </w:pPr>
      <w:r>
        <w:rPr>
          <w:color w:val="000000" w:themeColor="text1"/>
        </w:rPr>
        <w:br w:type="page"/>
      </w:r>
    </w:p>
    <w:p w14:paraId="456E6F1A" w14:textId="77777777" w:rsidR="00B9250E" w:rsidRDefault="00B9250E" w:rsidP="00B9250E">
      <w:pPr>
        <w:pStyle w:val="Heading1"/>
      </w:pPr>
      <w:bookmarkStart w:id="98" w:name="_Hlk173251796"/>
      <w:r>
        <w:lastRenderedPageBreak/>
        <w:t>Indicator 18: General Supervision</w:t>
      </w:r>
    </w:p>
    <w:bookmarkEnd w:id="98"/>
    <w:p w14:paraId="38A9004D" w14:textId="19D3A83B" w:rsidR="00B9250E" w:rsidRPr="002C274F" w:rsidRDefault="00B9250E" w:rsidP="002C274F">
      <w:pPr>
        <w:rPr>
          <w:b/>
          <w:bCs/>
          <w:sz w:val="20"/>
          <w:szCs w:val="20"/>
        </w:rPr>
      </w:pPr>
      <w:r w:rsidRPr="002C274F">
        <w:rPr>
          <w:b/>
          <w:bCs/>
          <w:sz w:val="20"/>
          <w:szCs w:val="20"/>
        </w:rPr>
        <w:t>Instructions and Measurement</w:t>
      </w:r>
    </w:p>
    <w:p w14:paraId="467D6B3B" w14:textId="77777777" w:rsidR="00B9250E" w:rsidRPr="00CB52C7" w:rsidRDefault="00B9250E" w:rsidP="00B9250E">
      <w:pPr>
        <w:keepNext/>
        <w:spacing w:after="0"/>
        <w:rPr>
          <w:rFonts w:eastAsia="Calibri" w:cs="Arial"/>
          <w:bCs/>
          <w:szCs w:val="16"/>
        </w:rPr>
      </w:pPr>
      <w:r w:rsidRPr="00CB52C7">
        <w:rPr>
          <w:rFonts w:eastAsia="Calibri" w:cs="Arial"/>
          <w:b/>
          <w:szCs w:val="16"/>
        </w:rPr>
        <w:t xml:space="preserve">Monitoring Priority: </w:t>
      </w:r>
      <w:r w:rsidRPr="00CB52C7">
        <w:rPr>
          <w:rFonts w:eastAsia="Calibri" w:cs="Arial"/>
          <w:bCs/>
          <w:szCs w:val="16"/>
        </w:rPr>
        <w:t>General Supervision</w:t>
      </w:r>
    </w:p>
    <w:p w14:paraId="5487876E" w14:textId="77777777" w:rsidR="00B9250E" w:rsidRPr="00CB52C7" w:rsidRDefault="00B9250E" w:rsidP="00B9250E">
      <w:pPr>
        <w:keepNext/>
        <w:spacing w:after="0"/>
        <w:rPr>
          <w:rFonts w:eastAsia="Calibri" w:cs="Arial"/>
          <w:bCs/>
          <w:szCs w:val="16"/>
        </w:rPr>
      </w:pPr>
      <w:r w:rsidRPr="00CB52C7">
        <w:rPr>
          <w:rFonts w:eastAsia="Calibri" w:cs="Arial"/>
          <w:b/>
          <w:szCs w:val="16"/>
        </w:rPr>
        <w:t xml:space="preserve">Compliance indicator: </w:t>
      </w:r>
      <w:r w:rsidRPr="00CB52C7">
        <w:rPr>
          <w:rFonts w:eastAsia="Calibri" w:cs="Arial"/>
          <w:bCs/>
          <w:szCs w:val="16"/>
        </w:rPr>
        <w:t>This SPP/APR indicator focuses on the State’s exercise of its general supervision responsibility to monitor its local educational agencies (LEAs) for requirements under Part B of the Individuals with Disabilities Education Act (IDEA) through the State’s reporting on timely correction of noncompliance (20 U.S.C. 1412(a)(11) and 1416(a); and 34 C.F.R. §§ 300.149, 300.600). In reporting on findings under this indicator, 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w:t>
      </w:r>
    </w:p>
    <w:p w14:paraId="6E636E5C" w14:textId="77777777" w:rsidR="00B9250E" w:rsidRPr="00CB52C7" w:rsidRDefault="00B9250E" w:rsidP="00B9250E">
      <w:pPr>
        <w:keepNext/>
        <w:spacing w:after="0"/>
        <w:rPr>
          <w:rFonts w:eastAsia="Calibri" w:cs="Arial"/>
          <w:b/>
          <w:szCs w:val="16"/>
        </w:rPr>
      </w:pPr>
      <w:r w:rsidRPr="00CB52C7">
        <w:rPr>
          <w:rFonts w:eastAsia="Calibri" w:cs="Arial"/>
          <w:b/>
          <w:szCs w:val="16"/>
        </w:rPr>
        <w:t>Data Source</w:t>
      </w:r>
    </w:p>
    <w:p w14:paraId="778DB2BC" w14:textId="77777777" w:rsidR="00B9250E" w:rsidRPr="00CB52C7" w:rsidRDefault="00B9250E" w:rsidP="00B9250E">
      <w:pPr>
        <w:rPr>
          <w:rFonts w:eastAsia="Calibri" w:cs="Arial"/>
          <w:b/>
          <w:szCs w:val="16"/>
        </w:rPr>
      </w:pPr>
      <w:r w:rsidRPr="00CB52C7">
        <w:rPr>
          <w:rFonts w:eastAsia="Calibri" w:cs="Arial"/>
          <w:bCs/>
          <w:szCs w:val="16"/>
        </w:rPr>
        <w:t>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 Provide the actual numbers used in the calculation. Include all findings of noncompliance regardless of the specific type and extent of noncompliance.</w:t>
      </w:r>
      <w:r w:rsidRPr="00CB52C7">
        <w:rPr>
          <w:rFonts w:eastAsia="Calibri" w:cs="Arial"/>
          <w:szCs w:val="16"/>
        </w:rPr>
        <w:cr/>
      </w:r>
      <w:r w:rsidRPr="00CB52C7">
        <w:rPr>
          <w:rFonts w:eastAsia="Calibri" w:cs="Arial"/>
          <w:b/>
          <w:szCs w:val="16"/>
        </w:rPr>
        <w:t>Measurement</w:t>
      </w:r>
    </w:p>
    <w:p w14:paraId="120EC51E" w14:textId="77777777" w:rsidR="00B9250E" w:rsidRPr="00CB52C7" w:rsidRDefault="00B9250E" w:rsidP="00B9250E">
      <w:pPr>
        <w:rPr>
          <w:rFonts w:eastAsia="Calibri" w:cs="Arial"/>
          <w:szCs w:val="16"/>
        </w:rPr>
      </w:pPr>
      <w:r w:rsidRPr="00CB52C7">
        <w:rPr>
          <w:rFonts w:eastAsia="Calibri" w:cs="Arial"/>
          <w:szCs w:val="16"/>
        </w:rPr>
        <w:t xml:space="preserve">This SPP/APR indicator requires the reporting on the percent of findings of noncompliance corrected within one year of identification: </w:t>
      </w:r>
    </w:p>
    <w:p w14:paraId="5BACDC40" w14:textId="77777777" w:rsidR="00B9250E" w:rsidRPr="00CB52C7" w:rsidRDefault="00B9250E" w:rsidP="00B9250E">
      <w:pPr>
        <w:keepNext/>
        <w:spacing w:after="0"/>
        <w:ind w:left="720" w:hanging="360"/>
        <w:rPr>
          <w:rFonts w:eastAsia="Calibri" w:cs="Arial"/>
          <w:szCs w:val="16"/>
        </w:rPr>
      </w:pPr>
      <w:r w:rsidRPr="00CB52C7">
        <w:rPr>
          <w:rFonts w:eastAsia="Calibri" w:cs="Arial"/>
          <w:szCs w:val="16"/>
        </w:rPr>
        <w:t>a. # of findings of noncompliance issued the prior Federal fiscal year (FFY) (e.g., for the FFY 2023 submission, use FFY 2022, July 1, 2022 – June 30, 2023)</w:t>
      </w:r>
    </w:p>
    <w:p w14:paraId="118A609D" w14:textId="77777777" w:rsidR="00B9250E" w:rsidRPr="00CB52C7" w:rsidRDefault="00B9250E" w:rsidP="00B9250E">
      <w:pPr>
        <w:keepNext/>
        <w:spacing w:after="0"/>
        <w:ind w:left="720" w:hanging="360"/>
        <w:rPr>
          <w:rFonts w:eastAsia="Calibri" w:cs="Arial"/>
          <w:szCs w:val="16"/>
        </w:rPr>
      </w:pPr>
      <w:r w:rsidRPr="00CB52C7">
        <w:rPr>
          <w:rFonts w:eastAsia="Calibri" w:cs="Arial"/>
          <w:szCs w:val="16"/>
        </w:rPr>
        <w:t>b. # of findings of noncompliance the State verified were corrected no later than one year after the State’s written notification of findings of noncompliance.</w:t>
      </w:r>
    </w:p>
    <w:p w14:paraId="488B2FED" w14:textId="2BA0A4C6" w:rsidR="008D02A5" w:rsidRDefault="00B9250E" w:rsidP="003E5D5A">
      <w:pPr>
        <w:ind w:firstLine="360"/>
        <w:rPr>
          <w:rFonts w:eastAsia="Calibri" w:cs="Arial"/>
          <w:szCs w:val="16"/>
        </w:rPr>
      </w:pPr>
      <w:r w:rsidRPr="00CB52C7">
        <w:rPr>
          <w:rFonts w:eastAsia="Calibri" w:cs="Arial"/>
          <w:szCs w:val="16"/>
        </w:rPr>
        <w:t>Percent = [(b) divided by (a)] times 100</w:t>
      </w:r>
    </w:p>
    <w:p w14:paraId="2076257A" w14:textId="664A05B9" w:rsidR="008D02A5" w:rsidRPr="003E5D5A" w:rsidRDefault="008D02A5" w:rsidP="00B9250E">
      <w:pPr>
        <w:rPr>
          <w:rFonts w:eastAsia="Calibri" w:cs="Arial"/>
          <w:i/>
          <w:iCs/>
          <w:szCs w:val="16"/>
        </w:rPr>
      </w:pPr>
      <w:r w:rsidRPr="008D02A5">
        <w:rPr>
          <w:rFonts w:eastAsia="Calibri" w:cs="Arial"/>
          <w:i/>
          <w:iCs/>
          <w:szCs w:val="16"/>
        </w:rPr>
        <w:t xml:space="preserve">States are required to complete the General Supervision Data Table within the online reporting tool. </w:t>
      </w:r>
    </w:p>
    <w:p w14:paraId="04A926F4" w14:textId="3342B067" w:rsidR="00B9250E" w:rsidRPr="00CB52C7" w:rsidRDefault="00B9250E" w:rsidP="00B9250E">
      <w:pPr>
        <w:rPr>
          <w:rFonts w:eastAsia="Calibri" w:cs="Arial"/>
          <w:b/>
          <w:szCs w:val="16"/>
        </w:rPr>
      </w:pPr>
      <w:r w:rsidRPr="00CB52C7">
        <w:rPr>
          <w:rFonts w:eastAsia="Calibri" w:cs="Arial"/>
          <w:b/>
          <w:szCs w:val="16"/>
        </w:rPr>
        <w:t>Instructions</w:t>
      </w:r>
    </w:p>
    <w:p w14:paraId="68480FCB" w14:textId="0FCC4FB2" w:rsidR="00B9250E" w:rsidRPr="00CB52C7" w:rsidRDefault="00B9250E" w:rsidP="00B9250E">
      <w:pPr>
        <w:rPr>
          <w:rFonts w:eastAsia="Calibri" w:cs="Arial"/>
          <w:szCs w:val="16"/>
        </w:rPr>
      </w:pPr>
      <w:r w:rsidRPr="00CB52C7">
        <w:rPr>
          <w:rFonts w:eastAsia="Calibri" w:cs="Arial"/>
          <w:szCs w:val="16"/>
        </w:rPr>
        <w:t>Baseline Data: The State must provide baseline data expressed as a percentage. OSEP assumes that the State’s FFY 2023 data for this indicator is the State’s baseline data unless the State provides an explanation for using other baseline data.</w:t>
      </w:r>
    </w:p>
    <w:p w14:paraId="2F92BE95" w14:textId="107ECEA7" w:rsidR="00B9250E" w:rsidRPr="00CB52C7" w:rsidRDefault="00B9250E" w:rsidP="00B9250E">
      <w:pPr>
        <w:rPr>
          <w:rFonts w:eastAsia="Calibri" w:cs="Arial"/>
          <w:szCs w:val="16"/>
        </w:rPr>
      </w:pPr>
      <w:r w:rsidRPr="00CB52C7">
        <w:rPr>
          <w:rFonts w:eastAsia="Calibri" w:cs="Arial"/>
          <w:szCs w:val="16"/>
        </w:rPr>
        <w:t>Targets must be 100%.</w:t>
      </w:r>
    </w:p>
    <w:p w14:paraId="2BA619D2" w14:textId="28FE7489" w:rsidR="00B9250E" w:rsidRPr="00CB52C7" w:rsidRDefault="00B9250E" w:rsidP="00B9250E">
      <w:pPr>
        <w:rPr>
          <w:rFonts w:eastAsia="Calibri" w:cs="Arial"/>
          <w:szCs w:val="16"/>
        </w:rPr>
      </w:pPr>
      <w:r w:rsidRPr="00CB52C7">
        <w:rPr>
          <w:rFonts w:eastAsia="Calibri" w:cs="Arial"/>
          <w:szCs w:val="16"/>
        </w:rPr>
        <w:t>Report in Column A the total number of findings of noncompliance made in FFY 2022 (July 1, 2022 – June 30, 2023) and report in Column B the number of those findings which were timely corrected, as soon as possible and in no case later than one year after the State’s written notification of noncompliance.</w:t>
      </w:r>
    </w:p>
    <w:p w14:paraId="1E394FE7" w14:textId="77777777" w:rsidR="00B9250E" w:rsidRPr="00CB52C7" w:rsidRDefault="00B9250E" w:rsidP="00B9250E">
      <w:pPr>
        <w:rPr>
          <w:rFonts w:eastAsia="Calibri" w:cs="Arial"/>
          <w:szCs w:val="16"/>
        </w:rPr>
      </w:pPr>
      <w:r w:rsidRPr="00CB52C7">
        <w:rPr>
          <w:rFonts w:eastAsia="Calibri" w:cs="Arial"/>
          <w:szCs w:val="16"/>
        </w:rPr>
        <w:t>Starting with the FFY 2023 SPP/APR, States will be required to report on the correction of noncompliance related to compliance indicators 4B, 9, 10, 11, 12, and 13 based on findings issued in FFY 2022. Under each compliance indicator, States report on the correction of noncompliance for that specific indicator. However, in this general supervision Indicator 18, States report on both those findings as well as any additional findings that the State issued related to that compliance indicator.</w:t>
      </w:r>
    </w:p>
    <w:p w14:paraId="17BB16C1" w14:textId="22B7ACFB" w:rsidR="00B9250E" w:rsidRPr="00CB52C7" w:rsidRDefault="00B9250E" w:rsidP="00B9250E">
      <w:pPr>
        <w:rPr>
          <w:rFonts w:eastAsia="Calibri" w:cs="Arial"/>
          <w:szCs w:val="16"/>
        </w:rPr>
      </w:pPr>
      <w:r w:rsidRPr="00CB52C7">
        <w:rPr>
          <w:rFonts w:eastAsia="Calibri" w:cs="Arial"/>
          <w:szCs w:val="16"/>
        </w:rPr>
        <w:t>In the last row of this General Supervision Data Table, States may also provide additional information related to other findings of noncompliance that are not specific to the compliance indicators. This row would include reporting on all other findings of noncompliance that were not reported by the State under the compliance indicators listed below (e.g., Results indicators (including related requirements), Fiscal, Dispute Resolution, etc.). In future years (e.g., with the FFY 2026 SPP/APR), States may be required to further disaggregate findings by results indicators (1, 2, 3, 4A, 5, 6, 7, 8, 14, 15, 16, and 17), fiscal and other areas.</w:t>
      </w:r>
    </w:p>
    <w:p w14:paraId="7F64A8AD" w14:textId="77777777" w:rsidR="00B9250E" w:rsidRPr="00CB52C7" w:rsidRDefault="00B9250E" w:rsidP="00B9250E">
      <w:pPr>
        <w:rPr>
          <w:rFonts w:eastAsia="Calibri" w:cs="Arial"/>
          <w:szCs w:val="16"/>
        </w:rPr>
      </w:pPr>
      <w:r w:rsidRPr="00CB52C7">
        <w:rPr>
          <w:rFonts w:eastAsia="Calibri" w:cs="Arial"/>
          <w:szCs w:val="16"/>
        </w:rPr>
        <w:t>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14:paraId="53A7E863" w14:textId="386B971D" w:rsidR="00B9250E" w:rsidRPr="00CB52C7" w:rsidRDefault="00C615CF" w:rsidP="007F76DD">
      <w:pPr>
        <w:pStyle w:val="Heading2"/>
      </w:pPr>
      <w:r>
        <w:t xml:space="preserve">18 - </w:t>
      </w:r>
      <w:r w:rsidR="00B9250E" w:rsidRPr="00CB52C7">
        <w:t>Indicator Data</w:t>
      </w:r>
    </w:p>
    <w:p w14:paraId="7C523773" w14:textId="77777777" w:rsidR="00B9250E" w:rsidRPr="00CB52C7" w:rsidRDefault="00B9250E" w:rsidP="00C144F3">
      <w:pPr>
        <w:keepNext/>
        <w:rPr>
          <w:rFonts w:eastAsia="Calibri" w:cs="Arial"/>
          <w:b/>
          <w:szCs w:val="16"/>
        </w:rPr>
      </w:pPr>
      <w:r w:rsidRPr="00CB52C7">
        <w:rPr>
          <w:rFonts w:eastAsia="Calibri" w:cs="Arial"/>
          <w:b/>
          <w:szCs w:val="16"/>
        </w:rPr>
        <w:t>Historical Data</w:t>
      </w:r>
    </w:p>
    <w:tbl>
      <w:tblPr>
        <w:tblStyle w:val="TableGrid"/>
        <w:tblW w:w="0" w:type="auto"/>
        <w:tblLayout w:type="fixed"/>
        <w:tblLook w:val="04A0" w:firstRow="1" w:lastRow="0" w:firstColumn="1" w:lastColumn="0" w:noHBand="0" w:noVBand="1"/>
        <w:tblCaption w:val="B18HISTORICALDATA"/>
      </w:tblPr>
      <w:tblGrid>
        <w:gridCol w:w="1797"/>
        <w:gridCol w:w="1798"/>
      </w:tblGrid>
      <w:tr w:rsidR="00B9250E" w:rsidRPr="00CB52C7" w14:paraId="6CA62A6B" w14:textId="77777777" w:rsidTr="00C144F3">
        <w:trPr>
          <w:trHeight w:val="360"/>
          <w:tblHeader/>
        </w:trPr>
        <w:tc>
          <w:tcPr>
            <w:tcW w:w="1797" w:type="dxa"/>
          </w:tcPr>
          <w:p w14:paraId="79262C56" w14:textId="77777777" w:rsidR="00B9250E" w:rsidRPr="00CB52C7" w:rsidRDefault="00B9250E">
            <w:pPr>
              <w:jc w:val="center"/>
              <w:rPr>
                <w:rFonts w:eastAsia="Calibri" w:cs="Arial"/>
                <w:b/>
                <w:color w:val="000000"/>
                <w:szCs w:val="16"/>
              </w:rPr>
            </w:pPr>
            <w:r w:rsidRPr="00CB52C7">
              <w:rPr>
                <w:rFonts w:eastAsia="Calibri" w:cs="Arial"/>
                <w:b/>
                <w:color w:val="000000"/>
                <w:szCs w:val="16"/>
              </w:rPr>
              <w:t>Baseline Year</w:t>
            </w:r>
          </w:p>
        </w:tc>
        <w:tc>
          <w:tcPr>
            <w:tcW w:w="1798" w:type="dxa"/>
          </w:tcPr>
          <w:p w14:paraId="487FDF4B" w14:textId="77777777" w:rsidR="00B9250E" w:rsidRPr="00CB52C7" w:rsidRDefault="00B9250E">
            <w:pPr>
              <w:jc w:val="center"/>
              <w:rPr>
                <w:rFonts w:eastAsia="Calibri" w:cs="Arial"/>
                <w:b/>
                <w:color w:val="000000"/>
                <w:szCs w:val="16"/>
              </w:rPr>
            </w:pPr>
            <w:r w:rsidRPr="00CB52C7">
              <w:rPr>
                <w:rFonts w:eastAsia="Calibri" w:cs="Arial"/>
                <w:b/>
                <w:color w:val="000000"/>
                <w:szCs w:val="16"/>
              </w:rPr>
              <w:t>Baseline Data</w:t>
            </w:r>
          </w:p>
        </w:tc>
      </w:tr>
      <w:tr w:rsidR="00AA0F28" w:rsidRPr="00CB52C7" w14:paraId="10EB3A3C" w14:textId="77777777" w:rsidTr="00C144F3">
        <w:trPr>
          <w:trHeight w:val="360"/>
          <w:tblHeader/>
        </w:trPr>
        <w:tc>
          <w:tcPr>
            <w:tcW w:w="1797" w:type="dxa"/>
            <w:shd w:val="clear" w:color="auto" w:fill="auto"/>
          </w:tcPr>
          <w:p w14:paraId="3DB63379" w14:textId="32371D4A" w:rsidR="00AA0F28" w:rsidRPr="00CB52C7" w:rsidRDefault="00AA0F28" w:rsidP="00AA0F28">
            <w:pPr>
              <w:jc w:val="center"/>
              <w:rPr>
                <w:rFonts w:eastAsia="Calibri" w:cs="Arial"/>
                <w:b/>
                <w:color w:val="000000"/>
                <w:szCs w:val="16"/>
              </w:rPr>
            </w:pPr>
            <w:r w:rsidRPr="00ED172B">
              <w:rPr>
                <w:color w:val="000000" w:themeColor="text1"/>
              </w:rPr>
              <w:t>2023</w:t>
            </w:r>
          </w:p>
        </w:tc>
        <w:tc>
          <w:tcPr>
            <w:tcW w:w="1798" w:type="dxa"/>
            <w:shd w:val="clear" w:color="auto" w:fill="auto"/>
            <w:vAlign w:val="center"/>
          </w:tcPr>
          <w:p w14:paraId="11E17251" w14:textId="44164363" w:rsidR="00AA0F28" w:rsidRPr="00CB52C7" w:rsidRDefault="00AA0F28" w:rsidP="00AA0F28">
            <w:pPr>
              <w:jc w:val="center"/>
              <w:rPr>
                <w:rFonts w:eastAsia="Calibri" w:cs="Arial"/>
                <w:b/>
                <w:color w:val="000000"/>
                <w:szCs w:val="16"/>
              </w:rPr>
            </w:pPr>
            <w:r w:rsidRPr="00ED172B">
              <w:rPr>
                <w:color w:val="000000" w:themeColor="text1"/>
              </w:rPr>
              <w:t>98.21%</w:t>
            </w:r>
          </w:p>
        </w:tc>
      </w:tr>
    </w:tbl>
    <w:p w14:paraId="2B25DB1A" w14:textId="77777777" w:rsidR="00B9250E" w:rsidRPr="00CB52C7" w:rsidRDefault="00B9250E" w:rsidP="00B9250E">
      <w:pPr>
        <w:keepNext/>
        <w:spacing w:after="0"/>
        <w:rPr>
          <w:rFonts w:eastAsia="Calibri" w:cs="Arial"/>
          <w:b/>
          <w:szCs w:val="16"/>
        </w:rPr>
      </w:pPr>
    </w:p>
    <w:p w14:paraId="66533CF9" w14:textId="77777777" w:rsidR="00B9250E" w:rsidRPr="00CB52C7" w:rsidRDefault="00B9250E" w:rsidP="001C2EC2">
      <w:pPr>
        <w:rPr>
          <w:rFonts w:eastAsia="Calibri" w:cs="Arial"/>
          <w:b/>
          <w:szCs w:val="16"/>
        </w:rPr>
      </w:pPr>
      <w:r w:rsidRPr="00CB52C7">
        <w:rPr>
          <w:rFonts w:eastAsia="Calibri" w:cs="Arial"/>
          <w:b/>
          <w:szCs w:val="16"/>
        </w:rPr>
        <w:t>Targets</w:t>
      </w:r>
    </w:p>
    <w:tbl>
      <w:tblPr>
        <w:tblStyle w:val="TableGrid1"/>
        <w:tblW w:w="4151" w:type="pct"/>
        <w:tblLook w:val="0020" w:firstRow="1" w:lastRow="0" w:firstColumn="0" w:lastColumn="0" w:noHBand="0" w:noVBand="0"/>
        <w:tblCaption w:val="B18TARGETS"/>
      </w:tblPr>
      <w:tblGrid>
        <w:gridCol w:w="706"/>
        <w:gridCol w:w="2467"/>
        <w:gridCol w:w="2644"/>
        <w:gridCol w:w="3141"/>
      </w:tblGrid>
      <w:tr w:rsidR="00211C03" w:rsidRPr="00CB52C7" w14:paraId="3050C234" w14:textId="77777777" w:rsidTr="00C144F3">
        <w:trPr>
          <w:trHeight w:val="350"/>
        </w:trPr>
        <w:tc>
          <w:tcPr>
            <w:tcW w:w="394" w:type="pct"/>
          </w:tcPr>
          <w:p w14:paraId="22571611" w14:textId="77777777" w:rsidR="00211C03" w:rsidRPr="00CB52C7" w:rsidRDefault="00211C03" w:rsidP="00211C03">
            <w:pPr>
              <w:keepNext/>
              <w:jc w:val="center"/>
              <w:rPr>
                <w:rFonts w:eastAsia="Calibri" w:cs="Arial"/>
                <w:b/>
                <w:szCs w:val="16"/>
              </w:rPr>
            </w:pPr>
            <w:r w:rsidRPr="00CB52C7">
              <w:rPr>
                <w:rFonts w:eastAsia="Calibri" w:cs="Arial"/>
                <w:b/>
                <w:szCs w:val="16"/>
              </w:rPr>
              <w:t>FFY</w:t>
            </w:r>
          </w:p>
        </w:tc>
        <w:tc>
          <w:tcPr>
            <w:tcW w:w="1377" w:type="pct"/>
            <w:vAlign w:val="center"/>
          </w:tcPr>
          <w:p w14:paraId="01F65C73" w14:textId="01202AEE" w:rsidR="00211C03" w:rsidRPr="00CB52C7" w:rsidRDefault="00211C03" w:rsidP="00211C03">
            <w:pPr>
              <w:keepNext/>
              <w:jc w:val="center"/>
              <w:rPr>
                <w:rFonts w:eastAsia="Calibri" w:cs="Arial"/>
                <w:b/>
                <w:bCs/>
                <w:szCs w:val="16"/>
              </w:rPr>
            </w:pPr>
            <w:r w:rsidRPr="00781112">
              <w:rPr>
                <w:b/>
                <w:color w:val="000000" w:themeColor="text1"/>
              </w:rPr>
              <w:t>2023</w:t>
            </w:r>
          </w:p>
        </w:tc>
        <w:tc>
          <w:tcPr>
            <w:tcW w:w="1476" w:type="pct"/>
          </w:tcPr>
          <w:p w14:paraId="63456C2F" w14:textId="2C88E5A0" w:rsidR="00211C03" w:rsidRPr="00CB52C7" w:rsidDel="00654CAF" w:rsidRDefault="00211C03" w:rsidP="00211C03">
            <w:pPr>
              <w:keepNext/>
              <w:jc w:val="center"/>
              <w:rPr>
                <w:rFonts w:eastAsia="Calibri" w:cs="Arial"/>
                <w:b/>
                <w:bCs/>
                <w:szCs w:val="16"/>
              </w:rPr>
            </w:pPr>
            <w:r w:rsidRPr="00781112">
              <w:rPr>
                <w:rFonts w:cs="Arial"/>
                <w:b/>
                <w:color w:val="000000" w:themeColor="text1"/>
                <w:szCs w:val="16"/>
              </w:rPr>
              <w:t>2024</w:t>
            </w:r>
          </w:p>
        </w:tc>
        <w:tc>
          <w:tcPr>
            <w:tcW w:w="1754" w:type="pct"/>
          </w:tcPr>
          <w:p w14:paraId="7954410F" w14:textId="504B6012" w:rsidR="00211C03" w:rsidRPr="00CB52C7" w:rsidDel="00654CAF" w:rsidRDefault="00211C03" w:rsidP="00211C03">
            <w:pPr>
              <w:keepNext/>
              <w:jc w:val="center"/>
              <w:rPr>
                <w:rFonts w:eastAsia="Calibri" w:cs="Arial"/>
                <w:b/>
                <w:bCs/>
                <w:szCs w:val="16"/>
              </w:rPr>
            </w:pPr>
            <w:r w:rsidRPr="00781112">
              <w:rPr>
                <w:rFonts w:cs="Arial"/>
                <w:b/>
                <w:color w:val="000000" w:themeColor="text1"/>
                <w:szCs w:val="16"/>
              </w:rPr>
              <w:t>2025</w:t>
            </w:r>
          </w:p>
        </w:tc>
      </w:tr>
      <w:tr w:rsidR="00AA0F28" w:rsidRPr="00CB52C7" w14:paraId="13044C61" w14:textId="77777777" w:rsidTr="00C144F3">
        <w:trPr>
          <w:trHeight w:val="357"/>
        </w:trPr>
        <w:tc>
          <w:tcPr>
            <w:tcW w:w="394" w:type="pct"/>
          </w:tcPr>
          <w:p w14:paraId="25371225" w14:textId="77777777" w:rsidR="00AA0F28" w:rsidRPr="00C85110" w:rsidRDefault="00AA0F28" w:rsidP="00AA0F28">
            <w:pPr>
              <w:rPr>
                <w:rFonts w:eastAsia="Calibri" w:cs="Arial"/>
                <w:b/>
                <w:bCs/>
                <w:szCs w:val="16"/>
              </w:rPr>
            </w:pPr>
            <w:r w:rsidRPr="00C85110">
              <w:rPr>
                <w:rFonts w:eastAsia="Calibri" w:cs="Arial"/>
                <w:b/>
                <w:bCs/>
                <w:szCs w:val="16"/>
              </w:rPr>
              <w:t>Target</w:t>
            </w:r>
          </w:p>
        </w:tc>
        <w:tc>
          <w:tcPr>
            <w:tcW w:w="1377" w:type="pct"/>
            <w:vAlign w:val="center"/>
          </w:tcPr>
          <w:p w14:paraId="4CBFD355" w14:textId="2FFE547A" w:rsidR="00AA0F28" w:rsidRPr="00CB52C7" w:rsidRDefault="00AA0F28" w:rsidP="00AA0F28">
            <w:pPr>
              <w:jc w:val="center"/>
              <w:rPr>
                <w:rFonts w:eastAsia="Calibri" w:cs="Arial"/>
                <w:caps/>
                <w:color w:val="548DD4"/>
                <w:szCs w:val="16"/>
              </w:rPr>
            </w:pPr>
            <w:r w:rsidRPr="00ED172B">
              <w:rPr>
                <w:color w:val="000000" w:themeColor="text1"/>
              </w:rPr>
              <w:t>100%</w:t>
            </w:r>
          </w:p>
        </w:tc>
        <w:tc>
          <w:tcPr>
            <w:tcW w:w="1476" w:type="pct"/>
          </w:tcPr>
          <w:p w14:paraId="761B3F10" w14:textId="112DA712" w:rsidR="00AA0F28" w:rsidRPr="00CB52C7" w:rsidRDefault="00AA0F28" w:rsidP="00AA0F28">
            <w:pPr>
              <w:jc w:val="center"/>
              <w:rPr>
                <w:rFonts w:eastAsia="Calibri" w:cs="Arial"/>
                <w:caps/>
                <w:color w:val="548DD4"/>
                <w:szCs w:val="16"/>
              </w:rPr>
            </w:pPr>
            <w:r>
              <w:rPr>
                <w:rFonts w:cs="Arial"/>
                <w:color w:val="000000" w:themeColor="text1"/>
                <w:szCs w:val="16"/>
              </w:rPr>
              <w:t>100%</w:t>
            </w:r>
          </w:p>
        </w:tc>
        <w:tc>
          <w:tcPr>
            <w:tcW w:w="1754" w:type="pct"/>
          </w:tcPr>
          <w:p w14:paraId="0E4F4B31" w14:textId="5A5D7544" w:rsidR="00AA0F28" w:rsidRPr="00CB52C7" w:rsidRDefault="00AA0F28" w:rsidP="00AA0F28">
            <w:pPr>
              <w:jc w:val="center"/>
              <w:rPr>
                <w:rFonts w:eastAsia="Calibri" w:cs="Arial"/>
                <w:caps/>
                <w:color w:val="548DD4"/>
                <w:szCs w:val="16"/>
              </w:rPr>
            </w:pPr>
            <w:r w:rsidRPr="005F5F3C">
              <w:rPr>
                <w:rFonts w:cs="Arial"/>
                <w:color w:val="000000" w:themeColor="text1"/>
                <w:szCs w:val="16"/>
              </w:rPr>
              <w:t>100%</w:t>
            </w:r>
          </w:p>
        </w:tc>
      </w:tr>
    </w:tbl>
    <w:p w14:paraId="26F2D3D8" w14:textId="77777777" w:rsidR="00B9250E" w:rsidRPr="00CB52C7" w:rsidRDefault="00B9250E" w:rsidP="00B9250E">
      <w:pPr>
        <w:rPr>
          <w:rFonts w:eastAsia="Calibri" w:cs="Arial"/>
          <w:b/>
          <w:szCs w:val="16"/>
        </w:rPr>
      </w:pPr>
    </w:p>
    <w:p w14:paraId="7EB85454" w14:textId="678925A3"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4B. Percent of LEAs that have: (a) a significant discrepancy, as defined by the State, by race or ethnicity, in the rate of suspensions and expulsions of greater than 10 days in a school year for children with IEPs; and (b) policies, procedures or practices that contribute to the significant discrepancy, as defined by the State, and do not comply with requirements relating to the development and implementation of IEPs, the use of positive behavioral interventions and supports, and procedural safeguards.. (20 U.S.C. 1416(a)(3)(A); 1412(a)(22))</w:t>
      </w:r>
    </w:p>
    <w:p w14:paraId="0088157A" w14:textId="3B13E8D9" w:rsidR="00B9250E" w:rsidRPr="00CB52C7" w:rsidRDefault="00B9250E" w:rsidP="00C144F3">
      <w:pPr>
        <w:jc w:val="both"/>
        <w:textAlignment w:val="baseline"/>
        <w:rPr>
          <w:rFonts w:eastAsia="Calibri" w:cs="Arial"/>
          <w:b/>
          <w:szCs w:val="16"/>
        </w:rPr>
      </w:pPr>
      <w:bookmarkStart w:id="99" w:name="_Hlk175325033"/>
      <w:r w:rsidRPr="00CB52C7">
        <w:rPr>
          <w:rFonts w:eastAsia="Times New Roman" w:cs="Arial"/>
          <w:b/>
          <w:bCs/>
          <w:szCs w:val="16"/>
        </w:rPr>
        <w:t>Findings of Noncompliance Identified in FFY 2022</w:t>
      </w:r>
    </w:p>
    <w:tbl>
      <w:tblPr>
        <w:tblStyle w:val="TableGrid"/>
        <w:tblW w:w="0" w:type="auto"/>
        <w:tblLook w:val="04A0" w:firstRow="1" w:lastRow="0" w:firstColumn="1" w:lastColumn="0" w:noHBand="0" w:noVBand="1"/>
        <w:tblCaption w:val="B18FINDINGSOFNONCOMPLIANCEIND4B"/>
      </w:tblPr>
      <w:tblGrid>
        <w:gridCol w:w="1815"/>
        <w:gridCol w:w="2440"/>
        <w:gridCol w:w="2233"/>
        <w:gridCol w:w="2233"/>
        <w:gridCol w:w="2069"/>
      </w:tblGrid>
      <w:tr w:rsidR="000439AF" w:rsidRPr="00CB52C7" w14:paraId="353A6F30" w14:textId="77777777" w:rsidTr="00C144F3">
        <w:trPr>
          <w:trHeight w:val="360"/>
          <w:tblHeader/>
        </w:trPr>
        <w:tc>
          <w:tcPr>
            <w:tcW w:w="0" w:type="auto"/>
          </w:tcPr>
          <w:bookmarkEnd w:id="99"/>
          <w:p w14:paraId="1C754ADF" w14:textId="3E5FED36" w:rsidR="00F8304E" w:rsidRPr="00CB52C7" w:rsidRDefault="00F8304E" w:rsidP="00F8304E">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0" w:type="auto"/>
          </w:tcPr>
          <w:p w14:paraId="7A3E3F5F" w14:textId="3506A826"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0" w:type="auto"/>
          </w:tcPr>
          <w:p w14:paraId="6D0D1B9B" w14:textId="2B056E4B"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0" w:type="auto"/>
          </w:tcPr>
          <w:p w14:paraId="499A52DA" w14:textId="10706935"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0" w:type="auto"/>
          </w:tcPr>
          <w:p w14:paraId="21800FA9" w14:textId="1257D06F" w:rsidR="00F8304E" w:rsidRPr="00CB52C7" w:rsidRDefault="00F8304E" w:rsidP="00E8722F">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0439AF" w:rsidRPr="00C85110" w14:paraId="525F16C8" w14:textId="77777777" w:rsidTr="00C144F3">
        <w:trPr>
          <w:trHeight w:val="360"/>
          <w:tblHeader/>
        </w:trPr>
        <w:tc>
          <w:tcPr>
            <w:tcW w:w="0" w:type="auto"/>
            <w:shd w:val="clear" w:color="auto" w:fill="auto"/>
          </w:tcPr>
          <w:p w14:paraId="2A8EE300" w14:textId="3B8F4387" w:rsidR="00AA0F28" w:rsidRPr="00CB52C7" w:rsidRDefault="00AA0F28" w:rsidP="00AA0F28">
            <w:pPr>
              <w:jc w:val="center"/>
              <w:textAlignment w:val="baseline"/>
              <w:rPr>
                <w:rFonts w:eastAsia="Times New Roman" w:cs="Arial"/>
                <w:b/>
                <w:bCs/>
                <w:szCs w:val="16"/>
              </w:rPr>
            </w:pPr>
            <w:r w:rsidRPr="00ED172B">
              <w:rPr>
                <w:rFonts w:cs="Arial"/>
                <w:color w:val="000000" w:themeColor="text1"/>
                <w:szCs w:val="16"/>
              </w:rPr>
              <w:t>2</w:t>
            </w:r>
          </w:p>
        </w:tc>
        <w:tc>
          <w:tcPr>
            <w:tcW w:w="0" w:type="auto"/>
            <w:shd w:val="clear" w:color="auto" w:fill="auto"/>
          </w:tcPr>
          <w:p w14:paraId="46A7327E" w14:textId="26E194BE"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0</w:t>
            </w:r>
          </w:p>
        </w:tc>
        <w:tc>
          <w:tcPr>
            <w:tcW w:w="0" w:type="auto"/>
            <w:shd w:val="clear" w:color="auto" w:fill="auto"/>
          </w:tcPr>
          <w:p w14:paraId="1748EE28" w14:textId="20855C75" w:rsidR="00AA0F28" w:rsidRPr="00CB52C7" w:rsidRDefault="00AA0F28" w:rsidP="00AA0F28">
            <w:pPr>
              <w:jc w:val="center"/>
              <w:textAlignment w:val="baseline"/>
              <w:rPr>
                <w:rFonts w:eastAsia="Times New Roman" w:cs="Arial"/>
                <w:b/>
                <w:bCs/>
                <w:szCs w:val="16"/>
              </w:rPr>
            </w:pPr>
            <w:r w:rsidRPr="00ED172B">
              <w:rPr>
                <w:rFonts w:cs="Arial"/>
                <w:color w:val="000000" w:themeColor="text1"/>
                <w:szCs w:val="16"/>
              </w:rPr>
              <w:t>2</w:t>
            </w:r>
          </w:p>
        </w:tc>
        <w:tc>
          <w:tcPr>
            <w:tcW w:w="0" w:type="auto"/>
            <w:shd w:val="clear" w:color="auto" w:fill="auto"/>
          </w:tcPr>
          <w:p w14:paraId="63E53AF6" w14:textId="3713F37F" w:rsidR="00AA0F28" w:rsidRPr="00CB52C7" w:rsidRDefault="00AA0F28" w:rsidP="00AA0F28">
            <w:pPr>
              <w:jc w:val="center"/>
              <w:textAlignment w:val="baseline"/>
              <w:rPr>
                <w:rFonts w:eastAsia="Times New Roman" w:cs="Arial"/>
                <w:b/>
                <w:bCs/>
                <w:szCs w:val="16"/>
              </w:rPr>
            </w:pPr>
            <w:r>
              <w:rPr>
                <w:rFonts w:eastAsia="Times New Roman" w:cs="Arial"/>
                <w:szCs w:val="16"/>
              </w:rPr>
              <w:t>0</w:t>
            </w:r>
          </w:p>
        </w:tc>
        <w:tc>
          <w:tcPr>
            <w:tcW w:w="0" w:type="auto"/>
            <w:shd w:val="clear" w:color="auto" w:fill="auto"/>
          </w:tcPr>
          <w:p w14:paraId="6C13E5AD" w14:textId="13712B00" w:rsidR="00AA0F28" w:rsidRPr="00A964C2" w:rsidRDefault="00AA0F28" w:rsidP="00AA0F28">
            <w:pPr>
              <w:jc w:val="center"/>
              <w:textAlignment w:val="baseline"/>
              <w:rPr>
                <w:rFonts w:eastAsia="Times New Roman" w:cs="Arial"/>
                <w:b/>
                <w:bCs/>
                <w:szCs w:val="16"/>
              </w:rPr>
            </w:pPr>
            <w:r w:rsidRPr="00A964C2">
              <w:rPr>
                <w:rFonts w:eastAsia="Times New Roman" w:cs="Arial"/>
                <w:szCs w:val="16"/>
              </w:rPr>
              <w:t>0</w:t>
            </w:r>
          </w:p>
        </w:tc>
      </w:tr>
    </w:tbl>
    <w:p w14:paraId="203EEF2B" w14:textId="77777777" w:rsidR="0079169F" w:rsidRDefault="0079169F" w:rsidP="001C2EC2">
      <w:pPr>
        <w:keepNext/>
        <w:rPr>
          <w:rFonts w:eastAsia="Times New Roman" w:cs="Arial"/>
          <w:b/>
          <w:szCs w:val="16"/>
        </w:rPr>
      </w:pPr>
    </w:p>
    <w:p w14:paraId="4FB705C4" w14:textId="765C2097"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4B due to various factors (e.g., additional findings related to other IDEA requirements).</w:t>
      </w:r>
    </w:p>
    <w:p w14:paraId="4ECC4213" w14:textId="20EC4D28" w:rsidR="00A9475A" w:rsidRPr="00C144F3" w:rsidRDefault="000439AF" w:rsidP="00C144F3">
      <w:pPr>
        <w:keepNext/>
        <w:rPr>
          <w:rFonts w:eastAsia="Times New Roman" w:cs="Arial"/>
          <w:bCs/>
          <w:szCs w:val="16"/>
        </w:rPr>
      </w:pPr>
      <w:r>
        <w:rPr>
          <w:rFonts w:eastAsia="Times New Roman" w:cs="Arial"/>
          <w:bCs/>
          <w:szCs w:val="16"/>
        </w:rPr>
        <w:t>There are no differences in the number of findings reported in this data table and those reported in Indicator 4B.</w:t>
      </w:r>
    </w:p>
    <w:p w14:paraId="1FBD5E6E" w14:textId="2C6B01AD"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26677C25" w14:textId="49DB3D35" w:rsidR="00B9250E" w:rsidRDefault="00B9250E" w:rsidP="00C144F3">
      <w:pPr>
        <w:spacing w:line="276" w:lineRule="auto"/>
        <w:rPr>
          <w:color w:val="000000" w:themeColor="text1"/>
        </w:rPr>
      </w:pPr>
      <w:r>
        <w:rPr>
          <w:color w:val="000000" w:themeColor="text1"/>
        </w:rPr>
        <w:t>Correct implementation of the specific regulatory requirements was verified through a review of updated data for the two (2) LEAs identified as having a significant discrepancy in FFY 2022. Additional student files for each race/ethnicity category identified with a significant discrepancy were reviewed by WVDE/OSE to verify correct implementation of the regulatory requirements for each issue identified in the initial file reviews. Ongoing feedback and technical assistance were provided by WVDE/OSE after each subsequent review. Upon completion of subsequent reviews, WVDE/OSE verified that the two (2) LEAs were each correctly implementing state and federal regulatory requirements consistent with OSEP QA 23-01.</w:t>
      </w:r>
    </w:p>
    <w:p w14:paraId="6D9CAD07" w14:textId="202C250A"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57D03B17" w14:textId="56487A8F" w:rsidR="00B9250E" w:rsidRDefault="00B9250E" w:rsidP="00C144F3">
      <w:pPr>
        <w:spacing w:line="276" w:lineRule="auto"/>
        <w:rPr>
          <w:color w:val="000000" w:themeColor="text1"/>
        </w:rPr>
      </w:pPr>
      <w:r>
        <w:rPr>
          <w:color w:val="000000" w:themeColor="text1"/>
        </w:rPr>
        <w:t>Of the fourteen (14) individual cases of noncompliance from the two (2) LEAs identified as having a significant discrepancy, WVDE/OSE verified through a subsequent review of updated data obtained from WVEIS, documentation submitted by the LEAs, or an on-site visit, that four (4) students were no longer within the jurisdiction of the LEAs, and that the other ten (10) individual cases of noncompliance were verified as corrected when those students were no longer being suspended/expelled for more than 10 days in a school year, if the individual corrections to the previously noncompliant procedures and practices were completed and verified, or, if suspensions/expulsions exceeded 10 days, the subsequent reviews of those student files indicated compliance with the relevant regulatory requirements, consistent with OSEP QA 23-01.</w:t>
      </w:r>
    </w:p>
    <w:p w14:paraId="438838F5" w14:textId="77777777" w:rsidR="001C2EC2" w:rsidRDefault="001C2EC2" w:rsidP="00B9250E">
      <w:pPr>
        <w:spacing w:after="0"/>
        <w:textAlignment w:val="baseline"/>
        <w:rPr>
          <w:rFonts w:eastAsia="Times New Roman" w:cs="Arial"/>
          <w:b/>
          <w:bCs/>
          <w:szCs w:val="16"/>
        </w:rPr>
      </w:pPr>
    </w:p>
    <w:p w14:paraId="2CB5E981" w14:textId="4CA5638E"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9. Percent of districts with disproportionate representation of racial and ethnic groups in special education and related services that is the result of inappropriate identification. (20 U.S.C. 1416(a)(3)(C))</w:t>
      </w:r>
    </w:p>
    <w:p w14:paraId="59CBCF6E" w14:textId="1F4716AE"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9"/>
      </w:tblPr>
      <w:tblGrid>
        <w:gridCol w:w="2158"/>
        <w:gridCol w:w="2158"/>
        <w:gridCol w:w="2158"/>
        <w:gridCol w:w="2158"/>
        <w:gridCol w:w="2158"/>
      </w:tblGrid>
      <w:tr w:rsidR="00F8304E" w:rsidRPr="00CB52C7" w14:paraId="10BA039B" w14:textId="77777777" w:rsidTr="00C144F3">
        <w:trPr>
          <w:trHeight w:val="360"/>
        </w:trPr>
        <w:tc>
          <w:tcPr>
            <w:tcW w:w="2158" w:type="dxa"/>
          </w:tcPr>
          <w:p w14:paraId="3BC8156F" w14:textId="3EF74474"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28999C9F" w14:textId="716A6BE6"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11A22C06" w14:textId="18C48592"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5ABF9E26" w14:textId="36875AF9"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4FA22A50" w14:textId="51826A90"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9C75E8" w:rsidRPr="00C85110" w14:paraId="132E50D2" w14:textId="77777777" w:rsidTr="00C144F3">
        <w:trPr>
          <w:trHeight w:val="360"/>
        </w:trPr>
        <w:tc>
          <w:tcPr>
            <w:tcW w:w="2158" w:type="dxa"/>
            <w:shd w:val="clear" w:color="auto" w:fill="auto"/>
          </w:tcPr>
          <w:p w14:paraId="3B5C046A" w14:textId="34091DB8" w:rsidR="00AA0F28" w:rsidRPr="00CB52C7" w:rsidRDefault="005069C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shd w:val="clear" w:color="auto" w:fill="auto"/>
          </w:tcPr>
          <w:p w14:paraId="54222781" w14:textId="12F1B43E"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3D526744" w14:textId="267EDAA2" w:rsidR="00AA0F28" w:rsidRPr="00CB52C7" w:rsidRDefault="005069C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shd w:val="clear" w:color="auto" w:fill="auto"/>
          </w:tcPr>
          <w:p w14:paraId="1D5068A8" w14:textId="262195E4" w:rsidR="00AA0F28" w:rsidRPr="00CB52C7" w:rsidRDefault="00AA0F28" w:rsidP="00AA0F28">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30CBBD6A" w14:textId="35686C50"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0</w:t>
            </w:r>
          </w:p>
        </w:tc>
      </w:tr>
    </w:tbl>
    <w:p w14:paraId="34A46B6C" w14:textId="77777777" w:rsidR="00C9712C" w:rsidRDefault="00C9712C" w:rsidP="001C2EC2">
      <w:pPr>
        <w:keepNext/>
        <w:rPr>
          <w:rFonts w:eastAsia="Times New Roman" w:cs="Arial"/>
          <w:b/>
          <w:szCs w:val="16"/>
        </w:rPr>
      </w:pPr>
    </w:p>
    <w:p w14:paraId="509A6A9E" w14:textId="1CCAC93E"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9 due to various factors (e.g., additional findings related to other IDEA requirements).</w:t>
      </w:r>
    </w:p>
    <w:p w14:paraId="4EF91C58" w14:textId="1AB2D305" w:rsidR="00A9475A" w:rsidRPr="000D073F" w:rsidRDefault="00A9475A" w:rsidP="00C144F3">
      <w:pPr>
        <w:keepNext/>
        <w:rPr>
          <w:rFonts w:eastAsia="Times New Roman" w:cs="Arial"/>
          <w:bCs/>
          <w:szCs w:val="16"/>
        </w:rPr>
      </w:pPr>
      <w:r w:rsidRPr="000D073F">
        <w:rPr>
          <w:rFonts w:eastAsia="Times New Roman" w:cs="Arial"/>
          <w:bCs/>
          <w:szCs w:val="16"/>
        </w:rPr>
        <w:t>There are no differences in the number of findings reported in this data table and those reported in Indicator 9.</w:t>
      </w:r>
    </w:p>
    <w:p w14:paraId="791E7EB5" w14:textId="51C19B4D"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26918362" w14:textId="72B44292" w:rsidR="00B9250E" w:rsidRDefault="00B9250E" w:rsidP="00C144F3">
      <w:pPr>
        <w:spacing w:line="276" w:lineRule="auto"/>
        <w:rPr>
          <w:color w:val="000000" w:themeColor="text1"/>
        </w:rPr>
      </w:pPr>
      <w:r>
        <w:rPr>
          <w:color w:val="000000" w:themeColor="text1"/>
        </w:rPr>
        <w:t xml:space="preserve">There was no disproportionate representation of racial and ethnic groups in special education identified. </w:t>
      </w:r>
    </w:p>
    <w:p w14:paraId="54DCAF27" w14:textId="0B6FB729"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2D1ED8B9" w14:textId="09E794C6" w:rsidR="00B9250E" w:rsidRDefault="00B9250E" w:rsidP="00C144F3">
      <w:pPr>
        <w:spacing w:line="276" w:lineRule="auto"/>
        <w:rPr>
          <w:color w:val="000000" w:themeColor="text1"/>
        </w:rPr>
      </w:pPr>
      <w:r>
        <w:rPr>
          <w:color w:val="000000" w:themeColor="text1"/>
        </w:rPr>
        <w:t xml:space="preserve">There was no disproportionate representation of racial and ethnic groups in special education identified. </w:t>
      </w:r>
    </w:p>
    <w:p w14:paraId="59F50151" w14:textId="77777777" w:rsidR="001C2EC2" w:rsidRDefault="001C2EC2" w:rsidP="001C2EC2">
      <w:pPr>
        <w:textAlignment w:val="baseline"/>
        <w:rPr>
          <w:rFonts w:eastAsia="Times New Roman" w:cs="Arial"/>
          <w:b/>
          <w:bCs/>
          <w:szCs w:val="16"/>
        </w:rPr>
      </w:pPr>
    </w:p>
    <w:p w14:paraId="7F6AA462" w14:textId="3102F81B"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10. Percent of districts with disproportionate representation of racial and ethnic groups in specific disability categories that is the result of inappropriate identification. (20 U.S.C. 1416(a)(3)(C))</w:t>
      </w:r>
    </w:p>
    <w:p w14:paraId="39313618" w14:textId="4CA1ACDE"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10"/>
      </w:tblPr>
      <w:tblGrid>
        <w:gridCol w:w="2158"/>
        <w:gridCol w:w="2158"/>
        <w:gridCol w:w="2158"/>
        <w:gridCol w:w="2158"/>
        <w:gridCol w:w="2158"/>
      </w:tblGrid>
      <w:tr w:rsidR="00F8304E" w:rsidRPr="00CB52C7" w14:paraId="33666445" w14:textId="77777777" w:rsidTr="00C144F3">
        <w:trPr>
          <w:trHeight w:val="360"/>
          <w:tblHeader/>
        </w:trPr>
        <w:tc>
          <w:tcPr>
            <w:tcW w:w="2158" w:type="dxa"/>
          </w:tcPr>
          <w:p w14:paraId="64EE2D9F" w14:textId="1DD17469" w:rsidR="00F8304E" w:rsidRPr="00CB52C7" w:rsidRDefault="00F8304E" w:rsidP="00F8304E">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179A975B" w14:textId="63123B84"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2EEAAB19" w14:textId="4F4704A2"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1171F3FB" w14:textId="619BC0F0"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13D00435" w14:textId="133EE7B0"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C048FB" w:rsidRPr="00C85110" w14:paraId="73010A64" w14:textId="77777777" w:rsidTr="00C144F3">
        <w:trPr>
          <w:trHeight w:val="360"/>
          <w:tblHeader/>
        </w:trPr>
        <w:tc>
          <w:tcPr>
            <w:tcW w:w="2158" w:type="dxa"/>
            <w:shd w:val="clear" w:color="auto" w:fill="auto"/>
          </w:tcPr>
          <w:p w14:paraId="21BA336A" w14:textId="74B096CE"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shd w:val="clear" w:color="auto" w:fill="auto"/>
          </w:tcPr>
          <w:p w14:paraId="7F5332DC" w14:textId="5BCFFEEC"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35D31B75" w14:textId="7E5AB8F5"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shd w:val="clear" w:color="auto" w:fill="auto"/>
          </w:tcPr>
          <w:p w14:paraId="7ED122F4" w14:textId="01838429" w:rsidR="00AA0F28" w:rsidRPr="00CB52C7" w:rsidRDefault="00AA0F28" w:rsidP="00AA0F28">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3836E779" w14:textId="7FEB55DC"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0</w:t>
            </w:r>
          </w:p>
        </w:tc>
      </w:tr>
    </w:tbl>
    <w:p w14:paraId="3F844CCD" w14:textId="77777777" w:rsidR="0079169F" w:rsidRPr="00A964C2" w:rsidRDefault="0079169F" w:rsidP="0079169F">
      <w:pPr>
        <w:rPr>
          <w:rFonts w:eastAsia="Calibri" w:cs="Arial"/>
          <w:b/>
          <w:szCs w:val="16"/>
        </w:rPr>
      </w:pPr>
    </w:p>
    <w:p w14:paraId="1B48FA96" w14:textId="04AE1DEE"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10 due to various factors (e.g., additional findings related to other IDEA requirements).</w:t>
      </w:r>
    </w:p>
    <w:p w14:paraId="59C200B7" w14:textId="7D39857E" w:rsidR="00A9475A" w:rsidRPr="000D073F" w:rsidRDefault="00A9475A" w:rsidP="00C144F3">
      <w:pPr>
        <w:keepNext/>
        <w:rPr>
          <w:rFonts w:eastAsia="Times New Roman" w:cs="Arial"/>
          <w:bCs/>
          <w:szCs w:val="16"/>
        </w:rPr>
      </w:pPr>
      <w:r w:rsidRPr="000D073F">
        <w:rPr>
          <w:rFonts w:eastAsia="Times New Roman" w:cs="Arial"/>
          <w:bCs/>
          <w:szCs w:val="16"/>
        </w:rPr>
        <w:t>There are no differences in the number of findings reported in this data table and those reported in Indicator 10.</w:t>
      </w:r>
    </w:p>
    <w:p w14:paraId="4EE34C7A" w14:textId="24C86ABC"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36F94313" w14:textId="0FB4F8D5" w:rsidR="00B9250E" w:rsidRDefault="00B9250E" w:rsidP="00C144F3">
      <w:pPr>
        <w:spacing w:line="276" w:lineRule="auto"/>
        <w:rPr>
          <w:color w:val="000000" w:themeColor="text1"/>
        </w:rPr>
      </w:pPr>
      <w:r>
        <w:rPr>
          <w:color w:val="000000" w:themeColor="text1"/>
        </w:rPr>
        <w:t>There was no disproportionate representation of racial and ethnic groups in specific disability categories identified.</w:t>
      </w:r>
    </w:p>
    <w:p w14:paraId="65561919" w14:textId="429D57B0"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690F7ADB" w14:textId="4222EA88" w:rsidR="00AA0F28" w:rsidRDefault="00AA0F28" w:rsidP="00C144F3">
      <w:pPr>
        <w:spacing w:line="276" w:lineRule="auto"/>
        <w:rPr>
          <w:color w:val="000000" w:themeColor="text1"/>
        </w:rPr>
      </w:pPr>
      <w:r>
        <w:rPr>
          <w:color w:val="000000" w:themeColor="text1"/>
        </w:rPr>
        <w:t>There was no disproportionate representation of racial and ethnic groups in specific disability categories identified.</w:t>
      </w:r>
    </w:p>
    <w:p w14:paraId="65C2382E" w14:textId="77777777" w:rsidR="001C2EC2" w:rsidRDefault="001C2EC2" w:rsidP="001C2EC2">
      <w:pPr>
        <w:textAlignment w:val="baseline"/>
        <w:rPr>
          <w:rFonts w:eastAsia="Times New Roman" w:cs="Arial"/>
          <w:b/>
          <w:bCs/>
          <w:szCs w:val="16"/>
        </w:rPr>
      </w:pPr>
    </w:p>
    <w:p w14:paraId="3671B5F0" w14:textId="36FEBDC0"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11. Percent of children who were evaluated within 60 days of receiving parental consent for initial evaluation or, if the State establishes a timeframe within which the evaluation must be conducted, within that timeframe. (20 U.S.C. 1416(a)(3)(B))</w:t>
      </w:r>
    </w:p>
    <w:p w14:paraId="435D9001" w14:textId="0236CB07"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11"/>
      </w:tblPr>
      <w:tblGrid>
        <w:gridCol w:w="2158"/>
        <w:gridCol w:w="2158"/>
        <w:gridCol w:w="2158"/>
        <w:gridCol w:w="2158"/>
        <w:gridCol w:w="2158"/>
      </w:tblGrid>
      <w:tr w:rsidR="00F8304E" w:rsidRPr="00CB52C7" w14:paraId="5556BE4C" w14:textId="77777777" w:rsidTr="00C144F3">
        <w:trPr>
          <w:trHeight w:val="360"/>
          <w:tblHeader/>
        </w:trPr>
        <w:tc>
          <w:tcPr>
            <w:tcW w:w="2158" w:type="dxa"/>
          </w:tcPr>
          <w:p w14:paraId="43E73452" w14:textId="4304DA1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7EE86030" w14:textId="2495F7E2"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43A7573D" w14:textId="7CCF8A9D"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49CF35FD" w14:textId="61166A6C"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7F1EA2C1" w14:textId="6F4B0873"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E8739D" w:rsidRPr="00C85110" w14:paraId="1073391E" w14:textId="77777777" w:rsidTr="00C144F3">
        <w:trPr>
          <w:trHeight w:val="360"/>
          <w:tblHeader/>
        </w:trPr>
        <w:tc>
          <w:tcPr>
            <w:tcW w:w="2158" w:type="dxa"/>
            <w:shd w:val="clear" w:color="auto" w:fill="auto"/>
          </w:tcPr>
          <w:p w14:paraId="7BCF50EF" w14:textId="71CFFFBB"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29</w:t>
            </w:r>
          </w:p>
        </w:tc>
        <w:tc>
          <w:tcPr>
            <w:tcW w:w="2158" w:type="dxa"/>
            <w:shd w:val="clear" w:color="auto" w:fill="auto"/>
          </w:tcPr>
          <w:p w14:paraId="5B60CD2B" w14:textId="23BD35B6"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1</w:t>
            </w:r>
          </w:p>
        </w:tc>
        <w:tc>
          <w:tcPr>
            <w:tcW w:w="2158" w:type="dxa"/>
            <w:shd w:val="clear" w:color="auto" w:fill="auto"/>
          </w:tcPr>
          <w:p w14:paraId="2BABDDA3" w14:textId="47E7F6A5"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29</w:t>
            </w:r>
          </w:p>
        </w:tc>
        <w:tc>
          <w:tcPr>
            <w:tcW w:w="2158" w:type="dxa"/>
            <w:shd w:val="clear" w:color="auto" w:fill="auto"/>
          </w:tcPr>
          <w:p w14:paraId="7B628915" w14:textId="67A02598" w:rsidR="00AA0F28" w:rsidRPr="00CB52C7" w:rsidRDefault="00AA0F28" w:rsidP="00AA0F28">
            <w:pPr>
              <w:jc w:val="center"/>
              <w:textAlignment w:val="baseline"/>
              <w:rPr>
                <w:rFonts w:eastAsia="Times New Roman" w:cs="Arial"/>
                <w:b/>
                <w:bCs/>
                <w:szCs w:val="16"/>
              </w:rPr>
            </w:pPr>
            <w:r>
              <w:rPr>
                <w:rFonts w:eastAsia="Times New Roman" w:cs="Arial"/>
                <w:szCs w:val="16"/>
              </w:rPr>
              <w:t>1</w:t>
            </w:r>
          </w:p>
        </w:tc>
        <w:tc>
          <w:tcPr>
            <w:tcW w:w="2158" w:type="dxa"/>
            <w:shd w:val="clear" w:color="auto" w:fill="auto"/>
          </w:tcPr>
          <w:p w14:paraId="0E31E6CA" w14:textId="12FADA5F"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0</w:t>
            </w:r>
          </w:p>
        </w:tc>
      </w:tr>
    </w:tbl>
    <w:p w14:paraId="06BAE7B8" w14:textId="77777777" w:rsidR="00C9712C" w:rsidRDefault="00C9712C" w:rsidP="001C2EC2">
      <w:pPr>
        <w:keepNext/>
        <w:rPr>
          <w:rFonts w:eastAsia="Calibri" w:cs="Arial"/>
          <w:b/>
          <w:szCs w:val="16"/>
        </w:rPr>
      </w:pPr>
    </w:p>
    <w:p w14:paraId="2F03B46D" w14:textId="04C810E0"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11 due to various factors (e.g., additional findings related to other IDEA requirements).</w:t>
      </w:r>
    </w:p>
    <w:p w14:paraId="3C2D837A" w14:textId="3EEB70E1" w:rsidR="00A9475A" w:rsidRPr="000D073F" w:rsidRDefault="00A9475A" w:rsidP="00C144F3">
      <w:pPr>
        <w:keepNext/>
        <w:rPr>
          <w:rFonts w:eastAsia="Times New Roman" w:cs="Arial"/>
          <w:bCs/>
          <w:szCs w:val="16"/>
        </w:rPr>
      </w:pPr>
      <w:r w:rsidRPr="000D073F">
        <w:rPr>
          <w:rFonts w:eastAsia="Times New Roman" w:cs="Arial"/>
          <w:bCs/>
          <w:szCs w:val="16"/>
        </w:rPr>
        <w:t>The difference in the number of findings reported in  data table and the number of findings reported in Indicator 11 is due to an additional finding identified during a general file review within the cyclical monitoring process. This additional finding was related to another related IDEA requirement, which is not captured under the Indicator 11 measurement.</w:t>
      </w:r>
    </w:p>
    <w:p w14:paraId="6259B8B3" w14:textId="7F8BC71A"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138BFFC8" w14:textId="26FD5F3E" w:rsidR="00AA0F28" w:rsidRDefault="00AA0F28" w:rsidP="00C144F3">
      <w:pPr>
        <w:spacing w:line="276" w:lineRule="auto"/>
        <w:rPr>
          <w:color w:val="000000" w:themeColor="text1"/>
        </w:rPr>
      </w:pPr>
      <w:r>
        <w:rPr>
          <w:color w:val="000000" w:themeColor="text1"/>
        </w:rPr>
        <w:t xml:space="preserve">Subsequent reviews of updated data for each of the twenty-nine (29) LEAs identified with noncompliance were conducted through quarterly monitoring using the statewide initial evaluation application in WVEIS. Technical assistance and feedback were provided to each LEA after the quarterly reviews of updated data. WVDE/OSE verified that each of the twenty-nine (29) LEAs is correctly implementing the specific regulatory requirements consistent with OSEP QA 23-01. Specifically, each LEA achieved 100 percent compliance regarding timelines for initial evaluations for a minimum of 90 consecutive days. WVDE/OSE provided written notification to each LEA that the findings of noncompliance had been corrected. </w:t>
      </w:r>
      <w:r>
        <w:rPr>
          <w:color w:val="000000" w:themeColor="text1"/>
        </w:rPr>
        <w:br/>
      </w:r>
      <w:r>
        <w:rPr>
          <w:color w:val="000000" w:themeColor="text1"/>
        </w:rPr>
        <w:br/>
        <w:t>For the one (1) finding of noncompliance in Column B, the WVDE/OSE verified that the one (1) LEA identified with noncompliance with 34 CFR §300.304 is now correctly implementing the regulatory requirements based on a review of updated data, consistent with OSEP QA 23-01. Additional student files were reviewed to ensure compliance, confirming that each noted area of concern had been evaluated and documented in the evaluation reports. The WVDE/OSE also compared the consent to evaluate forms with the evaluations documented on the eligibility determination forms.</w:t>
      </w:r>
    </w:p>
    <w:p w14:paraId="37D937E9" w14:textId="60F70DA8"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3F9083AA" w14:textId="03F5532C" w:rsidR="00AA0F28" w:rsidRDefault="00AA0F28" w:rsidP="00C144F3">
      <w:pPr>
        <w:spacing w:line="276" w:lineRule="auto"/>
        <w:rPr>
          <w:color w:val="000000" w:themeColor="text1"/>
        </w:rPr>
      </w:pPr>
      <w:r>
        <w:rPr>
          <w:color w:val="000000" w:themeColor="text1"/>
        </w:rPr>
        <w:t>WVDE/OSE verified through a review of updated data collected through WVEIS that, although late, each of the 460 individual cases of child-specific noncompliance for initial evaluations was corrected. Verification of corrections included reviewing evidence that each initial evaluation was completed prior to the end of the school year, unless the student was no longer within the jurisdiction of the LEA, consistent with OSEP QA 23-01.</w:t>
      </w:r>
      <w:r>
        <w:rPr>
          <w:color w:val="000000" w:themeColor="text1"/>
        </w:rPr>
        <w:br/>
      </w:r>
      <w:r>
        <w:rPr>
          <w:color w:val="000000" w:themeColor="text1"/>
        </w:rPr>
        <w:br/>
        <w:t>For the one (1) finding of noncompliance in Column B, the WVDE/OSE verified that the one (1) individual case of noncompliance was corrected by reviewing evidence that each noted area of concern had been subsequently evaluated and documented in the evaluation reports. Additionally, the consent to evaluate forms were cross-referenced with the evaluations documented on the eligibility determination forms to confirm compliance.</w:t>
      </w:r>
    </w:p>
    <w:p w14:paraId="69B0D6E7" w14:textId="77777777" w:rsidR="001C2EC2" w:rsidRDefault="001C2EC2" w:rsidP="001C2EC2">
      <w:pPr>
        <w:textAlignment w:val="baseline"/>
        <w:rPr>
          <w:rFonts w:eastAsia="Times New Roman" w:cs="Arial"/>
          <w:b/>
          <w:bCs/>
          <w:szCs w:val="16"/>
        </w:rPr>
      </w:pPr>
    </w:p>
    <w:p w14:paraId="398F792B" w14:textId="466D49B1"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12. Percent of children referred by Part C prior to age 3, who are found eligible for Part B, and who have an IEP developed and implemented by their third birthdays. (20 U.S.C. 1416(a)(3)(B))</w:t>
      </w:r>
    </w:p>
    <w:p w14:paraId="50283479" w14:textId="18B00FB0"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12"/>
      </w:tblPr>
      <w:tblGrid>
        <w:gridCol w:w="2158"/>
        <w:gridCol w:w="2158"/>
        <w:gridCol w:w="2158"/>
        <w:gridCol w:w="2158"/>
        <w:gridCol w:w="2158"/>
      </w:tblGrid>
      <w:tr w:rsidR="00F8304E" w:rsidRPr="00CB52C7" w14:paraId="0B602099" w14:textId="77777777" w:rsidTr="00C144F3">
        <w:trPr>
          <w:trHeight w:val="360"/>
          <w:tblHeader/>
        </w:trPr>
        <w:tc>
          <w:tcPr>
            <w:tcW w:w="2158" w:type="dxa"/>
          </w:tcPr>
          <w:p w14:paraId="770E1903" w14:textId="4CEC2450" w:rsidR="00F8304E" w:rsidRPr="00CB52C7" w:rsidRDefault="00F8304E" w:rsidP="00F8304E">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7859CDFE" w14:textId="181E782F"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4C79FB00" w14:textId="5D3FC4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3847F914" w14:textId="1048CC62"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61581666" w14:textId="2C9028DA"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9C75E8" w:rsidRPr="00C85110" w14:paraId="3A4328FB" w14:textId="77777777" w:rsidTr="00C144F3">
        <w:trPr>
          <w:trHeight w:val="360"/>
          <w:tblHeader/>
        </w:trPr>
        <w:tc>
          <w:tcPr>
            <w:tcW w:w="2158" w:type="dxa"/>
            <w:shd w:val="clear" w:color="auto" w:fill="auto"/>
          </w:tcPr>
          <w:p w14:paraId="01CF4362" w14:textId="6BB3C16D" w:rsidR="00AA0F28" w:rsidRPr="00CB52C7" w:rsidRDefault="00C048FB" w:rsidP="001C2EC2">
            <w:pPr>
              <w:jc w:val="center"/>
              <w:textAlignment w:val="baseline"/>
              <w:rPr>
                <w:rFonts w:eastAsia="Times New Roman" w:cs="Arial"/>
                <w:b/>
                <w:bCs/>
                <w:szCs w:val="16"/>
              </w:rPr>
            </w:pPr>
            <w:r w:rsidRPr="00781112">
              <w:rPr>
                <w:rFonts w:cs="Arial"/>
                <w:color w:val="000000" w:themeColor="text1"/>
                <w:szCs w:val="16"/>
              </w:rPr>
              <w:t>3</w:t>
            </w:r>
          </w:p>
        </w:tc>
        <w:tc>
          <w:tcPr>
            <w:tcW w:w="2158" w:type="dxa"/>
            <w:shd w:val="clear" w:color="auto" w:fill="auto"/>
          </w:tcPr>
          <w:p w14:paraId="0758CA1E" w14:textId="197976F2" w:rsidR="00AA0F28" w:rsidRPr="00CB52C7" w:rsidRDefault="00AA0F28" w:rsidP="001C2EC2">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744E8743" w14:textId="2D799110" w:rsidR="00AA0F28" w:rsidRPr="00CB52C7" w:rsidRDefault="00C048FB" w:rsidP="001C2EC2">
            <w:pPr>
              <w:jc w:val="center"/>
              <w:textAlignment w:val="baseline"/>
              <w:rPr>
                <w:rFonts w:eastAsia="Times New Roman" w:cs="Arial"/>
                <w:b/>
                <w:bCs/>
                <w:szCs w:val="16"/>
              </w:rPr>
            </w:pPr>
            <w:r w:rsidRPr="00781112">
              <w:rPr>
                <w:rFonts w:cs="Arial"/>
                <w:color w:val="000000" w:themeColor="text1"/>
                <w:szCs w:val="16"/>
              </w:rPr>
              <w:t>3</w:t>
            </w:r>
          </w:p>
        </w:tc>
        <w:tc>
          <w:tcPr>
            <w:tcW w:w="2158" w:type="dxa"/>
            <w:shd w:val="clear" w:color="auto" w:fill="auto"/>
          </w:tcPr>
          <w:p w14:paraId="03A8062D" w14:textId="7D67E359" w:rsidR="00AA0F28" w:rsidRPr="00CB52C7" w:rsidRDefault="00AA0F28" w:rsidP="001C2EC2">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6001A5D1" w14:textId="142ED08D" w:rsidR="00AA0F28" w:rsidRPr="00A964C2" w:rsidRDefault="00AA0F28" w:rsidP="001C2EC2">
            <w:pPr>
              <w:jc w:val="center"/>
              <w:textAlignment w:val="baseline"/>
              <w:rPr>
                <w:rFonts w:eastAsia="Times New Roman" w:cs="Arial"/>
                <w:b/>
                <w:bCs/>
                <w:szCs w:val="16"/>
              </w:rPr>
            </w:pPr>
            <w:r w:rsidRPr="00755D89">
              <w:rPr>
                <w:rFonts w:eastAsia="Times New Roman" w:cs="Arial"/>
                <w:szCs w:val="16"/>
              </w:rPr>
              <w:t>0</w:t>
            </w:r>
          </w:p>
        </w:tc>
      </w:tr>
    </w:tbl>
    <w:p w14:paraId="7DDAE406" w14:textId="77777777" w:rsidR="0079169F" w:rsidRPr="00A964C2" w:rsidRDefault="0079169F" w:rsidP="0079169F">
      <w:pPr>
        <w:rPr>
          <w:rFonts w:eastAsia="Calibri" w:cs="Arial"/>
          <w:b/>
          <w:szCs w:val="16"/>
        </w:rPr>
      </w:pPr>
    </w:p>
    <w:p w14:paraId="65AE4FFE" w14:textId="5AB1B5E8"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12 due to various factors (e.g., additional findings related to other IDEA requirements).</w:t>
      </w:r>
    </w:p>
    <w:p w14:paraId="6B3F9DEF" w14:textId="38AFD2F2" w:rsidR="00A9475A" w:rsidRPr="000D073F" w:rsidRDefault="00A9475A" w:rsidP="00C144F3">
      <w:pPr>
        <w:keepNext/>
        <w:rPr>
          <w:rFonts w:eastAsia="Times New Roman" w:cs="Arial"/>
          <w:bCs/>
          <w:szCs w:val="16"/>
        </w:rPr>
      </w:pPr>
      <w:r w:rsidRPr="000D073F">
        <w:rPr>
          <w:rFonts w:eastAsia="Times New Roman" w:cs="Arial"/>
          <w:bCs/>
          <w:szCs w:val="16"/>
        </w:rPr>
        <w:t>There are no differences in the number of findings reported in this data table and those reported in Indicator 12.</w:t>
      </w:r>
    </w:p>
    <w:p w14:paraId="21D442F2" w14:textId="2BB0C574"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550E09A6" w14:textId="37B11581" w:rsidR="00B9250E" w:rsidRDefault="00B9250E" w:rsidP="00C144F3">
      <w:pPr>
        <w:spacing w:line="276" w:lineRule="auto"/>
        <w:rPr>
          <w:color w:val="000000" w:themeColor="text1"/>
        </w:rPr>
      </w:pPr>
      <w:r>
        <w:rPr>
          <w:color w:val="000000" w:themeColor="text1"/>
        </w:rPr>
        <w:t>Consistent with OSEP QA 23-01, subsequent reviews of updated data for each LEA identified with noncompliance were conducted through a review of the monthly submission of individual child forms by each LEA. Feedback and technical assistance were provided to each LEA after the quarterly reviews of updated data until such time as each LEA reached 100% compliance with regard to applicable timelines for at least three consecutive months. WVDE/OSE verification of correction of noncompliance was followed by written notification to each of the three (3) LEAs that the findings of noncompliance had been corrected. Further, each LEA that had referrals for Part C to Part B statewide demonstrated 100% compliance for FFY 2023.</w:t>
      </w:r>
    </w:p>
    <w:p w14:paraId="73C96DC5" w14:textId="0B25E60E"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09B2B2D6" w14:textId="4D62CCB8" w:rsidR="00AA0F28" w:rsidRDefault="00AA0F28" w:rsidP="00C144F3">
      <w:pPr>
        <w:spacing w:line="276" w:lineRule="auto"/>
        <w:rPr>
          <w:color w:val="000000" w:themeColor="text1"/>
        </w:rPr>
      </w:pPr>
      <w:r>
        <w:rPr>
          <w:color w:val="000000" w:themeColor="text1"/>
        </w:rPr>
        <w:t xml:space="preserve">To verify that each of the nine (9) individual cases of noncompliance was corrected, the LEAs identified as having noncompliance were required to submit the names of each of the students reported as late (IEP held beyond the 3rd birthday), and the date that the evaluation/eligibility and IEP were completed. </w:t>
      </w:r>
      <w:r>
        <w:rPr>
          <w:color w:val="000000" w:themeColor="text1"/>
        </w:rPr>
        <w:br/>
      </w:r>
      <w:r>
        <w:rPr>
          <w:color w:val="000000" w:themeColor="text1"/>
        </w:rPr>
        <w:br/>
        <w:t>WVDE/OSE verified through a review of updated data collected through WVEIS that, although late, each of the nine (9) individual cases of noncompliance identified in FFY 2022 received a Part B evaluation and, if eligible, an IEP was implemented within one year of notification of noncompliance, unless the student was no longer enrolled in the LEA consistent with OSEP QA 23-01.</w:t>
      </w:r>
    </w:p>
    <w:p w14:paraId="5AE10B06" w14:textId="77777777" w:rsidR="001C2EC2" w:rsidRDefault="001C2EC2" w:rsidP="001C2EC2">
      <w:pPr>
        <w:textAlignment w:val="baseline"/>
        <w:rPr>
          <w:rFonts w:eastAsia="Times New Roman" w:cs="Arial"/>
          <w:b/>
          <w:bCs/>
          <w:szCs w:val="16"/>
        </w:rPr>
      </w:pPr>
    </w:p>
    <w:p w14:paraId="1B1A435C" w14:textId="7AA9B065"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13. Percent of youth with IEPs aged 16 and above with an IEP that includes appropriate measurable postsecondary goals that are annually updated and based upon an age-appropriate transition assessment, transition services, including courses of study, that will reasonably enable the student to meet those postsecondary goals, and annual IEP goals related to the student’s transition services and needs. There also must be evidence that the student was invited to the IEP Team meeting where transition services are to be discussed and evidence that a representative of any participating agency was invited to the IEP Team meeting with the prior consent of the parent or student who has reached the age of majority. (20 U.S.C. 1416(a)(3)(B)) </w:t>
      </w:r>
    </w:p>
    <w:p w14:paraId="5996F1A5" w14:textId="1211631B"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13"/>
      </w:tblPr>
      <w:tblGrid>
        <w:gridCol w:w="2158"/>
        <w:gridCol w:w="2158"/>
        <w:gridCol w:w="2158"/>
        <w:gridCol w:w="2158"/>
        <w:gridCol w:w="2158"/>
      </w:tblGrid>
      <w:tr w:rsidR="00F8304E" w:rsidRPr="00CB52C7" w14:paraId="3449808D" w14:textId="77777777" w:rsidTr="00C144F3">
        <w:trPr>
          <w:trHeight w:val="360"/>
          <w:tblHeader/>
        </w:trPr>
        <w:tc>
          <w:tcPr>
            <w:tcW w:w="2158" w:type="dxa"/>
          </w:tcPr>
          <w:p w14:paraId="217DF10E" w14:textId="6667802E" w:rsidR="00F8304E" w:rsidRPr="00CB52C7" w:rsidRDefault="00F8304E" w:rsidP="00C10980">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3AE6D4F7" w14:textId="6C945490" w:rsidR="00F8304E" w:rsidRPr="00CB52C7" w:rsidRDefault="00F8304E" w:rsidP="00C10980">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35649707" w14:textId="386CD597" w:rsidR="00F8304E" w:rsidRPr="00CB52C7" w:rsidRDefault="00F8304E" w:rsidP="00C10980">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55B675CF" w14:textId="1FB798D2" w:rsidR="00F8304E" w:rsidRPr="00CB52C7" w:rsidRDefault="00F8304E" w:rsidP="00C10980">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4BD48D9C" w14:textId="317BFD73"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9C75E8" w:rsidRPr="00C85110" w14:paraId="42745759" w14:textId="77777777" w:rsidTr="00C144F3">
        <w:trPr>
          <w:trHeight w:val="360"/>
          <w:tblHeader/>
        </w:trPr>
        <w:tc>
          <w:tcPr>
            <w:tcW w:w="2158" w:type="dxa"/>
            <w:shd w:val="clear" w:color="auto" w:fill="auto"/>
          </w:tcPr>
          <w:p w14:paraId="02D563C3" w14:textId="44A258B4" w:rsidR="00AA0F28" w:rsidRPr="00CB52C7" w:rsidRDefault="00C048FB" w:rsidP="00C10980">
            <w:pPr>
              <w:jc w:val="center"/>
              <w:textAlignment w:val="baseline"/>
              <w:rPr>
                <w:rFonts w:eastAsia="Times New Roman" w:cs="Arial"/>
                <w:b/>
                <w:bCs/>
                <w:szCs w:val="16"/>
              </w:rPr>
            </w:pPr>
            <w:r w:rsidRPr="00781112">
              <w:rPr>
                <w:rFonts w:cs="Arial"/>
                <w:color w:val="000000" w:themeColor="text1"/>
                <w:szCs w:val="16"/>
              </w:rPr>
              <w:t>21</w:t>
            </w:r>
          </w:p>
        </w:tc>
        <w:tc>
          <w:tcPr>
            <w:tcW w:w="2158" w:type="dxa"/>
            <w:shd w:val="clear" w:color="auto" w:fill="auto"/>
          </w:tcPr>
          <w:p w14:paraId="4F60EEB4" w14:textId="070EFBFB" w:rsidR="00AA0F28" w:rsidRPr="00CB52C7" w:rsidRDefault="00AA0F28" w:rsidP="00C10980">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54B25871" w14:textId="4106E9DF" w:rsidR="00AA0F28" w:rsidRPr="00CB52C7" w:rsidRDefault="00C048FB" w:rsidP="00C10980">
            <w:pPr>
              <w:jc w:val="center"/>
              <w:textAlignment w:val="baseline"/>
              <w:rPr>
                <w:rFonts w:eastAsia="Times New Roman" w:cs="Arial"/>
                <w:b/>
                <w:bCs/>
                <w:szCs w:val="16"/>
              </w:rPr>
            </w:pPr>
            <w:r w:rsidRPr="00781112">
              <w:rPr>
                <w:rFonts w:cs="Arial"/>
                <w:color w:val="000000" w:themeColor="text1"/>
                <w:szCs w:val="16"/>
              </w:rPr>
              <w:t>20</w:t>
            </w:r>
          </w:p>
        </w:tc>
        <w:tc>
          <w:tcPr>
            <w:tcW w:w="2158" w:type="dxa"/>
            <w:shd w:val="clear" w:color="auto" w:fill="auto"/>
          </w:tcPr>
          <w:p w14:paraId="58F7CADB" w14:textId="62859732" w:rsidR="00AA0F28" w:rsidRPr="00CB52C7" w:rsidRDefault="00AA0F28" w:rsidP="00C10980">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352E0B4D" w14:textId="6B51D5D8" w:rsidR="00AA0F28" w:rsidRPr="00A964C2" w:rsidRDefault="00AA0F28" w:rsidP="00C10980">
            <w:pPr>
              <w:jc w:val="center"/>
              <w:textAlignment w:val="baseline"/>
              <w:rPr>
                <w:rFonts w:eastAsia="Times New Roman" w:cs="Arial"/>
                <w:b/>
                <w:bCs/>
                <w:szCs w:val="16"/>
              </w:rPr>
            </w:pPr>
            <w:r w:rsidRPr="00755D89">
              <w:rPr>
                <w:rFonts w:eastAsia="Times New Roman" w:cs="Arial"/>
                <w:szCs w:val="16"/>
              </w:rPr>
              <w:t>1</w:t>
            </w:r>
          </w:p>
        </w:tc>
      </w:tr>
    </w:tbl>
    <w:p w14:paraId="266263D8" w14:textId="77777777" w:rsidR="00C9712C" w:rsidRDefault="00C9712C" w:rsidP="001C2EC2">
      <w:pPr>
        <w:keepNext/>
        <w:rPr>
          <w:rFonts w:eastAsia="Calibri" w:cs="Arial"/>
          <w:b/>
          <w:szCs w:val="16"/>
        </w:rPr>
      </w:pPr>
    </w:p>
    <w:p w14:paraId="2A3B269E" w14:textId="47C87DBA"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13 due to various factors (e.g., additional findings related to other IDEA requirements).</w:t>
      </w:r>
    </w:p>
    <w:p w14:paraId="3A4539D0" w14:textId="4C351EE1" w:rsidR="00A9475A" w:rsidRPr="000D073F" w:rsidRDefault="00A9475A" w:rsidP="00C144F3">
      <w:pPr>
        <w:keepNext/>
        <w:rPr>
          <w:rFonts w:eastAsia="Times New Roman" w:cs="Arial"/>
          <w:bCs/>
          <w:szCs w:val="16"/>
        </w:rPr>
      </w:pPr>
      <w:r w:rsidRPr="000D073F">
        <w:rPr>
          <w:rFonts w:eastAsia="Times New Roman" w:cs="Arial"/>
          <w:bCs/>
          <w:szCs w:val="16"/>
        </w:rPr>
        <w:t>There are no differences in the number of findings reported in this data table and those reported in Indicator 13.</w:t>
      </w:r>
    </w:p>
    <w:p w14:paraId="514468EA" w14:textId="5DCD5B41"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6D490EBA" w14:textId="66A36387" w:rsidR="00AA0F28" w:rsidRDefault="00AA0F28" w:rsidP="00C144F3">
      <w:pPr>
        <w:spacing w:line="276" w:lineRule="auto"/>
        <w:rPr>
          <w:color w:val="000000" w:themeColor="text1"/>
        </w:rPr>
      </w:pPr>
      <w:r>
        <w:rPr>
          <w:color w:val="000000" w:themeColor="text1"/>
        </w:rPr>
        <w:t>Compliance with specific IDEA regulatory requirements for secondary transition was verified based on WVDE/OSE’s review of updated data from IEPs of transition-aged students in each of the twenty-one (21) LEAs previously identified with noncompliance. WVDE/OSE reviewed additional individual student data subsequently collected through on-site monitoring, an upload of evidence to a secured SharePoint drive, or directly through the WV statewide online IEP system (WVEIS). In addition, staff who are responsible for writing secondary transition plans in each of the twenty-one (21) LEAs were required to complete a CANVAS course (described in Indicator 13) as part of their corrective action plan. Evidence of course completion is obtained through a summative assessment (quiz) which must be passed with a grade of 80% or better to acquire a certificate of completion. The LEA special education director was required to collect these certificates and make them available upon request to WVDE/OSE as verification that staff are appropriately trained to write compliant secondary transition plans.</w:t>
      </w:r>
      <w:r>
        <w:rPr>
          <w:color w:val="000000" w:themeColor="text1"/>
        </w:rPr>
        <w:br/>
      </w:r>
      <w:r>
        <w:rPr>
          <w:color w:val="000000" w:themeColor="text1"/>
        </w:rPr>
        <w:br/>
        <w:t xml:space="preserve">One (1) LEA included in cyclical monitoring during SY 2022-23 did not meet the one-year timeline for correcting secondary transition noncompliance as identified in their original cyclical monitoring report dated December 2022. This failure to meet timelines was likely impacted by turnover in staff at both the LEA and SEA levels during the first half of SY 2023-24. As a result of not meeting the one-year deadline for correction of noncompliance, the LEA </w:t>
      </w:r>
      <w:r>
        <w:rPr>
          <w:color w:val="000000" w:themeColor="text1"/>
        </w:rPr>
        <w:lastRenderedPageBreak/>
        <w:t>was notified in a written letter dated July 2, 2024, of additional corrective actions and given a timeline to address their noncompliance related to secondary transition plans. The written notification included potential for sanctions as outlined in the state’s general supervision system. Between July and November 2024, WVDE/OSE provided the LEA with regular virtual support to engage their administrative team in a required root cause analysis and support for developing written processes and procedures related to secondary transition planning. Once the LEA documented their processes in writing, in-person training from WVDE/OSE was provided through a contracted vendor to ensure all staff were properly trained. Consistent with OSEP QA 23-01, WVDE/OSE through reviews of subsequent records/data, was ultimately able to verify 100% compliance in the implementation of regulatory requirements regarding indicator 13 for this LEA.</w:t>
      </w:r>
      <w:r>
        <w:rPr>
          <w:color w:val="000000" w:themeColor="text1"/>
        </w:rPr>
        <w:br/>
      </w:r>
      <w:r>
        <w:rPr>
          <w:color w:val="000000" w:themeColor="text1"/>
        </w:rPr>
        <w:br/>
        <w:t>Consistent with OSEP QA 23-01, each of the twenty-one (21) LEAs identified in FFY 2022 as noncompliant has corrected each individual instance of noncompliance, and the subsequent updated review of data shows that each LEA is implementing secondary transition requirements with 100% compliance. WVDE/OSE verified that each LEA with noncompliance is correctly implementing the specific regulatory requirement(s) (i.e., achieved 100% compliance based on a review of updated data).</w:t>
      </w:r>
    </w:p>
    <w:p w14:paraId="7611849B" w14:textId="37A46DF6" w:rsidR="00B9250E" w:rsidRDefault="00B9250E" w:rsidP="00C144F3">
      <w:pPr>
        <w:spacing w:line="276" w:lineRule="auto"/>
        <w:rPr>
          <w:rFonts w:eastAsia="Times New Roman" w:cs="Arial"/>
          <w:b/>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54C61704" w14:textId="3E763664" w:rsidR="00AA0F28" w:rsidRDefault="00AA0F28" w:rsidP="00C144F3">
      <w:pPr>
        <w:spacing w:line="276" w:lineRule="auto"/>
        <w:rPr>
          <w:color w:val="000000" w:themeColor="text1"/>
        </w:rPr>
      </w:pPr>
      <w:r>
        <w:rPr>
          <w:color w:val="000000" w:themeColor="text1"/>
        </w:rPr>
        <w:t>Consistent with OSEP QA 23-01, WVDE/OSE determined that each of the 184 individual student files identified in FFY 2022 as noncompliant for secondary transition plans were verified as corrected and, when appropriate, compensatory services were offered by the LEA. This includes the student files from the one (1) LEA who did not meet the one-year timeline for correction of individual student files. Individual cases of noncompliance were reviewed for each of the required components of transition planning, unless the student was no longer in the jurisdiction of the noncompliant LEA. WVDE/OSE verified that each student file was corrected through a review of new data obtained from the WV statewide online IEP system (WVEIS), uploaded evidence to a secure SharePoint folder, or during an on-site visit to the LEA, and that each LEA is now implementing student transition plans with 100% compliance.</w:t>
      </w:r>
    </w:p>
    <w:p w14:paraId="17D7BDE6" w14:textId="77777777" w:rsidR="0079169F" w:rsidRDefault="0079169F" w:rsidP="001C2EC2">
      <w:pPr>
        <w:rPr>
          <w:rFonts w:eastAsia="Calibri" w:cs="Arial"/>
          <w:b/>
          <w:i/>
          <w:iCs/>
          <w:szCs w:val="16"/>
        </w:rPr>
      </w:pPr>
    </w:p>
    <w:p w14:paraId="3F22FC8F" w14:textId="3CA11C03" w:rsidR="00B9250E" w:rsidRDefault="00B9250E" w:rsidP="001C2EC2">
      <w:pPr>
        <w:rPr>
          <w:rFonts w:eastAsia="Calibri" w:cs="Arial"/>
          <w:b/>
          <w:i/>
          <w:iCs/>
          <w:szCs w:val="16"/>
        </w:rPr>
      </w:pPr>
      <w:r>
        <w:rPr>
          <w:rFonts w:eastAsia="Calibri" w:cs="Arial"/>
          <w:b/>
          <w:i/>
          <w:iCs/>
          <w:szCs w:val="16"/>
        </w:rPr>
        <w:t>Optional for FFY 2023, 2024, and 2025:</w:t>
      </w:r>
    </w:p>
    <w:p w14:paraId="78423754" w14:textId="00B32F91" w:rsidR="00B9250E" w:rsidRDefault="00B9250E" w:rsidP="00B9250E">
      <w:pPr>
        <w:rPr>
          <w:rFonts w:eastAsia="Calibri" w:cs="Arial"/>
          <w:b/>
          <w:i/>
          <w:iCs/>
          <w:szCs w:val="16"/>
        </w:rPr>
      </w:pPr>
      <w:r>
        <w:rPr>
          <w:rFonts w:eastAsia="Calibri" w:cs="Arial"/>
          <w:b/>
          <w:i/>
          <w:iCs/>
          <w:szCs w:val="16"/>
        </w:rPr>
        <w:t>Other Areas - All other findings: States may report here on all other findings of noncompliance that were not reported under the compliance indicators listed above (e.g., Results indicators (including related requirements), Fiscal, Dispute Resolution, etc.).</w:t>
      </w:r>
    </w:p>
    <w:tbl>
      <w:tblPr>
        <w:tblStyle w:val="TableGrid"/>
        <w:tblW w:w="9621" w:type="dxa"/>
        <w:tblLayout w:type="fixed"/>
        <w:tblLook w:val="04A0" w:firstRow="1" w:lastRow="0" w:firstColumn="1" w:lastColumn="0" w:noHBand="0" w:noVBand="1"/>
        <w:tblCaption w:val="B18FINDINGSOFNONCOMPLIANCEOTHERAREAS"/>
      </w:tblPr>
      <w:tblGrid>
        <w:gridCol w:w="3207"/>
        <w:gridCol w:w="3207"/>
        <w:gridCol w:w="3207"/>
      </w:tblGrid>
      <w:tr w:rsidR="00F8304E" w:rsidRPr="007D0769" w14:paraId="7F6056EE" w14:textId="77777777" w:rsidTr="00C144F3">
        <w:trPr>
          <w:trHeight w:val="360"/>
          <w:tblHeader/>
        </w:trPr>
        <w:tc>
          <w:tcPr>
            <w:tcW w:w="3207" w:type="dxa"/>
          </w:tcPr>
          <w:p w14:paraId="13E0792B" w14:textId="266FAC76" w:rsidR="00F8304E" w:rsidRPr="007D0769" w:rsidRDefault="00F8304E" w:rsidP="00F8304E">
            <w:pPr>
              <w:jc w:val="center"/>
              <w:textAlignment w:val="baseline"/>
              <w:rPr>
                <w:rFonts w:eastAsia="Calibri" w:cs="Arial"/>
                <w:b/>
                <w:szCs w:val="16"/>
              </w:rPr>
            </w:pPr>
            <w:r w:rsidRPr="007D0769">
              <w:rPr>
                <w:rFonts w:eastAsia="Times New Roman" w:cs="Arial"/>
                <w:b/>
                <w:bCs/>
                <w:szCs w:val="16"/>
              </w:rPr>
              <w:t>Column B:</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3207" w:type="dxa"/>
          </w:tcPr>
          <w:p w14:paraId="64536009" w14:textId="426B9903" w:rsidR="00F8304E" w:rsidRPr="007D0769"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9A7B65">
              <w:rPr>
                <w:rFonts w:eastAsia="Times New Roman" w:cs="Arial"/>
                <w:b/>
                <w:bCs/>
                <w:szCs w:val="16"/>
              </w:rPr>
              <w:t>B</w:t>
            </w:r>
            <w:r w:rsidRPr="007D0769">
              <w:rPr>
                <w:rFonts w:eastAsia="Times New Roman" w:cs="Arial"/>
                <w:b/>
                <w:bCs/>
                <w:szCs w:val="16"/>
              </w:rPr>
              <w:t xml:space="preserve"> that were timely corrected (i.e., verified as corrected no later than one year from identification)</w:t>
            </w:r>
          </w:p>
        </w:tc>
        <w:tc>
          <w:tcPr>
            <w:tcW w:w="3207" w:type="dxa"/>
          </w:tcPr>
          <w:p w14:paraId="0257DA5A" w14:textId="7A9A21CC" w:rsidR="00F8304E" w:rsidRPr="007D0769" w:rsidRDefault="00F8304E" w:rsidP="00F8304E">
            <w:pPr>
              <w:jc w:val="center"/>
              <w:textAlignment w:val="baseline"/>
              <w:rPr>
                <w:rFonts w:eastAsia="Calibri" w:cs="Arial"/>
                <w:b/>
                <w:szCs w:val="16"/>
              </w:rPr>
            </w:pPr>
            <w:r w:rsidRPr="00CA6004">
              <w:rPr>
                <w:rFonts w:eastAsia="Times New Roman" w:cs="Arial"/>
                <w:b/>
                <w:bCs/>
                <w:szCs w:val="16"/>
              </w:rPr>
              <w:t>Column D:</w:t>
            </w:r>
            <w:r w:rsidRPr="00CA6004">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C9712C">
              <w:rPr>
                <w:rFonts w:eastAsia="Times New Roman" w:cs="Arial"/>
                <w:b/>
                <w:bCs/>
                <w:szCs w:val="16"/>
              </w:rPr>
              <w:t>B</w:t>
            </w:r>
            <w:r w:rsidRPr="007D0769">
              <w:rPr>
                <w:rFonts w:eastAsia="Times New Roman" w:cs="Arial"/>
                <w:b/>
                <w:bCs/>
                <w:szCs w:val="16"/>
              </w:rPr>
              <w:t xml:space="preserve"> for which correction was not completed or timely corrected</w:t>
            </w:r>
          </w:p>
        </w:tc>
      </w:tr>
      <w:tr w:rsidR="003B7840" w:rsidRPr="007D0769" w14:paraId="2B7D5DBF" w14:textId="77777777" w:rsidTr="00C144F3">
        <w:trPr>
          <w:trHeight w:val="360"/>
          <w:tblHeader/>
        </w:trPr>
        <w:tc>
          <w:tcPr>
            <w:tcW w:w="3207" w:type="dxa"/>
            <w:shd w:val="clear" w:color="auto" w:fill="auto"/>
          </w:tcPr>
          <w:p w14:paraId="2DF3D70F" w14:textId="3DA3F937" w:rsidR="003B7840" w:rsidRPr="007D0769" w:rsidRDefault="003B7840" w:rsidP="003B7840">
            <w:pPr>
              <w:jc w:val="center"/>
              <w:textAlignment w:val="baseline"/>
              <w:rPr>
                <w:rFonts w:eastAsia="Times New Roman" w:cs="Arial"/>
                <w:b/>
                <w:bCs/>
                <w:szCs w:val="16"/>
              </w:rPr>
            </w:pPr>
          </w:p>
        </w:tc>
        <w:tc>
          <w:tcPr>
            <w:tcW w:w="3207" w:type="dxa"/>
            <w:shd w:val="clear" w:color="auto" w:fill="auto"/>
          </w:tcPr>
          <w:p w14:paraId="7E8E28E5" w14:textId="6D781470" w:rsidR="003B7840" w:rsidRPr="007D0769" w:rsidRDefault="003B7840" w:rsidP="003B7840">
            <w:pPr>
              <w:jc w:val="center"/>
              <w:textAlignment w:val="baseline"/>
              <w:rPr>
                <w:rFonts w:eastAsia="Times New Roman" w:cs="Arial"/>
                <w:b/>
                <w:bCs/>
                <w:szCs w:val="16"/>
              </w:rPr>
            </w:pPr>
          </w:p>
        </w:tc>
        <w:tc>
          <w:tcPr>
            <w:tcW w:w="3207" w:type="dxa"/>
            <w:shd w:val="clear" w:color="auto" w:fill="auto"/>
          </w:tcPr>
          <w:p w14:paraId="2EC3E037" w14:textId="34EDB0D3" w:rsidR="003B7840" w:rsidRPr="00A964C2" w:rsidRDefault="003B7840" w:rsidP="003B7840">
            <w:pPr>
              <w:jc w:val="center"/>
              <w:textAlignment w:val="baseline"/>
              <w:rPr>
                <w:rFonts w:eastAsia="Times New Roman" w:cs="Arial"/>
                <w:b/>
                <w:bCs/>
                <w:szCs w:val="16"/>
              </w:rPr>
            </w:pPr>
          </w:p>
        </w:tc>
      </w:tr>
    </w:tbl>
    <w:p w14:paraId="6278BE4B" w14:textId="77777777" w:rsidR="00C9712C" w:rsidRDefault="00C9712C" w:rsidP="001C2EC2">
      <w:pPr>
        <w:rPr>
          <w:rFonts w:eastAsia="Calibri" w:cs="Arial"/>
          <w:b/>
          <w:szCs w:val="16"/>
        </w:rPr>
      </w:pPr>
    </w:p>
    <w:p w14:paraId="34C3B8CF" w14:textId="5D0FC134" w:rsidR="00B9250E" w:rsidRPr="00604167" w:rsidRDefault="00B9250E" w:rsidP="001C2EC2">
      <w:pPr>
        <w:rPr>
          <w:rFonts w:eastAsia="Calibri" w:cs="Arial"/>
          <w:b/>
          <w:szCs w:val="16"/>
        </w:rPr>
      </w:pPr>
      <w:r w:rsidRPr="00604167">
        <w:rPr>
          <w:rFonts w:eastAsia="Calibri" w:cs="Arial"/>
          <w:b/>
          <w:szCs w:val="16"/>
        </w:rPr>
        <w:t>Explain the source (e.g., State monitoring, State database/data system, dispute resolution, fiscal, related requirements, etc.) of any findings reported in this section:</w:t>
      </w:r>
    </w:p>
    <w:p w14:paraId="41EA4976" w14:textId="7B420414" w:rsidR="003B7840" w:rsidRPr="004267DD" w:rsidRDefault="003B7840" w:rsidP="001C2EC2">
      <w:pPr>
        <w:rPr>
          <w:rFonts w:eastAsia="Calibri" w:cs="Arial"/>
          <w:bCs/>
          <w:szCs w:val="16"/>
        </w:rPr>
      </w:pPr>
    </w:p>
    <w:p w14:paraId="4B552668" w14:textId="2F02CE9E" w:rsidR="00F15F58" w:rsidRPr="00604167" w:rsidRDefault="00F15F58" w:rsidP="001C2EC2">
      <w:pPr>
        <w:rPr>
          <w:rFonts w:eastAsia="Calibri" w:cs="Arial"/>
          <w:b/>
          <w:szCs w:val="16"/>
        </w:rPr>
      </w:pPr>
      <w:r>
        <w:rPr>
          <w:rFonts w:eastAsia="Calibri" w:cs="Arial"/>
          <w:b/>
          <w:szCs w:val="16"/>
        </w:rPr>
        <w:t xml:space="preserve">Please describe, consistent with OSEP QA 23-01, how the State verified that the </w:t>
      </w:r>
      <w:r>
        <w:rPr>
          <w:rFonts w:eastAsia="Times New Roman" w:cs="Arial"/>
          <w:b/>
          <w:szCs w:val="16"/>
        </w:rPr>
        <w:t>source of noncompliance</w:t>
      </w:r>
      <w:r w:rsidRPr="00604167">
        <w:rPr>
          <w:rFonts w:eastAsia="Calibri" w:cs="Arial"/>
          <w:b/>
          <w:szCs w:val="16"/>
        </w:rPr>
        <w:t xml:space="preserve"> is correctly implementing the regulatory requirements</w:t>
      </w:r>
      <w:r w:rsidRPr="00604167">
        <w:rPr>
          <w:rFonts w:eastAsia="Calibri" w:cs="Arial"/>
          <w:b/>
          <w:i/>
          <w:iCs/>
          <w:szCs w:val="16"/>
        </w:rPr>
        <w:t xml:space="preserve"> </w:t>
      </w:r>
      <w:r w:rsidRPr="00604167">
        <w:rPr>
          <w:rFonts w:eastAsia="Calibri" w:cs="Arial"/>
          <w:b/>
          <w:szCs w:val="16"/>
        </w:rPr>
        <w:t xml:space="preserve">based on </w:t>
      </w:r>
      <w:r w:rsidRPr="00604167">
        <w:rPr>
          <w:rFonts w:eastAsia="Calibri" w:cs="Arial"/>
          <w:b/>
          <w:i/>
          <w:iCs/>
          <w:szCs w:val="16"/>
        </w:rPr>
        <w:t>updated data</w:t>
      </w:r>
      <w:r w:rsidRPr="00604167">
        <w:rPr>
          <w:rFonts w:eastAsia="Calibri" w:cs="Arial"/>
          <w:b/>
          <w:szCs w:val="16"/>
        </w:rPr>
        <w:t>:</w:t>
      </w:r>
    </w:p>
    <w:p w14:paraId="2A57399B" w14:textId="040AD064" w:rsidR="003B7840" w:rsidRPr="004267DD" w:rsidRDefault="003B7840" w:rsidP="001C2EC2">
      <w:pPr>
        <w:rPr>
          <w:rFonts w:eastAsia="Calibri" w:cs="Arial"/>
          <w:bCs/>
          <w:szCs w:val="16"/>
        </w:rPr>
      </w:pPr>
    </w:p>
    <w:p w14:paraId="2B8373F5" w14:textId="2A814FCF" w:rsidR="00F15F58" w:rsidRPr="00604167" w:rsidRDefault="00F15F58" w:rsidP="001C2EC2">
      <w:pPr>
        <w:rPr>
          <w:rFonts w:eastAsia="Calibri" w:cs="Arial"/>
          <w:b/>
          <w:szCs w:val="16"/>
        </w:rPr>
      </w:pPr>
      <w:r>
        <w:rPr>
          <w:rFonts w:eastAsia="Calibri" w:cs="Arial"/>
          <w:b/>
          <w:szCs w:val="16"/>
        </w:rPr>
        <w:t xml:space="preserve">Please describe, consistent with OSEP QA 23-01, how the State verified that each </w:t>
      </w:r>
      <w:r w:rsidRPr="00604167">
        <w:rPr>
          <w:rFonts w:eastAsia="Calibri" w:cs="Arial"/>
          <w:b/>
          <w:i/>
          <w:iCs/>
          <w:szCs w:val="16"/>
        </w:rPr>
        <w:t>individual case</w:t>
      </w:r>
      <w:r w:rsidRPr="00604167">
        <w:rPr>
          <w:rFonts w:eastAsia="Calibri" w:cs="Arial"/>
          <w:b/>
          <w:szCs w:val="16"/>
        </w:rPr>
        <w:t xml:space="preserve"> of noncompliance was corrected:</w:t>
      </w:r>
    </w:p>
    <w:p w14:paraId="11C4E26A" w14:textId="662C23C7" w:rsidR="003B7840" w:rsidRDefault="003B7840" w:rsidP="001C2EC2">
      <w:pPr>
        <w:rPr>
          <w:rFonts w:eastAsia="Calibri" w:cs="Arial"/>
          <w:bCs/>
          <w:szCs w:val="16"/>
        </w:rPr>
      </w:pPr>
    </w:p>
    <w:p w14:paraId="2D40249B" w14:textId="77777777" w:rsidR="00F42D1A" w:rsidRPr="004267DD" w:rsidRDefault="00F42D1A" w:rsidP="001C2EC2">
      <w:pPr>
        <w:rPr>
          <w:rFonts w:eastAsia="Calibri" w:cs="Arial"/>
          <w:bCs/>
          <w:szCs w:val="16"/>
        </w:rPr>
      </w:pPr>
    </w:p>
    <w:p w14:paraId="625C12B9" w14:textId="453B83FF" w:rsidR="00F15F58" w:rsidRPr="00CB52C7" w:rsidRDefault="00F15F58" w:rsidP="001C2EC2">
      <w:pPr>
        <w:rPr>
          <w:rFonts w:eastAsia="Calibri" w:cs="Arial"/>
          <w:b/>
          <w:szCs w:val="16"/>
        </w:rPr>
      </w:pPr>
      <w:r w:rsidRPr="00CB52C7">
        <w:rPr>
          <w:rFonts w:eastAsia="Calibri" w:cs="Arial"/>
          <w:b/>
          <w:szCs w:val="16"/>
        </w:rPr>
        <w:t>Total for All Noncompliance Identified (Indicators 4B, 9, 10, 11, 12, 13, and Optional Areas):</w:t>
      </w: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B18TOTALFORALLNONCOMPLIANCEIDENTIFIED"/>
      </w:tblPr>
      <w:tblGrid>
        <w:gridCol w:w="2156"/>
        <w:gridCol w:w="2157"/>
        <w:gridCol w:w="2157"/>
        <w:gridCol w:w="2157"/>
        <w:gridCol w:w="2157"/>
      </w:tblGrid>
      <w:tr w:rsidR="00F8304E" w:rsidRPr="00CB52C7" w14:paraId="35D238A7" w14:textId="77777777" w:rsidTr="00C144F3">
        <w:trPr>
          <w:trHeight w:val="360"/>
          <w:tblHeader/>
        </w:trPr>
        <w:tc>
          <w:tcPr>
            <w:tcW w:w="2156" w:type="dxa"/>
          </w:tcPr>
          <w:p w14:paraId="20B66116" w14:textId="33E7BB96"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7" w:type="dxa"/>
          </w:tcPr>
          <w:p w14:paraId="03DCA1AB" w14:textId="4EB08A30" w:rsidR="00F8304E" w:rsidRPr="00CB52C7" w:rsidRDefault="00F8304E" w:rsidP="00C144F3">
            <w:pPr>
              <w:ind w:left="45" w:right="77"/>
              <w:jc w:val="center"/>
              <w:textAlignment w:val="baseline"/>
              <w:rPr>
                <w:rFonts w:eastAsia="Times New Roman" w:cs="Arial"/>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7" w:type="dxa"/>
            <w:shd w:val="clear" w:color="auto" w:fill="auto"/>
          </w:tcPr>
          <w:p w14:paraId="31472D07" w14:textId="12B920A7"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7" w:type="dxa"/>
          </w:tcPr>
          <w:p w14:paraId="4EFD090F" w14:textId="65B4F64C"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7" w:type="dxa"/>
            <w:shd w:val="clear" w:color="auto" w:fill="auto"/>
          </w:tcPr>
          <w:p w14:paraId="38647103" w14:textId="7304C668" w:rsidR="00F8304E" w:rsidRPr="00CB52C7" w:rsidRDefault="00F8304E" w:rsidP="00C144F3">
            <w:pPr>
              <w:jc w:val="center"/>
              <w:textAlignment w:val="baseline"/>
              <w:rPr>
                <w:rFonts w:eastAsia="Times New Roman" w:cs="Arial"/>
                <w:szCs w:val="16"/>
              </w:rPr>
            </w:pPr>
            <w:r w:rsidRPr="000370DE">
              <w:rPr>
                <w:rFonts w:eastAsia="Times New Roman" w:cs="Arial"/>
                <w:b/>
                <w:bCs/>
                <w:szCs w:val="16"/>
              </w:rPr>
              <w:t>Column D:</w:t>
            </w:r>
            <w:r w:rsidRPr="000370DE">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Columns </w:t>
            </w:r>
            <w:r w:rsidRPr="007D0769">
              <w:rPr>
                <w:rFonts w:eastAsia="Times New Roman" w:cs="Arial"/>
                <w:b/>
                <w:bCs/>
                <w:szCs w:val="16"/>
              </w:rPr>
              <w:t>A and B for which correction was not completed or timely corrected</w:t>
            </w:r>
          </w:p>
        </w:tc>
      </w:tr>
      <w:tr w:rsidR="00C048FB" w:rsidRPr="00CB52C7" w14:paraId="0A598889" w14:textId="77777777" w:rsidTr="00C144F3">
        <w:trPr>
          <w:trHeight w:val="360"/>
          <w:tblHeader/>
        </w:trPr>
        <w:tc>
          <w:tcPr>
            <w:tcW w:w="2156" w:type="dxa"/>
            <w:shd w:val="clear" w:color="auto" w:fill="auto"/>
          </w:tcPr>
          <w:p w14:paraId="25C1EF32" w14:textId="0215216F" w:rsidR="003B7840" w:rsidRPr="00CB52C7" w:rsidRDefault="003B7840" w:rsidP="00C144F3">
            <w:pPr>
              <w:jc w:val="center"/>
              <w:textAlignment w:val="baseline"/>
              <w:rPr>
                <w:rFonts w:eastAsia="Times New Roman" w:cs="Arial"/>
                <w:szCs w:val="16"/>
              </w:rPr>
            </w:pPr>
            <w:r w:rsidRPr="00ED172B">
              <w:rPr>
                <w:rFonts w:cs="Arial"/>
                <w:color w:val="000000" w:themeColor="text1"/>
                <w:szCs w:val="16"/>
              </w:rPr>
              <w:t>55</w:t>
            </w:r>
          </w:p>
        </w:tc>
        <w:tc>
          <w:tcPr>
            <w:tcW w:w="2157" w:type="dxa"/>
            <w:shd w:val="clear" w:color="auto" w:fill="auto"/>
          </w:tcPr>
          <w:p w14:paraId="1C02131B" w14:textId="4F39C630" w:rsidR="003B7840" w:rsidRPr="00CB52C7" w:rsidRDefault="003B7840" w:rsidP="00C144F3">
            <w:pPr>
              <w:jc w:val="center"/>
              <w:textAlignment w:val="baseline"/>
              <w:rPr>
                <w:rFonts w:eastAsia="Times New Roman" w:cs="Arial"/>
                <w:szCs w:val="16"/>
              </w:rPr>
            </w:pPr>
            <w:r>
              <w:rPr>
                <w:rFonts w:eastAsia="Times New Roman" w:cs="Arial"/>
                <w:szCs w:val="16"/>
              </w:rPr>
              <w:t>1</w:t>
            </w:r>
          </w:p>
        </w:tc>
        <w:tc>
          <w:tcPr>
            <w:tcW w:w="2157" w:type="dxa"/>
            <w:shd w:val="clear" w:color="auto" w:fill="auto"/>
          </w:tcPr>
          <w:p w14:paraId="16A3AEAE" w14:textId="62D5841A" w:rsidR="003B7840" w:rsidRPr="00CB52C7" w:rsidRDefault="003B7840" w:rsidP="00C144F3">
            <w:pPr>
              <w:jc w:val="center"/>
              <w:textAlignment w:val="baseline"/>
              <w:rPr>
                <w:rFonts w:eastAsia="Times New Roman" w:cs="Arial"/>
                <w:szCs w:val="16"/>
              </w:rPr>
            </w:pPr>
            <w:r w:rsidRPr="00ED172B">
              <w:rPr>
                <w:rFonts w:cs="Arial"/>
                <w:color w:val="000000" w:themeColor="text1"/>
                <w:szCs w:val="16"/>
              </w:rPr>
              <w:t>54</w:t>
            </w:r>
          </w:p>
        </w:tc>
        <w:tc>
          <w:tcPr>
            <w:tcW w:w="2157" w:type="dxa"/>
            <w:shd w:val="clear" w:color="auto" w:fill="auto"/>
          </w:tcPr>
          <w:p w14:paraId="207101B6" w14:textId="70AC7888" w:rsidR="003B7840" w:rsidRPr="00CB52C7" w:rsidRDefault="003B7840" w:rsidP="00C144F3">
            <w:pPr>
              <w:jc w:val="center"/>
              <w:textAlignment w:val="baseline"/>
              <w:rPr>
                <w:rFonts w:eastAsia="Times New Roman" w:cs="Arial"/>
                <w:szCs w:val="16"/>
              </w:rPr>
            </w:pPr>
            <w:r>
              <w:rPr>
                <w:rFonts w:eastAsia="Times New Roman" w:cs="Arial"/>
                <w:szCs w:val="16"/>
              </w:rPr>
              <w:t>1</w:t>
            </w:r>
          </w:p>
        </w:tc>
        <w:tc>
          <w:tcPr>
            <w:tcW w:w="2157" w:type="dxa"/>
            <w:shd w:val="clear" w:color="auto" w:fill="auto"/>
          </w:tcPr>
          <w:p w14:paraId="2A5B54F2" w14:textId="015640F0" w:rsidR="003B7840" w:rsidRPr="00746603" w:rsidRDefault="003B7840" w:rsidP="00C144F3">
            <w:pPr>
              <w:jc w:val="center"/>
              <w:textAlignment w:val="baseline"/>
              <w:rPr>
                <w:rFonts w:eastAsia="Times New Roman" w:cs="Arial"/>
                <w:szCs w:val="16"/>
              </w:rPr>
            </w:pPr>
            <w:r w:rsidRPr="00755D89">
              <w:rPr>
                <w:rFonts w:eastAsia="Times New Roman" w:cs="Arial"/>
                <w:szCs w:val="16"/>
              </w:rPr>
              <w:t>1</w:t>
            </w:r>
          </w:p>
        </w:tc>
      </w:tr>
    </w:tbl>
    <w:p w14:paraId="22034444" w14:textId="77777777" w:rsidR="00F42D1A" w:rsidRDefault="00F42D1A" w:rsidP="00F15F58">
      <w:pPr>
        <w:rPr>
          <w:rFonts w:eastAsia="Calibri" w:cs="Arial"/>
          <w:b/>
          <w:bCs/>
          <w:szCs w:val="16"/>
        </w:rPr>
      </w:pPr>
    </w:p>
    <w:p w14:paraId="3C55C81C" w14:textId="287B6CA2" w:rsidR="00F15F58" w:rsidRPr="000123D2" w:rsidRDefault="00C048FB" w:rsidP="00F15F58">
      <w:pPr>
        <w:rPr>
          <w:rFonts w:eastAsia="Calibri" w:cs="Arial"/>
          <w:b/>
          <w:bCs/>
          <w:szCs w:val="16"/>
        </w:rPr>
      </w:pPr>
      <w:r w:rsidRPr="000123D2">
        <w:rPr>
          <w:rFonts w:eastAsia="Calibri" w:cs="Arial"/>
          <w:b/>
          <w:bCs/>
          <w:szCs w:val="16"/>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8CFFYSPPAPRDATA"/>
      </w:tblPr>
      <w:tblGrid>
        <w:gridCol w:w="1540"/>
        <w:gridCol w:w="1541"/>
        <w:gridCol w:w="1543"/>
        <w:gridCol w:w="1541"/>
        <w:gridCol w:w="1543"/>
        <w:gridCol w:w="1541"/>
        <w:gridCol w:w="1541"/>
      </w:tblGrid>
      <w:tr w:rsidR="00F15F58" w:rsidRPr="00CB52C7" w14:paraId="73DCF5EB" w14:textId="77777777" w:rsidTr="00C144F3">
        <w:trPr>
          <w:trHeight w:val="360"/>
          <w:tblHeader/>
        </w:trPr>
        <w:tc>
          <w:tcPr>
            <w:tcW w:w="714" w:type="pct"/>
          </w:tcPr>
          <w:p w14:paraId="41EAA6AD" w14:textId="082F3035" w:rsidR="00F15F58" w:rsidRPr="00CB52C7" w:rsidRDefault="00F15F58">
            <w:pPr>
              <w:jc w:val="center"/>
              <w:rPr>
                <w:rFonts w:eastAsia="Calibri" w:cs="Arial"/>
                <w:b/>
                <w:szCs w:val="16"/>
              </w:rPr>
            </w:pPr>
            <w:r w:rsidRPr="00CB52C7">
              <w:rPr>
                <w:rFonts w:eastAsia="Calibri" w:cs="Arial"/>
                <w:b/>
                <w:szCs w:val="16"/>
              </w:rPr>
              <w:t>Number of findings of Noncompliance that were timely corrected</w:t>
            </w:r>
          </w:p>
        </w:tc>
        <w:tc>
          <w:tcPr>
            <w:tcW w:w="714" w:type="pct"/>
          </w:tcPr>
          <w:p w14:paraId="6208FFC8" w14:textId="42DC6E09" w:rsidR="00F15F58" w:rsidRPr="00CB52C7" w:rsidRDefault="00F15F58">
            <w:pPr>
              <w:jc w:val="center"/>
              <w:rPr>
                <w:rFonts w:eastAsia="Calibri" w:cs="Arial"/>
                <w:b/>
                <w:szCs w:val="16"/>
              </w:rPr>
            </w:pPr>
            <w:r w:rsidRPr="00CB52C7">
              <w:rPr>
                <w:rFonts w:eastAsia="Calibri" w:cs="Arial"/>
                <w:b/>
                <w:szCs w:val="16"/>
              </w:rPr>
              <w:t>Number of findings of Noncompliance that were identified FFY 2022</w:t>
            </w:r>
          </w:p>
        </w:tc>
        <w:tc>
          <w:tcPr>
            <w:tcW w:w="715" w:type="pct"/>
            <w:shd w:val="clear" w:color="auto" w:fill="auto"/>
          </w:tcPr>
          <w:p w14:paraId="0D68BA78" w14:textId="69C67D95" w:rsidR="00F15F58" w:rsidRPr="00CB52C7" w:rsidRDefault="00F15F58" w:rsidP="009C75E8">
            <w:pPr>
              <w:jc w:val="center"/>
              <w:rPr>
                <w:rFonts w:eastAsia="Calibri" w:cs="Arial"/>
                <w:b/>
                <w:szCs w:val="16"/>
              </w:rPr>
            </w:pPr>
            <w:r w:rsidRPr="00CB52C7">
              <w:rPr>
                <w:rFonts w:eastAsia="Calibri" w:cs="Arial"/>
                <w:b/>
                <w:szCs w:val="16"/>
              </w:rPr>
              <w:t xml:space="preserve">FFY 2022 Data </w:t>
            </w:r>
          </w:p>
        </w:tc>
        <w:tc>
          <w:tcPr>
            <w:tcW w:w="714" w:type="pct"/>
            <w:shd w:val="clear" w:color="auto" w:fill="auto"/>
          </w:tcPr>
          <w:p w14:paraId="05C64A70" w14:textId="77777777" w:rsidR="00F15F58" w:rsidRPr="00CB52C7" w:rsidRDefault="00F15F58">
            <w:pPr>
              <w:jc w:val="center"/>
              <w:rPr>
                <w:rFonts w:eastAsia="Calibri" w:cs="Arial"/>
                <w:b/>
                <w:szCs w:val="16"/>
              </w:rPr>
            </w:pPr>
            <w:r w:rsidRPr="00CB52C7">
              <w:rPr>
                <w:rFonts w:eastAsia="Calibri" w:cs="Arial"/>
                <w:b/>
                <w:szCs w:val="16"/>
              </w:rPr>
              <w:t>FFY 2023 Target</w:t>
            </w:r>
          </w:p>
        </w:tc>
        <w:tc>
          <w:tcPr>
            <w:tcW w:w="715" w:type="pct"/>
            <w:shd w:val="clear" w:color="auto" w:fill="auto"/>
          </w:tcPr>
          <w:p w14:paraId="7B57A256" w14:textId="21A3EA5F" w:rsidR="00F15F58" w:rsidRPr="00CB52C7" w:rsidRDefault="00F15F58" w:rsidP="009C75E8">
            <w:pPr>
              <w:jc w:val="center"/>
              <w:rPr>
                <w:rFonts w:eastAsia="Calibri" w:cs="Arial"/>
                <w:b/>
                <w:szCs w:val="16"/>
              </w:rPr>
            </w:pPr>
            <w:r w:rsidRPr="00CB52C7">
              <w:rPr>
                <w:rFonts w:eastAsia="Calibri" w:cs="Arial"/>
                <w:b/>
                <w:szCs w:val="16"/>
              </w:rPr>
              <w:t>FFY 2023 Data</w:t>
            </w:r>
          </w:p>
        </w:tc>
        <w:tc>
          <w:tcPr>
            <w:tcW w:w="714" w:type="pct"/>
            <w:shd w:val="clear" w:color="auto" w:fill="auto"/>
          </w:tcPr>
          <w:p w14:paraId="6BFBBA4C" w14:textId="77777777" w:rsidR="00F15F58" w:rsidRPr="00CB52C7" w:rsidRDefault="00F15F58">
            <w:pPr>
              <w:jc w:val="center"/>
              <w:rPr>
                <w:rFonts w:eastAsia="Calibri" w:cs="Arial"/>
                <w:b/>
                <w:szCs w:val="16"/>
              </w:rPr>
            </w:pPr>
            <w:r w:rsidRPr="00CB52C7">
              <w:rPr>
                <w:rFonts w:eastAsia="Calibri" w:cs="Arial"/>
                <w:b/>
                <w:szCs w:val="16"/>
              </w:rPr>
              <w:t>Status</w:t>
            </w:r>
          </w:p>
        </w:tc>
        <w:tc>
          <w:tcPr>
            <w:tcW w:w="715" w:type="pct"/>
            <w:shd w:val="clear" w:color="auto" w:fill="auto"/>
          </w:tcPr>
          <w:p w14:paraId="3326D598" w14:textId="77777777" w:rsidR="00F15F58" w:rsidRPr="00CB52C7" w:rsidRDefault="00F15F58">
            <w:pPr>
              <w:jc w:val="center"/>
              <w:rPr>
                <w:rFonts w:eastAsia="Calibri" w:cs="Arial"/>
                <w:b/>
                <w:szCs w:val="16"/>
              </w:rPr>
            </w:pPr>
            <w:r w:rsidRPr="00CB52C7">
              <w:rPr>
                <w:rFonts w:eastAsia="Calibri" w:cs="Arial"/>
                <w:b/>
                <w:szCs w:val="16"/>
              </w:rPr>
              <w:t>Slippage</w:t>
            </w:r>
          </w:p>
        </w:tc>
      </w:tr>
      <w:tr w:rsidR="003B7840" w:rsidRPr="00CB52C7" w14:paraId="2B998F85" w14:textId="77777777" w:rsidTr="00C144F3">
        <w:trPr>
          <w:trHeight w:val="360"/>
          <w:tblHeader/>
        </w:trPr>
        <w:tc>
          <w:tcPr>
            <w:tcW w:w="714" w:type="pct"/>
            <w:shd w:val="clear" w:color="auto" w:fill="auto"/>
          </w:tcPr>
          <w:p w14:paraId="7ED32011" w14:textId="3670269C" w:rsidR="003B7840" w:rsidRPr="00CB52C7" w:rsidRDefault="003B7840" w:rsidP="009C75E8">
            <w:pPr>
              <w:jc w:val="center"/>
              <w:rPr>
                <w:rFonts w:eastAsia="Calibri" w:cs="Arial"/>
                <w:caps/>
                <w:szCs w:val="16"/>
              </w:rPr>
            </w:pPr>
            <w:r>
              <w:rPr>
                <w:rFonts w:cs="Arial"/>
                <w:color w:val="000000" w:themeColor="text1"/>
                <w:szCs w:val="16"/>
              </w:rPr>
              <w:t>55</w:t>
            </w:r>
          </w:p>
        </w:tc>
        <w:tc>
          <w:tcPr>
            <w:tcW w:w="714" w:type="pct"/>
            <w:shd w:val="clear" w:color="auto" w:fill="auto"/>
          </w:tcPr>
          <w:p w14:paraId="04823B5E" w14:textId="5A51E552" w:rsidR="003B7840" w:rsidRPr="00CB52C7" w:rsidRDefault="003B7840" w:rsidP="003B7840">
            <w:pPr>
              <w:jc w:val="center"/>
              <w:rPr>
                <w:rFonts w:eastAsia="Calibri" w:cs="Arial"/>
                <w:caps/>
                <w:szCs w:val="16"/>
              </w:rPr>
            </w:pPr>
            <w:r>
              <w:rPr>
                <w:rFonts w:cs="Arial"/>
                <w:color w:val="000000" w:themeColor="text1"/>
                <w:szCs w:val="16"/>
              </w:rPr>
              <w:t>56</w:t>
            </w:r>
          </w:p>
        </w:tc>
        <w:tc>
          <w:tcPr>
            <w:tcW w:w="715" w:type="pct"/>
            <w:shd w:val="clear" w:color="auto" w:fill="auto"/>
          </w:tcPr>
          <w:p w14:paraId="132C3D1F" w14:textId="12D815FF" w:rsidR="003B7840" w:rsidRPr="00CB52C7" w:rsidRDefault="003B7840" w:rsidP="003B7840">
            <w:pPr>
              <w:jc w:val="center"/>
              <w:rPr>
                <w:rFonts w:eastAsia="Calibri" w:cs="Arial"/>
                <w:caps/>
                <w:szCs w:val="16"/>
              </w:rPr>
            </w:pPr>
          </w:p>
        </w:tc>
        <w:tc>
          <w:tcPr>
            <w:tcW w:w="714" w:type="pct"/>
            <w:shd w:val="clear" w:color="auto" w:fill="auto"/>
          </w:tcPr>
          <w:p w14:paraId="23319C0A" w14:textId="54C859BF" w:rsidR="003B7840" w:rsidRPr="00CB52C7" w:rsidRDefault="003B7840" w:rsidP="003B7840">
            <w:pPr>
              <w:jc w:val="center"/>
              <w:rPr>
                <w:rFonts w:eastAsia="Calibri" w:cs="Arial"/>
                <w:caps/>
                <w:szCs w:val="16"/>
              </w:rPr>
            </w:pPr>
            <w:r w:rsidRPr="00ED172B">
              <w:rPr>
                <w:color w:val="000000" w:themeColor="text1"/>
                <w:szCs w:val="16"/>
              </w:rPr>
              <w:t>100%</w:t>
            </w:r>
          </w:p>
        </w:tc>
        <w:tc>
          <w:tcPr>
            <w:tcW w:w="715" w:type="pct"/>
            <w:shd w:val="clear" w:color="auto" w:fill="auto"/>
          </w:tcPr>
          <w:p w14:paraId="413BF3F0" w14:textId="1115B932" w:rsidR="003B7840" w:rsidRPr="00CB52C7" w:rsidRDefault="003B7840" w:rsidP="009C75E8">
            <w:pPr>
              <w:jc w:val="center"/>
              <w:rPr>
                <w:rFonts w:eastAsia="Calibri" w:cs="Arial"/>
                <w:caps/>
                <w:szCs w:val="16"/>
              </w:rPr>
            </w:pPr>
            <w:r w:rsidRPr="00ED172B">
              <w:rPr>
                <w:rFonts w:cs="Arial"/>
                <w:color w:val="000000" w:themeColor="text1"/>
                <w:szCs w:val="16"/>
              </w:rPr>
              <w:t>98.21%</w:t>
            </w:r>
          </w:p>
        </w:tc>
        <w:tc>
          <w:tcPr>
            <w:tcW w:w="714" w:type="pct"/>
            <w:shd w:val="clear" w:color="auto" w:fill="auto"/>
          </w:tcPr>
          <w:p w14:paraId="340A22E4" w14:textId="048D55A7" w:rsidR="003B7840" w:rsidRPr="00CB52C7" w:rsidRDefault="003B7840" w:rsidP="009C75E8">
            <w:pPr>
              <w:jc w:val="center"/>
              <w:rPr>
                <w:rFonts w:eastAsia="Calibri" w:cs="Arial"/>
                <w:caps/>
                <w:szCs w:val="16"/>
              </w:rPr>
            </w:pPr>
            <w:r w:rsidRPr="00ED172B">
              <w:rPr>
                <w:color w:val="000000" w:themeColor="text1"/>
              </w:rPr>
              <w:t>N/A</w:t>
            </w:r>
          </w:p>
        </w:tc>
        <w:tc>
          <w:tcPr>
            <w:tcW w:w="715" w:type="pct"/>
            <w:shd w:val="clear" w:color="auto" w:fill="auto"/>
          </w:tcPr>
          <w:p w14:paraId="03E96377" w14:textId="0127F818" w:rsidR="003B7840" w:rsidRPr="00CB52C7" w:rsidRDefault="003B7840" w:rsidP="009C75E8">
            <w:pPr>
              <w:jc w:val="center"/>
              <w:rPr>
                <w:rFonts w:eastAsia="Calibri" w:cs="Arial"/>
                <w:caps/>
                <w:szCs w:val="16"/>
              </w:rPr>
            </w:pPr>
            <w:r w:rsidRPr="00ED172B">
              <w:rPr>
                <w:color w:val="000000" w:themeColor="text1"/>
              </w:rPr>
              <w:t>N/A</w:t>
            </w:r>
          </w:p>
        </w:tc>
      </w:tr>
    </w:tbl>
    <w:p w14:paraId="19B6B9EB" w14:textId="77777777" w:rsidR="00F15F58" w:rsidRDefault="00F15F58" w:rsidP="00F15F58">
      <w:pPr>
        <w:rPr>
          <w:rFonts w:eastAsia="Calibri" w:cs="Arial"/>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8CFFYPCTFONNTC"/>
      </w:tblPr>
      <w:tblGrid>
        <w:gridCol w:w="8004"/>
        <w:gridCol w:w="2786"/>
      </w:tblGrid>
      <w:tr w:rsidR="00F15F58" w:rsidRPr="00CB52C7" w14:paraId="628F40D4" w14:textId="77777777" w:rsidTr="00C144F3">
        <w:trPr>
          <w:trHeight w:val="720"/>
        </w:trPr>
        <w:tc>
          <w:tcPr>
            <w:tcW w:w="3709" w:type="pct"/>
            <w:shd w:val="clear" w:color="auto" w:fill="auto"/>
            <w:vAlign w:val="center"/>
          </w:tcPr>
          <w:p w14:paraId="12073CEC" w14:textId="77777777" w:rsidR="00F15F58" w:rsidRPr="00CB52C7" w:rsidRDefault="00F15F58">
            <w:pPr>
              <w:jc w:val="center"/>
              <w:rPr>
                <w:rFonts w:eastAsia="Calibri" w:cs="Arial"/>
                <w:caps/>
                <w:szCs w:val="16"/>
              </w:rPr>
            </w:pPr>
            <w:r w:rsidRPr="007D0769">
              <w:rPr>
                <w:rFonts w:eastAsia="Times New Roman" w:cs="Arial"/>
                <w:szCs w:val="16"/>
              </w:rPr>
              <w:lastRenderedPageBreak/>
              <w:t>Percent of findings of noncompliance not corrected or not verified as corrected within one year of identification</w:t>
            </w:r>
          </w:p>
        </w:tc>
        <w:tc>
          <w:tcPr>
            <w:tcW w:w="1291" w:type="pct"/>
            <w:shd w:val="clear" w:color="auto" w:fill="auto"/>
            <w:vAlign w:val="center"/>
          </w:tcPr>
          <w:p w14:paraId="3AB8E753" w14:textId="5F972123" w:rsidR="00F15F58" w:rsidRPr="00CB52C7" w:rsidRDefault="003B7840" w:rsidP="008D766F">
            <w:pPr>
              <w:jc w:val="center"/>
              <w:rPr>
                <w:rFonts w:eastAsia="Calibri" w:cs="Arial"/>
                <w:caps/>
                <w:szCs w:val="16"/>
              </w:rPr>
            </w:pPr>
            <w:r>
              <w:rPr>
                <w:rFonts w:eastAsia="Calibri" w:cs="Arial"/>
                <w:iCs/>
                <w:szCs w:val="16"/>
              </w:rPr>
              <w:t>1.79%</w:t>
            </w:r>
          </w:p>
        </w:tc>
      </w:tr>
    </w:tbl>
    <w:p w14:paraId="01B52DF1" w14:textId="77777777" w:rsidR="00C9712C" w:rsidRDefault="00C9712C" w:rsidP="001C2EC2">
      <w:pPr>
        <w:spacing w:line="276" w:lineRule="auto"/>
        <w:rPr>
          <w:color w:val="000000" w:themeColor="text1"/>
        </w:rPr>
      </w:pPr>
    </w:p>
    <w:p w14:paraId="73087457" w14:textId="77777777" w:rsidR="00F15F58" w:rsidRPr="00C144F3" w:rsidRDefault="00F15F58" w:rsidP="00C144F3">
      <w:pPr>
        <w:keepNext/>
        <w:rPr>
          <w:rFonts w:eastAsia="Calibri" w:cs="Arial"/>
          <w:b/>
          <w:bCs/>
          <w:szCs w:val="16"/>
        </w:rPr>
      </w:pPr>
      <w:r w:rsidRPr="00C144F3">
        <w:rPr>
          <w:rFonts w:eastAsia="Calibri" w:cs="Arial"/>
          <w:b/>
          <w:bCs/>
          <w:szCs w:val="16"/>
        </w:rPr>
        <w:t>Provide additional information about this indicator (optional)</w:t>
      </w:r>
    </w:p>
    <w:p w14:paraId="1CD65736" w14:textId="5FD40EDF" w:rsidR="00F15F58" w:rsidRDefault="00F15F58" w:rsidP="00C144F3">
      <w:pPr>
        <w:spacing w:line="276" w:lineRule="auto"/>
        <w:rPr>
          <w:color w:val="000000" w:themeColor="text1"/>
        </w:rPr>
      </w:pPr>
      <w:r>
        <w:rPr>
          <w:color w:val="000000" w:themeColor="text1"/>
        </w:rPr>
        <w:t>WVDE/OSE’s general supervision document may be accessed through the “system of general supervision” hyperlink located at [https://wvde.us/special-education/policies-and-compliance/]</w:t>
      </w:r>
    </w:p>
    <w:p w14:paraId="14E72C3D" w14:textId="77777777" w:rsidR="001C2EC2" w:rsidRDefault="001C2EC2" w:rsidP="001C2EC2">
      <w:pPr>
        <w:textAlignment w:val="baseline"/>
        <w:rPr>
          <w:rFonts w:eastAsia="Times New Roman" w:cs="Arial"/>
          <w:b/>
          <w:bCs/>
          <w:szCs w:val="16"/>
        </w:rPr>
      </w:pPr>
    </w:p>
    <w:p w14:paraId="6153E988" w14:textId="6FAFBE02" w:rsidR="00F15F58" w:rsidRPr="00CB52C7" w:rsidRDefault="00F15F58" w:rsidP="00C144F3">
      <w:pPr>
        <w:textAlignment w:val="baseline"/>
        <w:rPr>
          <w:rFonts w:eastAsia="Times New Roman" w:cs="Arial"/>
          <w:b/>
          <w:bCs/>
          <w:szCs w:val="16"/>
        </w:rPr>
      </w:pPr>
      <w:r w:rsidRPr="00CB52C7">
        <w:rPr>
          <w:rFonts w:eastAsia="Times New Roman" w:cs="Arial"/>
          <w:b/>
          <w:bCs/>
          <w:szCs w:val="16"/>
        </w:rPr>
        <w:t>Summary of Findings of Noncompliance identified in FFY 2022 Corrected in FFY 2023 (corrected within one year from identification of the noncompliance):</w:t>
      </w:r>
    </w:p>
    <w:tbl>
      <w:tblPr>
        <w:tblW w:w="1077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B1FINDINGSOFNONCOMPLIANCECORRECTED"/>
      </w:tblPr>
      <w:tblGrid>
        <w:gridCol w:w="9642"/>
        <w:gridCol w:w="1130"/>
      </w:tblGrid>
      <w:tr w:rsidR="00F15F58" w:rsidRPr="00CB52C7" w14:paraId="13896F43" w14:textId="77777777" w:rsidTr="00C144F3">
        <w:trPr>
          <w:trHeight w:val="360"/>
        </w:trPr>
        <w:tc>
          <w:tcPr>
            <w:tcW w:w="9642" w:type="dxa"/>
            <w:shd w:val="clear" w:color="auto" w:fill="auto"/>
            <w:tcMar>
              <w:top w:w="14" w:type="dxa"/>
              <w:left w:w="58" w:type="dxa"/>
              <w:bottom w:w="14" w:type="dxa"/>
              <w:right w:w="58" w:type="dxa"/>
            </w:tcMar>
            <w:hideMark/>
          </w:tcPr>
          <w:p w14:paraId="6B3303FC" w14:textId="40499B57"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1. Number of findings of noncompliance the State identified during FFY 2022 (the period from July 1, 2022 through June 30, 2023)</w:t>
            </w:r>
          </w:p>
        </w:tc>
        <w:tc>
          <w:tcPr>
            <w:tcW w:w="1130" w:type="dxa"/>
            <w:shd w:val="clear" w:color="auto" w:fill="auto"/>
            <w:tcMar>
              <w:top w:w="14" w:type="dxa"/>
              <w:left w:w="58" w:type="dxa"/>
              <w:bottom w:w="14" w:type="dxa"/>
              <w:right w:w="58" w:type="dxa"/>
            </w:tcMar>
            <w:vAlign w:val="center"/>
          </w:tcPr>
          <w:p w14:paraId="1F2CC4DF" w14:textId="3840CACA"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56</w:t>
            </w:r>
          </w:p>
        </w:tc>
      </w:tr>
      <w:tr w:rsidR="00F15F58" w:rsidRPr="00CB52C7" w14:paraId="4BCCCDE7" w14:textId="77777777" w:rsidTr="00C144F3">
        <w:trPr>
          <w:trHeight w:val="360"/>
        </w:trPr>
        <w:tc>
          <w:tcPr>
            <w:tcW w:w="9642" w:type="dxa"/>
            <w:shd w:val="clear" w:color="auto" w:fill="auto"/>
            <w:tcMar>
              <w:top w:w="14" w:type="dxa"/>
              <w:left w:w="58" w:type="dxa"/>
              <w:bottom w:w="14" w:type="dxa"/>
              <w:right w:w="58" w:type="dxa"/>
            </w:tcMar>
            <w:hideMark/>
          </w:tcPr>
          <w:p w14:paraId="1A7E256C" w14:textId="6CF58C2E"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2. Number of findings the State verified as timely corrected (corrected within one year from the date of written notification to the LEA of the finding)</w:t>
            </w:r>
          </w:p>
        </w:tc>
        <w:tc>
          <w:tcPr>
            <w:tcW w:w="1130" w:type="dxa"/>
            <w:shd w:val="clear" w:color="auto" w:fill="auto"/>
            <w:tcMar>
              <w:top w:w="14" w:type="dxa"/>
              <w:left w:w="58" w:type="dxa"/>
              <w:bottom w:w="14" w:type="dxa"/>
              <w:right w:w="58" w:type="dxa"/>
            </w:tcMar>
            <w:vAlign w:val="center"/>
          </w:tcPr>
          <w:p w14:paraId="746E7008" w14:textId="1CBFC611"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55</w:t>
            </w:r>
          </w:p>
        </w:tc>
      </w:tr>
      <w:tr w:rsidR="00F15F58" w:rsidRPr="00CB52C7" w14:paraId="3D52E1C4" w14:textId="77777777" w:rsidTr="00C144F3">
        <w:trPr>
          <w:trHeight w:val="360"/>
        </w:trPr>
        <w:tc>
          <w:tcPr>
            <w:tcW w:w="9642" w:type="dxa"/>
            <w:shd w:val="clear" w:color="auto" w:fill="auto"/>
            <w:tcMar>
              <w:top w:w="14" w:type="dxa"/>
              <w:left w:w="58" w:type="dxa"/>
              <w:bottom w:w="14" w:type="dxa"/>
              <w:right w:w="58" w:type="dxa"/>
            </w:tcMar>
            <w:hideMark/>
          </w:tcPr>
          <w:p w14:paraId="0B03FF72" w14:textId="06F393D1"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 xml:space="preserve">3. Number of findings </w:t>
            </w:r>
            <w:r w:rsidRPr="00CB52C7">
              <w:rPr>
                <w:rFonts w:eastAsia="Times New Roman" w:cs="Arial"/>
                <w:szCs w:val="16"/>
                <w:u w:val="single"/>
              </w:rPr>
              <w:t>not</w:t>
            </w:r>
            <w:r w:rsidRPr="00CB52C7">
              <w:rPr>
                <w:rFonts w:eastAsia="Times New Roman" w:cs="Arial"/>
                <w:szCs w:val="16"/>
              </w:rPr>
              <w:t xml:space="preserve"> verified as corrected within one year</w:t>
            </w:r>
          </w:p>
        </w:tc>
        <w:tc>
          <w:tcPr>
            <w:tcW w:w="1130" w:type="dxa"/>
            <w:shd w:val="clear" w:color="auto" w:fill="auto"/>
            <w:tcMar>
              <w:top w:w="14" w:type="dxa"/>
              <w:left w:w="58" w:type="dxa"/>
              <w:bottom w:w="14" w:type="dxa"/>
              <w:right w:w="58" w:type="dxa"/>
            </w:tcMar>
            <w:vAlign w:val="center"/>
          </w:tcPr>
          <w:p w14:paraId="336B7ACD" w14:textId="1AE3ACAC"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1</w:t>
            </w:r>
          </w:p>
        </w:tc>
      </w:tr>
    </w:tbl>
    <w:p w14:paraId="2FABE722" w14:textId="4FE86EEB" w:rsidR="00F15F58" w:rsidRPr="00CB52C7" w:rsidRDefault="00F15F58" w:rsidP="00C144F3">
      <w:pPr>
        <w:jc w:val="both"/>
        <w:textAlignment w:val="baseline"/>
        <w:rPr>
          <w:rFonts w:eastAsia="Times New Roman" w:cs="Arial"/>
          <w:szCs w:val="16"/>
        </w:rPr>
      </w:pPr>
    </w:p>
    <w:p w14:paraId="70CECF67" w14:textId="677F9E71" w:rsidR="00F15F58" w:rsidRPr="00CB52C7" w:rsidRDefault="00F15F58" w:rsidP="00C144F3">
      <w:pPr>
        <w:textAlignment w:val="baseline"/>
        <w:rPr>
          <w:rFonts w:eastAsia="Times New Roman" w:cs="Arial"/>
          <w:b/>
          <w:bCs/>
          <w:szCs w:val="16"/>
        </w:rPr>
      </w:pPr>
      <w:r w:rsidRPr="00CB52C7">
        <w:rPr>
          <w:rFonts w:eastAsia="Times New Roman" w:cs="Arial"/>
          <w:b/>
          <w:bCs/>
          <w:szCs w:val="16"/>
        </w:rPr>
        <w:t>Subsequent Correction: Summary of All Outstanding Findings of Noncompliance Identified in FFY 2022 Not Timely Corrected in FFY 2023 (corrected more than one year from identification of the noncompliance):</w:t>
      </w:r>
    </w:p>
    <w:tbl>
      <w:tblPr>
        <w:tblW w:w="1077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B18SUBSEQUENTCORRECTION"/>
      </w:tblPr>
      <w:tblGrid>
        <w:gridCol w:w="6726"/>
        <w:gridCol w:w="4047"/>
      </w:tblGrid>
      <w:tr w:rsidR="00F15F58" w:rsidRPr="00CB52C7" w14:paraId="6394EFFD" w14:textId="77777777" w:rsidTr="00C144F3">
        <w:trPr>
          <w:trHeight w:val="348"/>
        </w:trPr>
        <w:tc>
          <w:tcPr>
            <w:tcW w:w="6726" w:type="dxa"/>
            <w:shd w:val="clear" w:color="auto" w:fill="auto"/>
            <w:tcMar>
              <w:top w:w="14" w:type="dxa"/>
              <w:left w:w="58" w:type="dxa"/>
              <w:bottom w:w="14" w:type="dxa"/>
              <w:right w:w="58" w:type="dxa"/>
            </w:tcMar>
            <w:hideMark/>
          </w:tcPr>
          <w:p w14:paraId="48F78A45" w14:textId="31014462" w:rsidR="00F15F58" w:rsidRPr="00CB52C7" w:rsidRDefault="00F15F58">
            <w:pPr>
              <w:spacing w:after="0"/>
              <w:textAlignment w:val="baseline"/>
              <w:rPr>
                <w:rFonts w:eastAsia="Times New Roman" w:cs="Arial"/>
                <w:szCs w:val="16"/>
              </w:rPr>
            </w:pPr>
            <w:r w:rsidRPr="00CB52C7">
              <w:rPr>
                <w:rFonts w:eastAsia="Times New Roman" w:cs="Arial"/>
                <w:szCs w:val="16"/>
              </w:rPr>
              <w:t>4. Number of findings of noncompliance not timely corrected</w:t>
            </w:r>
          </w:p>
        </w:tc>
        <w:tc>
          <w:tcPr>
            <w:tcW w:w="4047" w:type="dxa"/>
            <w:shd w:val="clear" w:color="auto" w:fill="auto"/>
            <w:tcMar>
              <w:top w:w="14" w:type="dxa"/>
              <w:left w:w="58" w:type="dxa"/>
              <w:bottom w:w="14" w:type="dxa"/>
              <w:right w:w="58" w:type="dxa"/>
            </w:tcMar>
            <w:vAlign w:val="center"/>
          </w:tcPr>
          <w:p w14:paraId="5B80499D" w14:textId="4D5B3033" w:rsidR="00F15F58" w:rsidRPr="00CB52C7" w:rsidRDefault="003B7840">
            <w:pPr>
              <w:spacing w:after="0"/>
              <w:jc w:val="center"/>
              <w:textAlignment w:val="baseline"/>
              <w:rPr>
                <w:rFonts w:eastAsia="Times New Roman" w:cs="Arial"/>
                <w:szCs w:val="16"/>
              </w:rPr>
            </w:pPr>
            <w:r>
              <w:rPr>
                <w:rFonts w:eastAsia="Times New Roman" w:cs="Arial"/>
                <w:szCs w:val="16"/>
              </w:rPr>
              <w:t>1</w:t>
            </w:r>
          </w:p>
        </w:tc>
      </w:tr>
      <w:tr w:rsidR="00F15F58" w:rsidRPr="00CB52C7" w14:paraId="508B0459" w14:textId="77777777" w:rsidTr="00F42D1A">
        <w:trPr>
          <w:trHeight w:val="348"/>
        </w:trPr>
        <w:tc>
          <w:tcPr>
            <w:tcW w:w="6726" w:type="dxa"/>
            <w:shd w:val="clear" w:color="auto" w:fill="auto"/>
            <w:tcMar>
              <w:top w:w="14" w:type="dxa"/>
              <w:left w:w="58" w:type="dxa"/>
              <w:bottom w:w="14" w:type="dxa"/>
              <w:right w:w="58" w:type="dxa"/>
            </w:tcMar>
            <w:hideMark/>
          </w:tcPr>
          <w:p w14:paraId="63C7A296" w14:textId="624C6812" w:rsidR="00F15F58" w:rsidRPr="00CB52C7" w:rsidRDefault="0092282C">
            <w:pPr>
              <w:spacing w:after="0"/>
              <w:textAlignment w:val="baseline"/>
              <w:rPr>
                <w:rFonts w:eastAsia="Times New Roman" w:cs="Arial"/>
                <w:szCs w:val="16"/>
              </w:rPr>
            </w:pPr>
            <w:r w:rsidRPr="007D0769">
              <w:rPr>
                <w:rFonts w:eastAsia="Times New Roman" w:cs="Arial"/>
                <w:szCs w:val="16"/>
              </w:rPr>
              <w:t>5. Number of findings in Col. A the State has verified as corrected beyond the one-year timeline for Indicator 4B, 9, 10, 11, 12, 13 (“subsequent correction”)</w:t>
            </w:r>
          </w:p>
        </w:tc>
        <w:tc>
          <w:tcPr>
            <w:tcW w:w="4047" w:type="dxa"/>
            <w:shd w:val="clear" w:color="auto" w:fill="auto"/>
            <w:tcMar>
              <w:top w:w="14" w:type="dxa"/>
              <w:left w:w="58" w:type="dxa"/>
              <w:bottom w:w="14" w:type="dxa"/>
              <w:right w:w="58" w:type="dxa"/>
            </w:tcMar>
            <w:vAlign w:val="center"/>
          </w:tcPr>
          <w:p w14:paraId="7CB540FC" w14:textId="1FA76A2F" w:rsidR="00F15F58" w:rsidRPr="00CB52C7" w:rsidRDefault="003B7840">
            <w:pPr>
              <w:spacing w:after="0"/>
              <w:jc w:val="center"/>
              <w:textAlignment w:val="baseline"/>
              <w:rPr>
                <w:rFonts w:eastAsia="Times New Roman" w:cs="Arial"/>
                <w:szCs w:val="16"/>
              </w:rPr>
            </w:pPr>
            <w:r>
              <w:rPr>
                <w:rFonts w:eastAsia="Times New Roman" w:cs="Arial"/>
                <w:szCs w:val="16"/>
              </w:rPr>
              <w:t>1</w:t>
            </w:r>
          </w:p>
        </w:tc>
      </w:tr>
      <w:tr w:rsidR="00F70490" w:rsidRPr="00CB52C7" w14:paraId="4B873665" w14:textId="77777777" w:rsidTr="00C144F3">
        <w:trPr>
          <w:trHeight w:val="348"/>
        </w:trPr>
        <w:tc>
          <w:tcPr>
            <w:tcW w:w="6726" w:type="dxa"/>
            <w:shd w:val="clear" w:color="auto" w:fill="auto"/>
            <w:tcMar>
              <w:top w:w="14" w:type="dxa"/>
              <w:left w:w="58" w:type="dxa"/>
              <w:bottom w:w="14" w:type="dxa"/>
              <w:right w:w="58" w:type="dxa"/>
            </w:tcMar>
          </w:tcPr>
          <w:p w14:paraId="6BC48A38" w14:textId="24608737" w:rsidR="00F70490" w:rsidRPr="00CB52C7" w:rsidRDefault="00F70490" w:rsidP="00F70490">
            <w:pPr>
              <w:spacing w:after="0"/>
              <w:textAlignment w:val="baseline"/>
              <w:rPr>
                <w:rFonts w:eastAsia="Times New Roman" w:cs="Arial"/>
                <w:szCs w:val="16"/>
              </w:rPr>
            </w:pPr>
            <w:r>
              <w:rPr>
                <w:rFonts w:eastAsia="Times New Roman" w:cs="Arial"/>
                <w:szCs w:val="16"/>
              </w:rPr>
              <w:t>6a. Number of additional written findings of noncompliance (Col. B) the state has verified as corrected beyond the one-year timeline (“subsequent correction”) - Indicator 4B</w:t>
            </w:r>
          </w:p>
        </w:tc>
        <w:tc>
          <w:tcPr>
            <w:tcW w:w="4047" w:type="dxa"/>
            <w:shd w:val="clear" w:color="auto" w:fill="auto"/>
            <w:tcMar>
              <w:top w:w="14" w:type="dxa"/>
              <w:left w:w="58" w:type="dxa"/>
              <w:bottom w:w="14" w:type="dxa"/>
              <w:right w:w="58" w:type="dxa"/>
            </w:tcMar>
            <w:vAlign w:val="center"/>
          </w:tcPr>
          <w:p w14:paraId="6DF783C6" w14:textId="2A34654C" w:rsidR="00F70490" w:rsidRDefault="00F70490" w:rsidP="00F70490">
            <w:pPr>
              <w:spacing w:after="0"/>
              <w:jc w:val="center"/>
              <w:textAlignment w:val="baseline"/>
              <w:rPr>
                <w:rFonts w:eastAsia="Times New Roman" w:cs="Arial"/>
                <w:szCs w:val="16"/>
              </w:rPr>
            </w:pPr>
          </w:p>
        </w:tc>
      </w:tr>
      <w:tr w:rsidR="00F70490" w:rsidRPr="00CB52C7" w14:paraId="26E342B0" w14:textId="77777777" w:rsidTr="00C144F3">
        <w:trPr>
          <w:trHeight w:val="348"/>
        </w:trPr>
        <w:tc>
          <w:tcPr>
            <w:tcW w:w="6726" w:type="dxa"/>
            <w:shd w:val="clear" w:color="auto" w:fill="auto"/>
            <w:tcMar>
              <w:top w:w="14" w:type="dxa"/>
              <w:left w:w="58" w:type="dxa"/>
              <w:bottom w:w="14" w:type="dxa"/>
              <w:right w:w="58" w:type="dxa"/>
            </w:tcMar>
          </w:tcPr>
          <w:p w14:paraId="1D3E9716" w14:textId="263005E6" w:rsidR="00F70490" w:rsidRPr="00CB52C7" w:rsidRDefault="00F70490" w:rsidP="00F70490">
            <w:pPr>
              <w:spacing w:after="0"/>
              <w:textAlignment w:val="baseline"/>
              <w:rPr>
                <w:rFonts w:eastAsia="Times New Roman" w:cs="Arial"/>
                <w:szCs w:val="16"/>
              </w:rPr>
            </w:pPr>
            <w:r w:rsidRPr="003F2A09">
              <w:rPr>
                <w:rFonts w:eastAsia="Times New Roman" w:cs="Arial"/>
                <w:szCs w:val="16"/>
              </w:rPr>
              <w:t>6b. Number of additional written findings of noncompliance (Col. B) the state has verified as corrected beyond the one-year timeline (“subsequent correction”) - Indicator 9</w:t>
            </w:r>
          </w:p>
        </w:tc>
        <w:tc>
          <w:tcPr>
            <w:tcW w:w="4047" w:type="dxa"/>
            <w:shd w:val="clear" w:color="auto" w:fill="auto"/>
            <w:tcMar>
              <w:top w:w="14" w:type="dxa"/>
              <w:left w:w="58" w:type="dxa"/>
              <w:bottom w:w="14" w:type="dxa"/>
              <w:right w:w="58" w:type="dxa"/>
            </w:tcMar>
            <w:vAlign w:val="center"/>
          </w:tcPr>
          <w:p w14:paraId="0536EB08" w14:textId="7875F8B6" w:rsidR="00F70490" w:rsidRDefault="00F70490" w:rsidP="00F70490">
            <w:pPr>
              <w:spacing w:after="0"/>
              <w:jc w:val="center"/>
              <w:textAlignment w:val="baseline"/>
              <w:rPr>
                <w:rFonts w:eastAsia="Times New Roman" w:cs="Arial"/>
                <w:szCs w:val="16"/>
              </w:rPr>
            </w:pPr>
          </w:p>
        </w:tc>
      </w:tr>
      <w:tr w:rsidR="00F70490" w:rsidRPr="00CB52C7" w14:paraId="77DCDF49" w14:textId="77777777" w:rsidTr="00C144F3">
        <w:trPr>
          <w:trHeight w:val="348"/>
        </w:trPr>
        <w:tc>
          <w:tcPr>
            <w:tcW w:w="6726" w:type="dxa"/>
            <w:shd w:val="clear" w:color="auto" w:fill="auto"/>
            <w:tcMar>
              <w:top w:w="14" w:type="dxa"/>
              <w:left w:w="58" w:type="dxa"/>
              <w:bottom w:w="14" w:type="dxa"/>
              <w:right w:w="58" w:type="dxa"/>
            </w:tcMar>
          </w:tcPr>
          <w:p w14:paraId="778216ED" w14:textId="1B5F15E2" w:rsidR="00F70490" w:rsidRPr="00CB52C7" w:rsidRDefault="00F70490" w:rsidP="00F70490">
            <w:pPr>
              <w:spacing w:after="0"/>
              <w:textAlignment w:val="baseline"/>
              <w:rPr>
                <w:rFonts w:eastAsia="Times New Roman" w:cs="Arial"/>
                <w:szCs w:val="16"/>
              </w:rPr>
            </w:pPr>
            <w:r w:rsidRPr="003F2A09">
              <w:rPr>
                <w:rFonts w:eastAsia="Times New Roman" w:cs="Arial"/>
                <w:szCs w:val="16"/>
              </w:rPr>
              <w:t>6c. Number of additional written findings of noncompliance (Col. B) the state has verified as corrected beyond the one-year timeline (“subsequent correction”) - Indicator 10</w:t>
            </w:r>
          </w:p>
        </w:tc>
        <w:tc>
          <w:tcPr>
            <w:tcW w:w="4047" w:type="dxa"/>
            <w:shd w:val="clear" w:color="auto" w:fill="auto"/>
            <w:tcMar>
              <w:top w:w="14" w:type="dxa"/>
              <w:left w:w="58" w:type="dxa"/>
              <w:bottom w:w="14" w:type="dxa"/>
              <w:right w:w="58" w:type="dxa"/>
            </w:tcMar>
            <w:vAlign w:val="center"/>
          </w:tcPr>
          <w:p w14:paraId="54B67CC1" w14:textId="71AD8549" w:rsidR="00F70490" w:rsidRDefault="00F70490" w:rsidP="00F70490">
            <w:pPr>
              <w:spacing w:after="0"/>
              <w:jc w:val="center"/>
              <w:textAlignment w:val="baseline"/>
              <w:rPr>
                <w:rFonts w:eastAsia="Times New Roman" w:cs="Arial"/>
                <w:szCs w:val="16"/>
              </w:rPr>
            </w:pPr>
          </w:p>
        </w:tc>
      </w:tr>
      <w:tr w:rsidR="00F70490" w:rsidRPr="00CB52C7" w14:paraId="640371C0" w14:textId="77777777" w:rsidTr="00C144F3">
        <w:trPr>
          <w:trHeight w:val="348"/>
        </w:trPr>
        <w:tc>
          <w:tcPr>
            <w:tcW w:w="6726" w:type="dxa"/>
            <w:shd w:val="clear" w:color="auto" w:fill="auto"/>
            <w:tcMar>
              <w:top w:w="14" w:type="dxa"/>
              <w:left w:w="58" w:type="dxa"/>
              <w:bottom w:w="14" w:type="dxa"/>
              <w:right w:w="58" w:type="dxa"/>
            </w:tcMar>
          </w:tcPr>
          <w:p w14:paraId="5E58DD6E" w14:textId="29D743F6" w:rsidR="00F70490" w:rsidRPr="00CB52C7" w:rsidRDefault="00F70490" w:rsidP="00F70490">
            <w:pPr>
              <w:spacing w:after="0"/>
              <w:textAlignment w:val="baseline"/>
              <w:rPr>
                <w:rFonts w:eastAsia="Times New Roman" w:cs="Arial"/>
                <w:szCs w:val="16"/>
              </w:rPr>
            </w:pPr>
            <w:r w:rsidRPr="003F2A09">
              <w:rPr>
                <w:rFonts w:eastAsia="Times New Roman" w:cs="Arial"/>
                <w:szCs w:val="16"/>
              </w:rPr>
              <w:t>6d. Number of additional written findings of noncompliance (Col. B) the state has verified as corrected beyond the one-year timeline (“subsequent correction”) - Indicator 11</w:t>
            </w:r>
          </w:p>
        </w:tc>
        <w:tc>
          <w:tcPr>
            <w:tcW w:w="4047" w:type="dxa"/>
            <w:shd w:val="clear" w:color="auto" w:fill="auto"/>
            <w:tcMar>
              <w:top w:w="14" w:type="dxa"/>
              <w:left w:w="58" w:type="dxa"/>
              <w:bottom w:w="14" w:type="dxa"/>
              <w:right w:w="58" w:type="dxa"/>
            </w:tcMar>
            <w:vAlign w:val="center"/>
          </w:tcPr>
          <w:p w14:paraId="1233B069" w14:textId="44E2A8B4" w:rsidR="00F70490" w:rsidRDefault="00F70490" w:rsidP="00F70490">
            <w:pPr>
              <w:spacing w:after="0"/>
              <w:jc w:val="center"/>
              <w:textAlignment w:val="baseline"/>
              <w:rPr>
                <w:rFonts w:eastAsia="Times New Roman" w:cs="Arial"/>
                <w:szCs w:val="16"/>
              </w:rPr>
            </w:pPr>
          </w:p>
        </w:tc>
      </w:tr>
      <w:tr w:rsidR="00F70490" w:rsidRPr="00CB52C7" w14:paraId="4F2322D9" w14:textId="77777777" w:rsidTr="00C144F3">
        <w:trPr>
          <w:trHeight w:val="348"/>
        </w:trPr>
        <w:tc>
          <w:tcPr>
            <w:tcW w:w="6726" w:type="dxa"/>
            <w:shd w:val="clear" w:color="auto" w:fill="auto"/>
            <w:tcMar>
              <w:top w:w="14" w:type="dxa"/>
              <w:left w:w="58" w:type="dxa"/>
              <w:bottom w:w="14" w:type="dxa"/>
              <w:right w:w="58" w:type="dxa"/>
            </w:tcMar>
          </w:tcPr>
          <w:p w14:paraId="732FC922" w14:textId="42570B6F" w:rsidR="00F70490" w:rsidRPr="00CB52C7" w:rsidRDefault="00F70490" w:rsidP="00F70490">
            <w:pPr>
              <w:spacing w:after="0"/>
              <w:textAlignment w:val="baseline"/>
              <w:rPr>
                <w:rFonts w:eastAsia="Times New Roman" w:cs="Arial"/>
                <w:szCs w:val="16"/>
              </w:rPr>
            </w:pPr>
            <w:r w:rsidRPr="003F2A09">
              <w:rPr>
                <w:rFonts w:eastAsia="Times New Roman" w:cs="Arial"/>
                <w:szCs w:val="16"/>
              </w:rPr>
              <w:t>6e. Number of additional written findings of noncompliance (Col. B) the state has verified as corrected beyond the one-year timeline (“subsequent correction”) - Indicator 12</w:t>
            </w:r>
          </w:p>
        </w:tc>
        <w:tc>
          <w:tcPr>
            <w:tcW w:w="4047" w:type="dxa"/>
            <w:shd w:val="clear" w:color="auto" w:fill="auto"/>
            <w:tcMar>
              <w:top w:w="14" w:type="dxa"/>
              <w:left w:w="58" w:type="dxa"/>
              <w:bottom w:w="14" w:type="dxa"/>
              <w:right w:w="58" w:type="dxa"/>
            </w:tcMar>
            <w:vAlign w:val="center"/>
          </w:tcPr>
          <w:p w14:paraId="0B441D42" w14:textId="59B5EDBE" w:rsidR="00F70490" w:rsidRDefault="00F70490" w:rsidP="00F70490">
            <w:pPr>
              <w:spacing w:after="0"/>
              <w:jc w:val="center"/>
              <w:textAlignment w:val="baseline"/>
              <w:rPr>
                <w:rFonts w:eastAsia="Times New Roman" w:cs="Arial"/>
                <w:szCs w:val="16"/>
              </w:rPr>
            </w:pPr>
          </w:p>
        </w:tc>
      </w:tr>
      <w:tr w:rsidR="00F70490" w:rsidRPr="00CB52C7" w14:paraId="4FD5235F" w14:textId="77777777" w:rsidTr="00C144F3">
        <w:trPr>
          <w:trHeight w:val="348"/>
        </w:trPr>
        <w:tc>
          <w:tcPr>
            <w:tcW w:w="6726" w:type="dxa"/>
            <w:shd w:val="clear" w:color="auto" w:fill="auto"/>
            <w:tcMar>
              <w:top w:w="14" w:type="dxa"/>
              <w:left w:w="58" w:type="dxa"/>
              <w:bottom w:w="14" w:type="dxa"/>
              <w:right w:w="58" w:type="dxa"/>
            </w:tcMar>
          </w:tcPr>
          <w:p w14:paraId="31DB9988" w14:textId="205E7DB7" w:rsidR="00F70490" w:rsidRPr="00CB52C7" w:rsidRDefault="00F70490" w:rsidP="00F70490">
            <w:pPr>
              <w:spacing w:after="0"/>
              <w:textAlignment w:val="baseline"/>
              <w:rPr>
                <w:rFonts w:eastAsia="Times New Roman" w:cs="Arial"/>
                <w:szCs w:val="16"/>
              </w:rPr>
            </w:pPr>
            <w:r w:rsidRPr="003F2A09">
              <w:rPr>
                <w:rFonts w:eastAsia="Times New Roman" w:cs="Arial"/>
                <w:szCs w:val="16"/>
              </w:rPr>
              <w:t>6f. Number of additional written findings of noncompliance (Col. B) the state has verified as corrected beyond the one-year timeline (“subsequent correction”) - Indicator 13</w:t>
            </w:r>
          </w:p>
        </w:tc>
        <w:tc>
          <w:tcPr>
            <w:tcW w:w="4047" w:type="dxa"/>
            <w:shd w:val="clear" w:color="auto" w:fill="auto"/>
            <w:tcMar>
              <w:top w:w="14" w:type="dxa"/>
              <w:left w:w="58" w:type="dxa"/>
              <w:bottom w:w="14" w:type="dxa"/>
              <w:right w:w="58" w:type="dxa"/>
            </w:tcMar>
            <w:vAlign w:val="center"/>
          </w:tcPr>
          <w:p w14:paraId="509DC681" w14:textId="06303815" w:rsidR="00F70490" w:rsidRDefault="00F70490" w:rsidP="00F70490">
            <w:pPr>
              <w:spacing w:after="0"/>
              <w:jc w:val="center"/>
              <w:textAlignment w:val="baseline"/>
              <w:rPr>
                <w:rFonts w:eastAsia="Times New Roman" w:cs="Arial"/>
                <w:szCs w:val="16"/>
              </w:rPr>
            </w:pPr>
          </w:p>
        </w:tc>
      </w:tr>
      <w:tr w:rsidR="00F70490" w:rsidRPr="00CB52C7" w14:paraId="7987B355" w14:textId="77777777" w:rsidTr="00C144F3">
        <w:trPr>
          <w:trHeight w:val="348"/>
        </w:trPr>
        <w:tc>
          <w:tcPr>
            <w:tcW w:w="6726" w:type="dxa"/>
            <w:shd w:val="clear" w:color="auto" w:fill="auto"/>
            <w:tcMar>
              <w:top w:w="14" w:type="dxa"/>
              <w:left w:w="58" w:type="dxa"/>
              <w:bottom w:w="14" w:type="dxa"/>
              <w:right w:w="58" w:type="dxa"/>
            </w:tcMar>
          </w:tcPr>
          <w:p w14:paraId="4EC83782" w14:textId="64098788" w:rsidR="00F70490" w:rsidRPr="00CB52C7" w:rsidRDefault="00F70490" w:rsidP="00F70490">
            <w:pPr>
              <w:spacing w:after="0"/>
              <w:textAlignment w:val="baseline"/>
              <w:rPr>
                <w:rFonts w:eastAsia="Times New Roman" w:cs="Arial"/>
                <w:szCs w:val="16"/>
              </w:rPr>
            </w:pPr>
            <w:r w:rsidRPr="003F2A09">
              <w:rPr>
                <w:rFonts w:eastAsia="Times New Roman" w:cs="Arial"/>
                <w:szCs w:val="16"/>
              </w:rPr>
              <w:t>6g. (optional) Number of written findings of noncompliance (Col. B) the state has verified as corrected beyond the one-year timeline (“subsequent correction”) - All other findings</w:t>
            </w:r>
          </w:p>
        </w:tc>
        <w:tc>
          <w:tcPr>
            <w:tcW w:w="4047" w:type="dxa"/>
            <w:shd w:val="clear" w:color="auto" w:fill="auto"/>
            <w:tcMar>
              <w:top w:w="14" w:type="dxa"/>
              <w:left w:w="58" w:type="dxa"/>
              <w:bottom w:w="14" w:type="dxa"/>
              <w:right w:w="58" w:type="dxa"/>
            </w:tcMar>
            <w:vAlign w:val="center"/>
          </w:tcPr>
          <w:p w14:paraId="72065F6C" w14:textId="0977B417" w:rsidR="00F70490" w:rsidRDefault="00F70490" w:rsidP="00F70490">
            <w:pPr>
              <w:spacing w:after="0"/>
              <w:jc w:val="center"/>
              <w:textAlignment w:val="baseline"/>
              <w:rPr>
                <w:rFonts w:eastAsia="Times New Roman" w:cs="Arial"/>
                <w:szCs w:val="16"/>
              </w:rPr>
            </w:pPr>
          </w:p>
        </w:tc>
      </w:tr>
      <w:tr w:rsidR="00F15F58" w:rsidRPr="00CB52C7" w14:paraId="23BB39DE" w14:textId="77777777" w:rsidTr="00C144F3">
        <w:trPr>
          <w:trHeight w:val="348"/>
        </w:trPr>
        <w:tc>
          <w:tcPr>
            <w:tcW w:w="6726" w:type="dxa"/>
            <w:shd w:val="clear" w:color="auto" w:fill="auto"/>
            <w:tcMar>
              <w:top w:w="14" w:type="dxa"/>
              <w:left w:w="58" w:type="dxa"/>
              <w:bottom w:w="14" w:type="dxa"/>
              <w:right w:w="58" w:type="dxa"/>
            </w:tcMar>
            <w:hideMark/>
          </w:tcPr>
          <w:p w14:paraId="0032AD77" w14:textId="4C6254EC" w:rsidR="00F15F58" w:rsidRPr="00CB52C7" w:rsidRDefault="0092282C">
            <w:pPr>
              <w:spacing w:after="0"/>
              <w:textAlignment w:val="baseline"/>
              <w:rPr>
                <w:rFonts w:eastAsia="Times New Roman" w:cs="Arial"/>
                <w:szCs w:val="16"/>
              </w:rPr>
            </w:pPr>
            <w:r>
              <w:rPr>
                <w:rFonts w:eastAsia="Times New Roman" w:cs="Arial"/>
                <w:szCs w:val="16"/>
              </w:rPr>
              <w:t xml:space="preserve">7. Number of findings </w:t>
            </w:r>
            <w:r w:rsidR="00F15F58" w:rsidRPr="00CB52C7">
              <w:rPr>
                <w:rFonts w:eastAsia="Times New Roman" w:cs="Arial"/>
                <w:szCs w:val="16"/>
                <w:u w:val="single"/>
              </w:rPr>
              <w:t>not</w:t>
            </w:r>
            <w:r w:rsidR="00F15F58" w:rsidRPr="00CB52C7">
              <w:rPr>
                <w:rFonts w:eastAsia="Times New Roman" w:cs="Arial"/>
                <w:szCs w:val="16"/>
              </w:rPr>
              <w:t xml:space="preserve"> yet verified as corrected</w:t>
            </w:r>
          </w:p>
        </w:tc>
        <w:tc>
          <w:tcPr>
            <w:tcW w:w="4047" w:type="dxa"/>
            <w:shd w:val="clear" w:color="auto" w:fill="auto"/>
            <w:tcMar>
              <w:top w:w="14" w:type="dxa"/>
              <w:left w:w="58" w:type="dxa"/>
              <w:bottom w:w="14" w:type="dxa"/>
              <w:right w:w="58" w:type="dxa"/>
            </w:tcMar>
            <w:vAlign w:val="center"/>
          </w:tcPr>
          <w:p w14:paraId="33356D9F" w14:textId="7114B2D0" w:rsidR="00F15F58" w:rsidRPr="00CB52C7" w:rsidRDefault="003B7840">
            <w:pPr>
              <w:spacing w:after="0"/>
              <w:jc w:val="center"/>
              <w:textAlignment w:val="baseline"/>
              <w:rPr>
                <w:rFonts w:eastAsia="Times New Roman" w:cs="Arial"/>
                <w:szCs w:val="16"/>
              </w:rPr>
            </w:pPr>
            <w:r>
              <w:rPr>
                <w:rFonts w:eastAsia="Times New Roman" w:cs="Arial"/>
                <w:szCs w:val="16"/>
              </w:rPr>
              <w:t>0</w:t>
            </w:r>
          </w:p>
        </w:tc>
      </w:tr>
    </w:tbl>
    <w:p w14:paraId="6F454F73" w14:textId="77777777" w:rsidR="00C9712C" w:rsidRDefault="00C9712C" w:rsidP="001C2EC2">
      <w:pPr>
        <w:textAlignment w:val="baseline"/>
        <w:rPr>
          <w:rFonts w:eastAsia="Times New Roman" w:cs="Arial"/>
          <w:szCs w:val="16"/>
        </w:rPr>
      </w:pPr>
    </w:p>
    <w:p w14:paraId="1D4A438C" w14:textId="25C165FE" w:rsidR="00F15F58" w:rsidRPr="00CB52C7" w:rsidRDefault="00F15F58" w:rsidP="00C144F3">
      <w:pPr>
        <w:textAlignment w:val="baseline"/>
        <w:rPr>
          <w:rFonts w:eastAsia="Times New Roman" w:cs="Arial"/>
          <w:szCs w:val="16"/>
        </w:rPr>
      </w:pPr>
      <w:r w:rsidRPr="00CB52C7">
        <w:rPr>
          <w:rFonts w:eastAsia="Times New Roman" w:cs="Arial"/>
          <w:b/>
          <w:bCs/>
          <w:szCs w:val="16"/>
        </w:rPr>
        <w:t>Subsequent correction:</w:t>
      </w:r>
      <w:r w:rsidRPr="00CB52C7">
        <w:rPr>
          <w:rFonts w:eastAsia="Times New Roman" w:cs="Arial"/>
          <w:szCs w:val="16"/>
        </w:rPr>
        <w:t xml:space="preserve"> 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14:paraId="15815DB7" w14:textId="0F8B0BA1" w:rsidR="00F15F58" w:rsidRDefault="00F15F58" w:rsidP="00C144F3">
      <w:pPr>
        <w:spacing w:line="276" w:lineRule="auto"/>
        <w:rPr>
          <w:color w:val="000000" w:themeColor="text1"/>
        </w:rPr>
      </w:pPr>
      <w:r>
        <w:rPr>
          <w:color w:val="000000" w:themeColor="text1"/>
        </w:rPr>
        <w:t>INDICATOR 13</w:t>
      </w:r>
      <w:r>
        <w:rPr>
          <w:color w:val="000000" w:themeColor="text1"/>
        </w:rPr>
        <w:br/>
        <w:t>One (1) LEA included in cyclical monitoring during SY 2022-23 did not meet the one-year timeline for correcting secondary transition noncompliance as identified in their original cyclical monitoring report dated December 2022. This failure to meet timelines was likely impacted by turnover in staff at both the LEA and SEA levels during the first half of SY 2023-24. As a result of not meeting the one-year deadline for correction of noncompliance, the LEA was notified in a written letter dated July 2, 2024, of additional corrective actions and given a timeline to address their noncompliance related to secondary transition plans. The written notification included potential for sanctions as outlined in the state’s general supervision system. Between July and November 2024, WVDE/OSE provided the LEA with regular virtual support to engage their administrative team in a required root cause analysis and support for developing written processes and procedures related to secondary transition planning. Once the LEA documented their processes in writing, in-person training from WVDE/OSE was provided through a contracted vendor to ensure all staff were properly trained. Consistent with OSEP QA 23-01, WVDE/OSE, through reviews of subsequent records/data, was ultimately able to verify 100% compliance in the implementation of regulatory requirements regarding indicator 13 for this LEA.</w:t>
      </w:r>
    </w:p>
    <w:p w14:paraId="539A633E" w14:textId="42A53E60" w:rsidR="00F15F58" w:rsidRPr="00781112" w:rsidRDefault="00F15F58" w:rsidP="00F15F58">
      <w:pPr>
        <w:pStyle w:val="Heading2"/>
      </w:pPr>
      <w:r w:rsidRPr="00781112">
        <w:t>1</w:t>
      </w:r>
      <w:r>
        <w:t>8</w:t>
      </w:r>
      <w:r w:rsidRPr="00781112">
        <w:t xml:space="preserve"> - OSEP Response</w:t>
      </w:r>
    </w:p>
    <w:p w14:paraId="64DE2327" w14:textId="3B47CE44" w:rsidR="00F15F58" w:rsidRPr="00781112" w:rsidRDefault="00F15F58" w:rsidP="00F15F58">
      <w:pPr>
        <w:rPr>
          <w:color w:val="000000" w:themeColor="text1"/>
        </w:rPr>
      </w:pPr>
      <w:r w:rsidRPr="00781112">
        <w:rPr>
          <w:color w:val="000000" w:themeColor="text1"/>
        </w:rPr>
        <w:t>The State has established the baseline for this indicator, using data from FFY 2023, and OSEP accepts that baseline.</w:t>
      </w:r>
    </w:p>
    <w:p w14:paraId="38F78302" w14:textId="540CC72B" w:rsidR="00F15F58" w:rsidRPr="00781112" w:rsidRDefault="00F15F58" w:rsidP="00F15F58">
      <w:pPr>
        <w:pStyle w:val="Heading2"/>
      </w:pPr>
      <w:r w:rsidRPr="00781112">
        <w:t>1</w:t>
      </w:r>
      <w:r>
        <w:t>8</w:t>
      </w:r>
      <w:r w:rsidRPr="00781112">
        <w:t xml:space="preserve"> - Required Actions</w:t>
      </w:r>
    </w:p>
    <w:p w14:paraId="0A69B687" w14:textId="6C3AAE63" w:rsidR="00F15F58" w:rsidRDefault="00F15F58" w:rsidP="00F15F58">
      <w:pPr>
        <w:rPr>
          <w:color w:val="000000" w:themeColor="text1"/>
        </w:rPr>
      </w:pPr>
    </w:p>
    <w:p w14:paraId="7081808E" w14:textId="68D02DFE" w:rsidR="000532EB" w:rsidRDefault="000532EB">
      <w:pPr>
        <w:spacing w:before="0" w:after="200" w:line="276" w:lineRule="auto"/>
        <w:rPr>
          <w:color w:val="000000" w:themeColor="text1"/>
        </w:rPr>
      </w:pPr>
      <w:r>
        <w:rPr>
          <w:color w:val="000000" w:themeColor="text1"/>
        </w:rPr>
        <w:br w:type="page"/>
      </w:r>
    </w:p>
    <w:p w14:paraId="47A15380" w14:textId="2BFE46A7" w:rsidR="00251CC0" w:rsidRPr="00781112" w:rsidRDefault="00755AF7" w:rsidP="00D01281">
      <w:pPr>
        <w:pStyle w:val="Heading1"/>
        <w:rPr>
          <w:color w:val="000000" w:themeColor="text1"/>
        </w:rPr>
      </w:pPr>
      <w:r w:rsidRPr="00781112">
        <w:rPr>
          <w:color w:val="000000" w:themeColor="text1"/>
        </w:rPr>
        <w:lastRenderedPageBreak/>
        <w:t>Certification</w:t>
      </w:r>
    </w:p>
    <w:p w14:paraId="49BAFEB2" w14:textId="1E6A8CCD" w:rsidR="00EC1064" w:rsidRPr="002C274F" w:rsidRDefault="00EC1064" w:rsidP="002C274F">
      <w:pPr>
        <w:rPr>
          <w:b/>
          <w:bCs/>
          <w:sz w:val="20"/>
          <w:szCs w:val="20"/>
        </w:rPr>
      </w:pPr>
      <w:r w:rsidRPr="002C274F">
        <w:rPr>
          <w:b/>
          <w:bCs/>
          <w:sz w:val="20"/>
          <w:szCs w:val="20"/>
        </w:rPr>
        <w:t>Instructions</w:t>
      </w:r>
    </w:p>
    <w:p w14:paraId="1D3FABB8" w14:textId="49984077" w:rsidR="00EC1064" w:rsidRPr="00781112" w:rsidRDefault="00C723F9" w:rsidP="00EC1064">
      <w:pPr>
        <w:autoSpaceDE w:val="0"/>
        <w:autoSpaceDN w:val="0"/>
        <w:adjustRightInd w:val="0"/>
        <w:rPr>
          <w:rFonts w:cs="Arial"/>
          <w:b/>
          <w:bCs/>
          <w:color w:val="000000" w:themeColor="text1"/>
          <w:szCs w:val="16"/>
        </w:rPr>
      </w:pPr>
      <w:r w:rsidRPr="00781112">
        <w:rPr>
          <w:rFonts w:cs="Arial"/>
          <w:b/>
          <w:bCs/>
          <w:color w:val="000000" w:themeColor="text1"/>
          <w:szCs w:val="16"/>
        </w:rPr>
        <w:t>Choose the appropriate selection and complete all the certification information fields. Then click the "Submit" button to submit your APR.</w:t>
      </w:r>
    </w:p>
    <w:p w14:paraId="01D5737F" w14:textId="0EECE8DE" w:rsidR="00EC1064" w:rsidRPr="00781112" w:rsidRDefault="00EC1064" w:rsidP="00EE0028">
      <w:pPr>
        <w:pStyle w:val="NoSpacing"/>
        <w:rPr>
          <w:rFonts w:ascii="Arial" w:hAnsi="Arial" w:cs="Arial"/>
          <w:b/>
          <w:bCs/>
          <w:color w:val="000000" w:themeColor="text1"/>
          <w:sz w:val="16"/>
          <w:szCs w:val="16"/>
        </w:rPr>
      </w:pPr>
      <w:r w:rsidRPr="00781112">
        <w:rPr>
          <w:rFonts w:ascii="Arial" w:hAnsi="Arial" w:cs="Arial"/>
          <w:b/>
          <w:bCs/>
          <w:color w:val="000000" w:themeColor="text1"/>
          <w:sz w:val="16"/>
          <w:szCs w:val="16"/>
        </w:rPr>
        <w:t>Certify</w:t>
      </w:r>
    </w:p>
    <w:p w14:paraId="55390454" w14:textId="09D075B1"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I certify that I am the Chief State School Officer of the State, or his or her designee, and that the State's submission of its IDEA Part B State Performance Plan/Annual Performance Report is accurate.</w:t>
      </w:r>
    </w:p>
    <w:p w14:paraId="6B93509D" w14:textId="70EDDFDB" w:rsidR="008D2663"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Select the certifier’s role:</w:t>
      </w:r>
    </w:p>
    <w:p w14:paraId="0767E5C8" w14:textId="70B1D176" w:rsidR="00262BC0" w:rsidRPr="00781112" w:rsidRDefault="002B7490" w:rsidP="00262BC0">
      <w:pPr>
        <w:autoSpaceDE w:val="0"/>
        <w:autoSpaceDN w:val="0"/>
        <w:adjustRightInd w:val="0"/>
        <w:rPr>
          <w:rFonts w:cs="Arial"/>
          <w:bCs/>
          <w:color w:val="000000" w:themeColor="text1"/>
          <w:szCs w:val="16"/>
        </w:rPr>
      </w:pPr>
      <w:r w:rsidRPr="00781112">
        <w:rPr>
          <w:rFonts w:cs="Arial"/>
          <w:bCs/>
          <w:color w:val="000000" w:themeColor="text1"/>
          <w:szCs w:val="16"/>
        </w:rPr>
        <w:t>Designated by the Chief State School Officer to certify</w:t>
      </w:r>
    </w:p>
    <w:p w14:paraId="0D4B9819" w14:textId="38C2D4E8"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Name and title of the individual certifying the accuracy of the State's submission of its IDEA Part B State Performance Plan/Annual Performance Report.</w:t>
      </w:r>
    </w:p>
    <w:p w14:paraId="3B5F1CED" w14:textId="77777777" w:rsidR="00755AF7" w:rsidRPr="00781112" w:rsidRDefault="00755AF7" w:rsidP="00755AF7">
      <w:pPr>
        <w:autoSpaceDE w:val="0"/>
        <w:autoSpaceDN w:val="0"/>
        <w:adjustRightInd w:val="0"/>
        <w:rPr>
          <w:rFonts w:cs="Arial"/>
          <w:b/>
          <w:bCs/>
          <w:color w:val="000000" w:themeColor="text1"/>
          <w:szCs w:val="16"/>
        </w:rPr>
      </w:pPr>
      <w:bookmarkStart w:id="100" w:name="_Hlk20318241"/>
      <w:r w:rsidRPr="00781112">
        <w:rPr>
          <w:rFonts w:cs="Arial"/>
          <w:b/>
          <w:bCs/>
          <w:color w:val="000000" w:themeColor="text1"/>
          <w:szCs w:val="16"/>
        </w:rPr>
        <w:t xml:space="preserve">Name: </w:t>
      </w:r>
    </w:p>
    <w:p w14:paraId="4AE58D3C" w14:textId="25F9FA75"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Jonathan Shank</w:t>
      </w:r>
    </w:p>
    <w:p w14:paraId="6368082B" w14:textId="28AD55BD" w:rsidR="00755AF7" w:rsidRPr="00781112" w:rsidRDefault="00EF4A6B"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Title: </w:t>
      </w:r>
    </w:p>
    <w:p w14:paraId="290E3D81" w14:textId="5C618752"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IDEA Part B Data Manager</w:t>
      </w:r>
    </w:p>
    <w:p w14:paraId="67DC6813" w14:textId="6EF07192" w:rsidR="00755AF7" w:rsidRPr="00781112" w:rsidRDefault="00925E33"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Email: </w:t>
      </w:r>
    </w:p>
    <w:p w14:paraId="0D9187A2" w14:textId="72ED05AF"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jonathan.shank@k12.wv.us</w:t>
      </w:r>
    </w:p>
    <w:p w14:paraId="230D0674" w14:textId="3A323DD4" w:rsidR="00755AF7" w:rsidRPr="00781112" w:rsidRDefault="00EF4A6B" w:rsidP="00755AF7">
      <w:pPr>
        <w:autoSpaceDE w:val="0"/>
        <w:autoSpaceDN w:val="0"/>
        <w:adjustRightInd w:val="0"/>
        <w:rPr>
          <w:rFonts w:cs="Arial"/>
          <w:b/>
          <w:color w:val="000000" w:themeColor="text1"/>
          <w:szCs w:val="16"/>
        </w:rPr>
      </w:pPr>
      <w:r w:rsidRPr="00781112">
        <w:rPr>
          <w:rFonts w:cs="Arial"/>
          <w:b/>
          <w:color w:val="000000" w:themeColor="text1"/>
          <w:szCs w:val="16"/>
        </w:rPr>
        <w:t>Phone:</w:t>
      </w:r>
    </w:p>
    <w:p w14:paraId="5A421E1A" w14:textId="3C4EA133" w:rsidR="00DD2023" w:rsidRPr="00781112" w:rsidRDefault="002B7490" w:rsidP="00DD2023">
      <w:pPr>
        <w:autoSpaceDE w:val="0"/>
        <w:autoSpaceDN w:val="0"/>
        <w:adjustRightInd w:val="0"/>
        <w:rPr>
          <w:rFonts w:cs="Arial"/>
          <w:color w:val="000000" w:themeColor="text1"/>
          <w:szCs w:val="16"/>
        </w:rPr>
      </w:pPr>
      <w:r w:rsidRPr="00781112">
        <w:rPr>
          <w:rFonts w:cs="Arial"/>
          <w:color w:val="000000" w:themeColor="text1"/>
          <w:szCs w:val="16"/>
        </w:rPr>
        <w:t>304.558.2696</w:t>
      </w:r>
    </w:p>
    <w:bookmarkEnd w:id="100"/>
    <w:p w14:paraId="17E495D6" w14:textId="2B4E1FA8" w:rsidR="000657F0" w:rsidRPr="00781112" w:rsidRDefault="00C773DB" w:rsidP="000657F0">
      <w:pPr>
        <w:autoSpaceDE w:val="0"/>
        <w:autoSpaceDN w:val="0"/>
        <w:adjustRightInd w:val="0"/>
        <w:rPr>
          <w:rFonts w:cs="Arial"/>
          <w:b/>
          <w:color w:val="000000" w:themeColor="text1"/>
          <w:szCs w:val="16"/>
        </w:rPr>
      </w:pPr>
      <w:r w:rsidRPr="00781112">
        <w:rPr>
          <w:rFonts w:cs="Arial"/>
          <w:b/>
          <w:color w:val="000000" w:themeColor="text1"/>
          <w:szCs w:val="16"/>
        </w:rPr>
        <w:t>Submitted on:</w:t>
      </w:r>
    </w:p>
    <w:p w14:paraId="3754F1D5" w14:textId="5487A8BD" w:rsidR="00371FAA" w:rsidRDefault="006879FA" w:rsidP="00CA7625">
      <w:pPr>
        <w:autoSpaceDE w:val="0"/>
        <w:autoSpaceDN w:val="0"/>
        <w:adjustRightInd w:val="0"/>
        <w:rPr>
          <w:rFonts w:cs="Arial"/>
          <w:color w:val="000000" w:themeColor="text1"/>
          <w:szCs w:val="16"/>
        </w:rPr>
      </w:pPr>
      <w:r w:rsidRPr="00CA7625">
        <w:rPr>
          <w:rFonts w:cs="Arial"/>
          <w:color w:val="000000" w:themeColor="text1"/>
          <w:szCs w:val="16"/>
        </w:rPr>
        <w:t>04/23/25  9:33:34 AM</w:t>
      </w:r>
    </w:p>
    <w:p w14:paraId="6C42474B" w14:textId="77777777" w:rsidR="008B71EA" w:rsidRDefault="008B71EA" w:rsidP="008B71EA">
      <w:pPr>
        <w:spacing w:before="0" w:after="0" w:line="276" w:lineRule="auto"/>
        <w:rPr>
          <w:rFonts w:cs="Arial"/>
          <w:bCs/>
          <w:color w:val="000000" w:themeColor="text1"/>
          <w:szCs w:val="16"/>
        </w:rPr>
        <w:sectPr w:rsidR="008B71EA" w:rsidSect="00A70254">
          <w:headerReference w:type="default" r:id="rId12"/>
          <w:footerReference w:type="default" r:id="rId13"/>
          <w:pgSz w:w="12240" w:h="15840"/>
          <w:pgMar w:top="720" w:right="720" w:bottom="720" w:left="720" w:header="763" w:footer="431" w:gutter="0"/>
          <w:cols w:space="720"/>
          <w:docGrid w:linePitch="218"/>
        </w:sectPr>
      </w:pPr>
    </w:p>
    <w:bookmarkEnd w:id="3"/>
    <w:p w14:paraId="1A73978B" w14:textId="35DC622C" w:rsidR="003749F7" w:rsidRPr="0005795D" w:rsidRDefault="003749F7" w:rsidP="003749F7">
      <w:pPr>
        <w:spacing w:before="0" w:after="200" w:line="276" w:lineRule="auto"/>
      </w:pPr>
    </w:p>
    <w:p w14:paraId="05B81CB3" w14:textId="4B80A2F8" w:rsidR="00D84A0A" w:rsidRPr="00D733C3" w:rsidRDefault="00D84A0A" w:rsidP="003749F7">
      <w:pPr>
        <w:rPr>
          <w:rFonts w:cs="Arial"/>
          <w:b/>
          <w:bCs/>
          <w:szCs w:val="16"/>
        </w:rPr>
      </w:pPr>
    </w:p>
    <w:sectPr w:rsidR="00D84A0A" w:rsidRPr="00D733C3" w:rsidSect="00424C95">
      <w:headerReference w:type="default" r:id="rId14"/>
      <w:footerReference w:type="default" r:id="rId15"/>
      <w:type w:val="continuous"/>
      <w:pgSz w:w="12240" w:h="15840" w:code="1"/>
      <w:pgMar w:top="720" w:right="720" w:bottom="720" w:left="720" w:header="763" w:footer="432"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DDE1" w14:textId="77777777" w:rsidR="00050175" w:rsidRDefault="00050175" w:rsidP="000802F7">
      <w:pPr>
        <w:spacing w:before="0" w:after="0"/>
      </w:pPr>
      <w:r>
        <w:separator/>
      </w:r>
    </w:p>
  </w:endnote>
  <w:endnote w:type="continuationSeparator" w:id="0">
    <w:p w14:paraId="0ADAD743" w14:textId="77777777" w:rsidR="00050175" w:rsidRDefault="00050175" w:rsidP="000802F7">
      <w:pPr>
        <w:spacing w:before="0" w:after="0"/>
      </w:pPr>
      <w:r>
        <w:continuationSeparator/>
      </w:r>
    </w:p>
  </w:endnote>
  <w:endnote w:type="continuationNotice" w:id="1">
    <w:p w14:paraId="5105075E" w14:textId="77777777" w:rsidR="00050175" w:rsidRDefault="0005017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032885"/>
      <w:docPartObj>
        <w:docPartGallery w:val="Page Numbers (Bottom of Page)"/>
        <w:docPartUnique/>
      </w:docPartObj>
    </w:sdtPr>
    <w:sdtEndPr>
      <w:rPr>
        <w:noProof/>
      </w:rPr>
    </w:sdtEndPr>
    <w:sdtContent>
      <w:sdt>
        <w:sdtPr>
          <w:id w:val="1521194661"/>
          <w:docPartObj>
            <w:docPartGallery w:val="Page Numbers (Bottom of Page)"/>
            <w:docPartUnique/>
          </w:docPartObj>
        </w:sdtPr>
        <w:sdtEndPr>
          <w:rPr>
            <w:noProof/>
          </w:rPr>
        </w:sdtEndPr>
        <w:sdtContent>
          <w:p w14:paraId="6320AF27" w14:textId="07F84AA5" w:rsidR="0031327B" w:rsidRDefault="00D733C3"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1BC23CDB" w14:textId="366F33BD" w:rsidR="000F4A1E" w:rsidRDefault="000F4A1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A3EC" w14:textId="77777777" w:rsidR="00EC3EF4" w:rsidRDefault="00EC3EF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9B980" w14:textId="77777777" w:rsidR="00050175" w:rsidRDefault="00050175" w:rsidP="000802F7">
      <w:pPr>
        <w:spacing w:before="0" w:after="0"/>
      </w:pPr>
      <w:r>
        <w:separator/>
      </w:r>
    </w:p>
  </w:footnote>
  <w:footnote w:type="continuationSeparator" w:id="0">
    <w:p w14:paraId="10E7DE02" w14:textId="77777777" w:rsidR="00050175" w:rsidRDefault="00050175" w:rsidP="000802F7">
      <w:pPr>
        <w:spacing w:before="0" w:after="0"/>
      </w:pPr>
      <w:r>
        <w:continuationSeparator/>
      </w:r>
    </w:p>
  </w:footnote>
  <w:footnote w:type="continuationNotice" w:id="1">
    <w:p w14:paraId="74D1FE46" w14:textId="77777777" w:rsidR="00050175" w:rsidRDefault="0005017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827F" w14:textId="1332B1B2" w:rsidR="000F4A1E" w:rsidRDefault="000F4A1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AE8F" w14:textId="77777777" w:rsidR="00EC3EF4" w:rsidRDefault="00EC3EF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7B"/>
    <w:multiLevelType w:val="hybridMultilevel"/>
    <w:tmpl w:val="8548B854"/>
    <w:lvl w:ilvl="0" w:tplc="00203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26B4"/>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640E2"/>
    <w:multiLevelType w:val="multilevel"/>
    <w:tmpl w:val="C1CAE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0E5A23"/>
    <w:multiLevelType w:val="hybridMultilevel"/>
    <w:tmpl w:val="081A0F38"/>
    <w:lvl w:ilvl="0" w:tplc="A14A3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10816"/>
    <w:multiLevelType w:val="hybridMultilevel"/>
    <w:tmpl w:val="62F02BE2"/>
    <w:lvl w:ilvl="0" w:tplc="D22C94C8">
      <w:start w:val="1"/>
      <w:numFmt w:val="bullet"/>
      <w:pStyle w:val="RadioButtonBullet"/>
      <w:lvlText w:val=""/>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6" w15:restartNumberingAfterBreak="0">
    <w:nsid w:val="43DB6ABC"/>
    <w:multiLevelType w:val="multilevel"/>
    <w:tmpl w:val="19F66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62C3BE4"/>
    <w:multiLevelType w:val="multilevel"/>
    <w:tmpl w:val="A9CEB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5530B4"/>
    <w:multiLevelType w:val="hybridMultilevel"/>
    <w:tmpl w:val="969A0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CC62B6"/>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7D63B9"/>
    <w:multiLevelType w:val="hybridMultilevel"/>
    <w:tmpl w:val="CD9088B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7F6E09"/>
    <w:multiLevelType w:val="hybridMultilevel"/>
    <w:tmpl w:val="14C08E3C"/>
    <w:lvl w:ilvl="0" w:tplc="11F2CA00">
      <w:start w:val="1"/>
      <w:numFmt w:val="decimal"/>
      <w:lvlText w:val="(%1)"/>
      <w:lvlJc w:val="left"/>
      <w:pPr>
        <w:ind w:left="720" w:hanging="360"/>
      </w:pPr>
      <w:rPr>
        <w:rFonts w:ascii="Arial" w:eastAsiaTheme="minorHAnsi" w:hAnsi="Arial"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44278"/>
    <w:multiLevelType w:val="hybridMultilevel"/>
    <w:tmpl w:val="43D82728"/>
    <w:lvl w:ilvl="0" w:tplc="5BE00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C7F34"/>
    <w:multiLevelType w:val="hybridMultilevel"/>
    <w:tmpl w:val="9F809C7A"/>
    <w:lvl w:ilvl="0" w:tplc="63A63868">
      <w:start w:val="1"/>
      <w:numFmt w:val="bullet"/>
      <w:pStyle w:val="IndNote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D1260"/>
    <w:multiLevelType w:val="hybridMultilevel"/>
    <w:tmpl w:val="969A0ED4"/>
    <w:lvl w:ilvl="0" w:tplc="4D3A2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0345B"/>
    <w:multiLevelType w:val="hybridMultilevel"/>
    <w:tmpl w:val="07A0DB14"/>
    <w:lvl w:ilvl="0" w:tplc="FC6C7E0C">
      <w:start w:val="1"/>
      <w:numFmt w:val="decimal"/>
      <w:pStyle w:val="BRIRequirement"/>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835698">
    <w:abstractNumId w:val="15"/>
  </w:num>
  <w:num w:numId="2" w16cid:durableId="1592162888">
    <w:abstractNumId w:val="4"/>
  </w:num>
  <w:num w:numId="3" w16cid:durableId="1701589992">
    <w:abstractNumId w:val="13"/>
  </w:num>
  <w:num w:numId="4" w16cid:durableId="250937431">
    <w:abstractNumId w:val="16"/>
  </w:num>
  <w:num w:numId="5" w16cid:durableId="1616593578">
    <w:abstractNumId w:val="6"/>
  </w:num>
  <w:num w:numId="6" w16cid:durableId="1061438534">
    <w:abstractNumId w:val="2"/>
  </w:num>
  <w:num w:numId="7" w16cid:durableId="1802728668">
    <w:abstractNumId w:val="7"/>
  </w:num>
  <w:num w:numId="8" w16cid:durableId="1040520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5269979">
    <w:abstractNumId w:val="0"/>
  </w:num>
  <w:num w:numId="10" w16cid:durableId="42338469">
    <w:abstractNumId w:val="11"/>
  </w:num>
  <w:num w:numId="11" w16cid:durableId="1052729607">
    <w:abstractNumId w:val="14"/>
  </w:num>
  <w:num w:numId="12" w16cid:durableId="526408006">
    <w:abstractNumId w:val="12"/>
  </w:num>
  <w:num w:numId="13" w16cid:durableId="1451318079">
    <w:abstractNumId w:val="3"/>
  </w:num>
  <w:num w:numId="14" w16cid:durableId="25982123">
    <w:abstractNumId w:val="1"/>
  </w:num>
  <w:num w:numId="15" w16cid:durableId="762146582">
    <w:abstractNumId w:val="9"/>
  </w:num>
  <w:num w:numId="16" w16cid:durableId="648872921">
    <w:abstractNumId w:val="8"/>
  </w:num>
  <w:num w:numId="17" w16cid:durableId="105928631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24B"/>
    <w:rsid w:val="00000E77"/>
    <w:rsid w:val="0000102A"/>
    <w:rsid w:val="0000116E"/>
    <w:rsid w:val="000013E5"/>
    <w:rsid w:val="0000146B"/>
    <w:rsid w:val="00001EAE"/>
    <w:rsid w:val="000020E9"/>
    <w:rsid w:val="00002320"/>
    <w:rsid w:val="0000272B"/>
    <w:rsid w:val="00002962"/>
    <w:rsid w:val="00002B25"/>
    <w:rsid w:val="00002D92"/>
    <w:rsid w:val="00002E37"/>
    <w:rsid w:val="0000325B"/>
    <w:rsid w:val="000032E5"/>
    <w:rsid w:val="000036C1"/>
    <w:rsid w:val="00003894"/>
    <w:rsid w:val="00004592"/>
    <w:rsid w:val="00004700"/>
    <w:rsid w:val="00004880"/>
    <w:rsid w:val="00004E61"/>
    <w:rsid w:val="0000579A"/>
    <w:rsid w:val="000063AC"/>
    <w:rsid w:val="0000663B"/>
    <w:rsid w:val="00006A25"/>
    <w:rsid w:val="000070D5"/>
    <w:rsid w:val="00010158"/>
    <w:rsid w:val="000105C5"/>
    <w:rsid w:val="00011443"/>
    <w:rsid w:val="000114E3"/>
    <w:rsid w:val="00011778"/>
    <w:rsid w:val="00011B86"/>
    <w:rsid w:val="000120DA"/>
    <w:rsid w:val="0001227B"/>
    <w:rsid w:val="000123D2"/>
    <w:rsid w:val="000124F7"/>
    <w:rsid w:val="00013138"/>
    <w:rsid w:val="00013F12"/>
    <w:rsid w:val="0001550D"/>
    <w:rsid w:val="00015D55"/>
    <w:rsid w:val="0001707D"/>
    <w:rsid w:val="00017940"/>
    <w:rsid w:val="00017BA7"/>
    <w:rsid w:val="00017D15"/>
    <w:rsid w:val="000209D6"/>
    <w:rsid w:val="00020C7A"/>
    <w:rsid w:val="00020E05"/>
    <w:rsid w:val="0002147B"/>
    <w:rsid w:val="00021AE9"/>
    <w:rsid w:val="000221B3"/>
    <w:rsid w:val="000223EC"/>
    <w:rsid w:val="000227B7"/>
    <w:rsid w:val="00023642"/>
    <w:rsid w:val="00023E62"/>
    <w:rsid w:val="000248C8"/>
    <w:rsid w:val="00024979"/>
    <w:rsid w:val="000251C4"/>
    <w:rsid w:val="000256D1"/>
    <w:rsid w:val="00025AFF"/>
    <w:rsid w:val="00025D8D"/>
    <w:rsid w:val="000277CE"/>
    <w:rsid w:val="00027886"/>
    <w:rsid w:val="0003014D"/>
    <w:rsid w:val="000301BA"/>
    <w:rsid w:val="00030B45"/>
    <w:rsid w:val="00030F5E"/>
    <w:rsid w:val="00031465"/>
    <w:rsid w:val="00031560"/>
    <w:rsid w:val="00031A91"/>
    <w:rsid w:val="00031B94"/>
    <w:rsid w:val="00031C3A"/>
    <w:rsid w:val="00031E3A"/>
    <w:rsid w:val="00032548"/>
    <w:rsid w:val="0003292C"/>
    <w:rsid w:val="00032930"/>
    <w:rsid w:val="00032AC4"/>
    <w:rsid w:val="00032DB1"/>
    <w:rsid w:val="00033474"/>
    <w:rsid w:val="000336AC"/>
    <w:rsid w:val="00033723"/>
    <w:rsid w:val="00034451"/>
    <w:rsid w:val="00034A81"/>
    <w:rsid w:val="000360A5"/>
    <w:rsid w:val="000367A3"/>
    <w:rsid w:val="00036AA4"/>
    <w:rsid w:val="00040BA5"/>
    <w:rsid w:val="00041274"/>
    <w:rsid w:val="000417B4"/>
    <w:rsid w:val="00041E27"/>
    <w:rsid w:val="00041FD3"/>
    <w:rsid w:val="0004359A"/>
    <w:rsid w:val="000437FD"/>
    <w:rsid w:val="000439AF"/>
    <w:rsid w:val="00043AAB"/>
    <w:rsid w:val="00043AC9"/>
    <w:rsid w:val="000444E2"/>
    <w:rsid w:val="00044883"/>
    <w:rsid w:val="00044B5C"/>
    <w:rsid w:val="00045F9F"/>
    <w:rsid w:val="00046488"/>
    <w:rsid w:val="00046969"/>
    <w:rsid w:val="00046BF9"/>
    <w:rsid w:val="00046F83"/>
    <w:rsid w:val="000477FF"/>
    <w:rsid w:val="00047CB5"/>
    <w:rsid w:val="00050175"/>
    <w:rsid w:val="00051B61"/>
    <w:rsid w:val="000521AB"/>
    <w:rsid w:val="0005247A"/>
    <w:rsid w:val="00052590"/>
    <w:rsid w:val="000526F6"/>
    <w:rsid w:val="00052E15"/>
    <w:rsid w:val="000532EB"/>
    <w:rsid w:val="00053391"/>
    <w:rsid w:val="000533D7"/>
    <w:rsid w:val="00053795"/>
    <w:rsid w:val="00053B06"/>
    <w:rsid w:val="00053DFE"/>
    <w:rsid w:val="0005400D"/>
    <w:rsid w:val="000545D2"/>
    <w:rsid w:val="00054985"/>
    <w:rsid w:val="00054A60"/>
    <w:rsid w:val="00054C7A"/>
    <w:rsid w:val="00054FA8"/>
    <w:rsid w:val="000550B2"/>
    <w:rsid w:val="000559DA"/>
    <w:rsid w:val="00055BD1"/>
    <w:rsid w:val="00055C7A"/>
    <w:rsid w:val="00055FC7"/>
    <w:rsid w:val="00056350"/>
    <w:rsid w:val="00056758"/>
    <w:rsid w:val="00056F03"/>
    <w:rsid w:val="00057843"/>
    <w:rsid w:val="000578BA"/>
    <w:rsid w:val="0005795D"/>
    <w:rsid w:val="0006058A"/>
    <w:rsid w:val="00060ADC"/>
    <w:rsid w:val="00061459"/>
    <w:rsid w:val="0006151E"/>
    <w:rsid w:val="000618B4"/>
    <w:rsid w:val="00061AB2"/>
    <w:rsid w:val="00061DF1"/>
    <w:rsid w:val="00061F73"/>
    <w:rsid w:val="000622A8"/>
    <w:rsid w:val="0006235D"/>
    <w:rsid w:val="000625F8"/>
    <w:rsid w:val="00062BB2"/>
    <w:rsid w:val="00062E68"/>
    <w:rsid w:val="00063136"/>
    <w:rsid w:val="00063CB9"/>
    <w:rsid w:val="000646AE"/>
    <w:rsid w:val="00064809"/>
    <w:rsid w:val="000648D2"/>
    <w:rsid w:val="00064AB6"/>
    <w:rsid w:val="000657A8"/>
    <w:rsid w:val="000657F0"/>
    <w:rsid w:val="000663C3"/>
    <w:rsid w:val="000668E0"/>
    <w:rsid w:val="00066BAA"/>
    <w:rsid w:val="00066F3E"/>
    <w:rsid w:val="00067654"/>
    <w:rsid w:val="00067C04"/>
    <w:rsid w:val="00070D9E"/>
    <w:rsid w:val="0007196B"/>
    <w:rsid w:val="00071D42"/>
    <w:rsid w:val="00072B99"/>
    <w:rsid w:val="00072BBA"/>
    <w:rsid w:val="00072BF0"/>
    <w:rsid w:val="00072FEE"/>
    <w:rsid w:val="00073047"/>
    <w:rsid w:val="00073BD7"/>
    <w:rsid w:val="00074237"/>
    <w:rsid w:val="000743D6"/>
    <w:rsid w:val="00074B33"/>
    <w:rsid w:val="000762B0"/>
    <w:rsid w:val="000778C9"/>
    <w:rsid w:val="000802F7"/>
    <w:rsid w:val="000806CC"/>
    <w:rsid w:val="00080D36"/>
    <w:rsid w:val="00080EBD"/>
    <w:rsid w:val="00082667"/>
    <w:rsid w:val="000826D3"/>
    <w:rsid w:val="00082757"/>
    <w:rsid w:val="000829BF"/>
    <w:rsid w:val="00082AC0"/>
    <w:rsid w:val="0008392B"/>
    <w:rsid w:val="00083B68"/>
    <w:rsid w:val="00083ECF"/>
    <w:rsid w:val="0008402E"/>
    <w:rsid w:val="0008434A"/>
    <w:rsid w:val="000845C1"/>
    <w:rsid w:val="000847AD"/>
    <w:rsid w:val="00084AD7"/>
    <w:rsid w:val="00084FF1"/>
    <w:rsid w:val="000850E1"/>
    <w:rsid w:val="00085111"/>
    <w:rsid w:val="0008540D"/>
    <w:rsid w:val="00085B13"/>
    <w:rsid w:val="00085C21"/>
    <w:rsid w:val="00085D61"/>
    <w:rsid w:val="00085D89"/>
    <w:rsid w:val="000867D7"/>
    <w:rsid w:val="0008752B"/>
    <w:rsid w:val="00087EB9"/>
    <w:rsid w:val="00090132"/>
    <w:rsid w:val="000901D6"/>
    <w:rsid w:val="000903A7"/>
    <w:rsid w:val="00090C2F"/>
    <w:rsid w:val="000915A3"/>
    <w:rsid w:val="00091A40"/>
    <w:rsid w:val="00091DB2"/>
    <w:rsid w:val="000923A7"/>
    <w:rsid w:val="00092636"/>
    <w:rsid w:val="00092E0A"/>
    <w:rsid w:val="00093ACB"/>
    <w:rsid w:val="00094739"/>
    <w:rsid w:val="000948DD"/>
    <w:rsid w:val="00095491"/>
    <w:rsid w:val="00096442"/>
    <w:rsid w:val="0009692C"/>
    <w:rsid w:val="00096A50"/>
    <w:rsid w:val="00096B4B"/>
    <w:rsid w:val="00096F71"/>
    <w:rsid w:val="00097249"/>
    <w:rsid w:val="000977EB"/>
    <w:rsid w:val="000A01AC"/>
    <w:rsid w:val="000A0593"/>
    <w:rsid w:val="000A1594"/>
    <w:rsid w:val="000A18ED"/>
    <w:rsid w:val="000A1989"/>
    <w:rsid w:val="000A2C83"/>
    <w:rsid w:val="000A2E95"/>
    <w:rsid w:val="000A32F4"/>
    <w:rsid w:val="000A4757"/>
    <w:rsid w:val="000A49CD"/>
    <w:rsid w:val="000A49F7"/>
    <w:rsid w:val="000A4CDC"/>
    <w:rsid w:val="000A4ED6"/>
    <w:rsid w:val="000A4FD8"/>
    <w:rsid w:val="000A5A2E"/>
    <w:rsid w:val="000A66A9"/>
    <w:rsid w:val="000A6CA4"/>
    <w:rsid w:val="000A6EEB"/>
    <w:rsid w:val="000A7001"/>
    <w:rsid w:val="000A73A1"/>
    <w:rsid w:val="000A7A15"/>
    <w:rsid w:val="000A7D7D"/>
    <w:rsid w:val="000B050E"/>
    <w:rsid w:val="000B0DE4"/>
    <w:rsid w:val="000B10B1"/>
    <w:rsid w:val="000B1A1B"/>
    <w:rsid w:val="000B1F9C"/>
    <w:rsid w:val="000B2819"/>
    <w:rsid w:val="000B29F8"/>
    <w:rsid w:val="000B2A70"/>
    <w:rsid w:val="000B2C26"/>
    <w:rsid w:val="000B2DCB"/>
    <w:rsid w:val="000B3578"/>
    <w:rsid w:val="000B3A11"/>
    <w:rsid w:val="000B3D92"/>
    <w:rsid w:val="000B4405"/>
    <w:rsid w:val="000B4AA4"/>
    <w:rsid w:val="000B547A"/>
    <w:rsid w:val="000B56BA"/>
    <w:rsid w:val="000B5823"/>
    <w:rsid w:val="000B60CA"/>
    <w:rsid w:val="000B64CB"/>
    <w:rsid w:val="000B7132"/>
    <w:rsid w:val="000B7462"/>
    <w:rsid w:val="000C03F0"/>
    <w:rsid w:val="000C0565"/>
    <w:rsid w:val="000C0900"/>
    <w:rsid w:val="000C1754"/>
    <w:rsid w:val="000C1C56"/>
    <w:rsid w:val="000C2448"/>
    <w:rsid w:val="000C24C2"/>
    <w:rsid w:val="000C2AED"/>
    <w:rsid w:val="000C3180"/>
    <w:rsid w:val="000C3421"/>
    <w:rsid w:val="000C3A20"/>
    <w:rsid w:val="000C45DB"/>
    <w:rsid w:val="000C47B3"/>
    <w:rsid w:val="000C50F5"/>
    <w:rsid w:val="000C52CF"/>
    <w:rsid w:val="000C5A7A"/>
    <w:rsid w:val="000C5B96"/>
    <w:rsid w:val="000C60E1"/>
    <w:rsid w:val="000C6167"/>
    <w:rsid w:val="000C6C6A"/>
    <w:rsid w:val="000C71F1"/>
    <w:rsid w:val="000C7B90"/>
    <w:rsid w:val="000D03F2"/>
    <w:rsid w:val="000D0B6A"/>
    <w:rsid w:val="000D0EE0"/>
    <w:rsid w:val="000D1580"/>
    <w:rsid w:val="000D2287"/>
    <w:rsid w:val="000D289C"/>
    <w:rsid w:val="000D2EA7"/>
    <w:rsid w:val="000D3273"/>
    <w:rsid w:val="000D3CAE"/>
    <w:rsid w:val="000D3DAA"/>
    <w:rsid w:val="000D3ED8"/>
    <w:rsid w:val="000D3EDF"/>
    <w:rsid w:val="000D3F12"/>
    <w:rsid w:val="000D428C"/>
    <w:rsid w:val="000D4537"/>
    <w:rsid w:val="000D4C8D"/>
    <w:rsid w:val="000D4EB7"/>
    <w:rsid w:val="000D67EF"/>
    <w:rsid w:val="000D6C5B"/>
    <w:rsid w:val="000D6EC4"/>
    <w:rsid w:val="000D746C"/>
    <w:rsid w:val="000D79AE"/>
    <w:rsid w:val="000E04D6"/>
    <w:rsid w:val="000E0BA2"/>
    <w:rsid w:val="000E0C95"/>
    <w:rsid w:val="000E0EBC"/>
    <w:rsid w:val="000E1C83"/>
    <w:rsid w:val="000E1FC6"/>
    <w:rsid w:val="000E206D"/>
    <w:rsid w:val="000E23B5"/>
    <w:rsid w:val="000E2A52"/>
    <w:rsid w:val="000E30A8"/>
    <w:rsid w:val="000E33D0"/>
    <w:rsid w:val="000E3445"/>
    <w:rsid w:val="000E3ACC"/>
    <w:rsid w:val="000E4061"/>
    <w:rsid w:val="000E4594"/>
    <w:rsid w:val="000E4B9A"/>
    <w:rsid w:val="000E4EE2"/>
    <w:rsid w:val="000E56FA"/>
    <w:rsid w:val="000E5AAB"/>
    <w:rsid w:val="000E62E5"/>
    <w:rsid w:val="000E6823"/>
    <w:rsid w:val="000E6948"/>
    <w:rsid w:val="000E7350"/>
    <w:rsid w:val="000E7E94"/>
    <w:rsid w:val="000F007B"/>
    <w:rsid w:val="000F0525"/>
    <w:rsid w:val="000F0806"/>
    <w:rsid w:val="000F0D59"/>
    <w:rsid w:val="000F0FCB"/>
    <w:rsid w:val="000F1792"/>
    <w:rsid w:val="000F1C34"/>
    <w:rsid w:val="000F256B"/>
    <w:rsid w:val="000F2A59"/>
    <w:rsid w:val="000F2A8B"/>
    <w:rsid w:val="000F40CF"/>
    <w:rsid w:val="000F435D"/>
    <w:rsid w:val="000F48BC"/>
    <w:rsid w:val="000F4A1E"/>
    <w:rsid w:val="000F4C46"/>
    <w:rsid w:val="000F4E22"/>
    <w:rsid w:val="000F4F37"/>
    <w:rsid w:val="000F66B8"/>
    <w:rsid w:val="000F670E"/>
    <w:rsid w:val="000F7167"/>
    <w:rsid w:val="000F7196"/>
    <w:rsid w:val="000F7399"/>
    <w:rsid w:val="000F7515"/>
    <w:rsid w:val="000F76DD"/>
    <w:rsid w:val="000F7A89"/>
    <w:rsid w:val="000F7C7C"/>
    <w:rsid w:val="000F7CF3"/>
    <w:rsid w:val="0010110E"/>
    <w:rsid w:val="001011BB"/>
    <w:rsid w:val="0010168C"/>
    <w:rsid w:val="0010170F"/>
    <w:rsid w:val="00101CA5"/>
    <w:rsid w:val="0010203A"/>
    <w:rsid w:val="001022E6"/>
    <w:rsid w:val="00102505"/>
    <w:rsid w:val="00102C3C"/>
    <w:rsid w:val="00102F19"/>
    <w:rsid w:val="00102FA3"/>
    <w:rsid w:val="00104B17"/>
    <w:rsid w:val="0010510A"/>
    <w:rsid w:val="00105DC4"/>
    <w:rsid w:val="00105F98"/>
    <w:rsid w:val="001061C0"/>
    <w:rsid w:val="00106D71"/>
    <w:rsid w:val="00107406"/>
    <w:rsid w:val="0010785B"/>
    <w:rsid w:val="00107F32"/>
    <w:rsid w:val="00107FAE"/>
    <w:rsid w:val="00110328"/>
    <w:rsid w:val="0011074D"/>
    <w:rsid w:val="00110BB6"/>
    <w:rsid w:val="001111BE"/>
    <w:rsid w:val="0011161A"/>
    <w:rsid w:val="00111C8D"/>
    <w:rsid w:val="0011241A"/>
    <w:rsid w:val="001126C3"/>
    <w:rsid w:val="00112F4D"/>
    <w:rsid w:val="00113CE9"/>
    <w:rsid w:val="001142DE"/>
    <w:rsid w:val="0011547F"/>
    <w:rsid w:val="001156D2"/>
    <w:rsid w:val="00115CDA"/>
    <w:rsid w:val="00116D0B"/>
    <w:rsid w:val="00116E25"/>
    <w:rsid w:val="00117490"/>
    <w:rsid w:val="00117588"/>
    <w:rsid w:val="00117696"/>
    <w:rsid w:val="00117952"/>
    <w:rsid w:val="001203FA"/>
    <w:rsid w:val="0012058D"/>
    <w:rsid w:val="00120808"/>
    <w:rsid w:val="00121709"/>
    <w:rsid w:val="00121968"/>
    <w:rsid w:val="00122103"/>
    <w:rsid w:val="0012230D"/>
    <w:rsid w:val="00122384"/>
    <w:rsid w:val="001225CB"/>
    <w:rsid w:val="00123D76"/>
    <w:rsid w:val="00123FF7"/>
    <w:rsid w:val="00124025"/>
    <w:rsid w:val="00124A5D"/>
    <w:rsid w:val="00124E6A"/>
    <w:rsid w:val="00124ED5"/>
    <w:rsid w:val="00126039"/>
    <w:rsid w:val="001266CE"/>
    <w:rsid w:val="001267A3"/>
    <w:rsid w:val="00126B45"/>
    <w:rsid w:val="00126ED9"/>
    <w:rsid w:val="00126FF9"/>
    <w:rsid w:val="00127006"/>
    <w:rsid w:val="00127037"/>
    <w:rsid w:val="00127074"/>
    <w:rsid w:val="001270B8"/>
    <w:rsid w:val="001273C6"/>
    <w:rsid w:val="00127B4A"/>
    <w:rsid w:val="00127FEE"/>
    <w:rsid w:val="00130AE9"/>
    <w:rsid w:val="00130B2B"/>
    <w:rsid w:val="001316B1"/>
    <w:rsid w:val="00131842"/>
    <w:rsid w:val="00131F82"/>
    <w:rsid w:val="001323A5"/>
    <w:rsid w:val="00132EE9"/>
    <w:rsid w:val="001336AE"/>
    <w:rsid w:val="00133C73"/>
    <w:rsid w:val="0013422A"/>
    <w:rsid w:val="00134567"/>
    <w:rsid w:val="0013465F"/>
    <w:rsid w:val="0013495C"/>
    <w:rsid w:val="00134C80"/>
    <w:rsid w:val="00134F30"/>
    <w:rsid w:val="00135576"/>
    <w:rsid w:val="00135F0C"/>
    <w:rsid w:val="00136BE2"/>
    <w:rsid w:val="00136C54"/>
    <w:rsid w:val="001378D0"/>
    <w:rsid w:val="00137AD3"/>
    <w:rsid w:val="0014043C"/>
    <w:rsid w:val="00140972"/>
    <w:rsid w:val="00140A8A"/>
    <w:rsid w:val="00141A33"/>
    <w:rsid w:val="00141E29"/>
    <w:rsid w:val="00142056"/>
    <w:rsid w:val="00142117"/>
    <w:rsid w:val="001428A0"/>
    <w:rsid w:val="001430AA"/>
    <w:rsid w:val="001436E0"/>
    <w:rsid w:val="0014399E"/>
    <w:rsid w:val="001445CE"/>
    <w:rsid w:val="00144795"/>
    <w:rsid w:val="00145049"/>
    <w:rsid w:val="001450D9"/>
    <w:rsid w:val="00145967"/>
    <w:rsid w:val="001465F2"/>
    <w:rsid w:val="001468ED"/>
    <w:rsid w:val="00146BB0"/>
    <w:rsid w:val="00146C28"/>
    <w:rsid w:val="00146FBA"/>
    <w:rsid w:val="001474EC"/>
    <w:rsid w:val="0014778D"/>
    <w:rsid w:val="00150A68"/>
    <w:rsid w:val="00150B3B"/>
    <w:rsid w:val="001510FD"/>
    <w:rsid w:val="00151F97"/>
    <w:rsid w:val="00152396"/>
    <w:rsid w:val="0015313D"/>
    <w:rsid w:val="00153F2D"/>
    <w:rsid w:val="001542AE"/>
    <w:rsid w:val="00154448"/>
    <w:rsid w:val="0015622A"/>
    <w:rsid w:val="00156264"/>
    <w:rsid w:val="00156865"/>
    <w:rsid w:val="0015691B"/>
    <w:rsid w:val="00156C67"/>
    <w:rsid w:val="00156F30"/>
    <w:rsid w:val="00156FDD"/>
    <w:rsid w:val="0015743E"/>
    <w:rsid w:val="00160362"/>
    <w:rsid w:val="001603DE"/>
    <w:rsid w:val="001604F3"/>
    <w:rsid w:val="00160856"/>
    <w:rsid w:val="00160D96"/>
    <w:rsid w:val="001612CB"/>
    <w:rsid w:val="00161D1D"/>
    <w:rsid w:val="001628C0"/>
    <w:rsid w:val="00162F4A"/>
    <w:rsid w:val="001633A0"/>
    <w:rsid w:val="0016350F"/>
    <w:rsid w:val="001638EB"/>
    <w:rsid w:val="00163AF4"/>
    <w:rsid w:val="00163BEE"/>
    <w:rsid w:val="00163D63"/>
    <w:rsid w:val="00163FA7"/>
    <w:rsid w:val="001647C7"/>
    <w:rsid w:val="00164AAD"/>
    <w:rsid w:val="00164B78"/>
    <w:rsid w:val="00164E7F"/>
    <w:rsid w:val="00165225"/>
    <w:rsid w:val="0016528C"/>
    <w:rsid w:val="00165467"/>
    <w:rsid w:val="00165B2C"/>
    <w:rsid w:val="00166D00"/>
    <w:rsid w:val="0016730D"/>
    <w:rsid w:val="00167423"/>
    <w:rsid w:val="00167BF7"/>
    <w:rsid w:val="00170A9A"/>
    <w:rsid w:val="001711DC"/>
    <w:rsid w:val="00172058"/>
    <w:rsid w:val="001720C2"/>
    <w:rsid w:val="00172C41"/>
    <w:rsid w:val="00172F58"/>
    <w:rsid w:val="00173186"/>
    <w:rsid w:val="0017335B"/>
    <w:rsid w:val="001739F9"/>
    <w:rsid w:val="00173DFE"/>
    <w:rsid w:val="001744F9"/>
    <w:rsid w:val="00174662"/>
    <w:rsid w:val="00174B9B"/>
    <w:rsid w:val="00174D28"/>
    <w:rsid w:val="001750A0"/>
    <w:rsid w:val="00175656"/>
    <w:rsid w:val="001756FB"/>
    <w:rsid w:val="00175845"/>
    <w:rsid w:val="00175D9B"/>
    <w:rsid w:val="00176082"/>
    <w:rsid w:val="00176779"/>
    <w:rsid w:val="001773E7"/>
    <w:rsid w:val="00177BC6"/>
    <w:rsid w:val="00177E7A"/>
    <w:rsid w:val="00177EC7"/>
    <w:rsid w:val="001806EA"/>
    <w:rsid w:val="00180942"/>
    <w:rsid w:val="00181070"/>
    <w:rsid w:val="001829C9"/>
    <w:rsid w:val="00182B26"/>
    <w:rsid w:val="001831D2"/>
    <w:rsid w:val="001835EE"/>
    <w:rsid w:val="00183E9B"/>
    <w:rsid w:val="001843C6"/>
    <w:rsid w:val="00184911"/>
    <w:rsid w:val="00184A72"/>
    <w:rsid w:val="001853BF"/>
    <w:rsid w:val="00185BA9"/>
    <w:rsid w:val="00186309"/>
    <w:rsid w:val="0018657A"/>
    <w:rsid w:val="00186964"/>
    <w:rsid w:val="001871DC"/>
    <w:rsid w:val="001875AF"/>
    <w:rsid w:val="00190104"/>
    <w:rsid w:val="00191350"/>
    <w:rsid w:val="0019260C"/>
    <w:rsid w:val="00192E2B"/>
    <w:rsid w:val="00193321"/>
    <w:rsid w:val="00193AD1"/>
    <w:rsid w:val="00194AD8"/>
    <w:rsid w:val="001955AC"/>
    <w:rsid w:val="001965F5"/>
    <w:rsid w:val="0019671E"/>
    <w:rsid w:val="00196B54"/>
    <w:rsid w:val="00196BEB"/>
    <w:rsid w:val="00196BF6"/>
    <w:rsid w:val="00196CE6"/>
    <w:rsid w:val="00196F4B"/>
    <w:rsid w:val="001A0637"/>
    <w:rsid w:val="001A0C28"/>
    <w:rsid w:val="001A189D"/>
    <w:rsid w:val="001A1911"/>
    <w:rsid w:val="001A1ABA"/>
    <w:rsid w:val="001A262A"/>
    <w:rsid w:val="001A2657"/>
    <w:rsid w:val="001A2D6A"/>
    <w:rsid w:val="001A31FD"/>
    <w:rsid w:val="001A342F"/>
    <w:rsid w:val="001A3539"/>
    <w:rsid w:val="001A3BEB"/>
    <w:rsid w:val="001A4886"/>
    <w:rsid w:val="001A582D"/>
    <w:rsid w:val="001A5EEE"/>
    <w:rsid w:val="001A60EE"/>
    <w:rsid w:val="001A6B81"/>
    <w:rsid w:val="001A6E55"/>
    <w:rsid w:val="001B07D3"/>
    <w:rsid w:val="001B12D3"/>
    <w:rsid w:val="001B1437"/>
    <w:rsid w:val="001B16F4"/>
    <w:rsid w:val="001B1B03"/>
    <w:rsid w:val="001B1B38"/>
    <w:rsid w:val="001B1E5C"/>
    <w:rsid w:val="001B2F50"/>
    <w:rsid w:val="001B2FFF"/>
    <w:rsid w:val="001B30DB"/>
    <w:rsid w:val="001B35F8"/>
    <w:rsid w:val="001B3D85"/>
    <w:rsid w:val="001B43E4"/>
    <w:rsid w:val="001B45DD"/>
    <w:rsid w:val="001B4AF7"/>
    <w:rsid w:val="001B5174"/>
    <w:rsid w:val="001B5210"/>
    <w:rsid w:val="001B560A"/>
    <w:rsid w:val="001B5817"/>
    <w:rsid w:val="001B5AFB"/>
    <w:rsid w:val="001B5CAF"/>
    <w:rsid w:val="001B7525"/>
    <w:rsid w:val="001B75FD"/>
    <w:rsid w:val="001B7C2C"/>
    <w:rsid w:val="001B7E95"/>
    <w:rsid w:val="001C00E2"/>
    <w:rsid w:val="001C05DB"/>
    <w:rsid w:val="001C0D43"/>
    <w:rsid w:val="001C23B6"/>
    <w:rsid w:val="001C2B29"/>
    <w:rsid w:val="001C2BF0"/>
    <w:rsid w:val="001C2E4E"/>
    <w:rsid w:val="001C2EC2"/>
    <w:rsid w:val="001C2FC6"/>
    <w:rsid w:val="001C3129"/>
    <w:rsid w:val="001C34E6"/>
    <w:rsid w:val="001C443D"/>
    <w:rsid w:val="001C46DC"/>
    <w:rsid w:val="001C4828"/>
    <w:rsid w:val="001C4BFE"/>
    <w:rsid w:val="001C6C30"/>
    <w:rsid w:val="001C79FF"/>
    <w:rsid w:val="001C7E55"/>
    <w:rsid w:val="001D000B"/>
    <w:rsid w:val="001D009F"/>
    <w:rsid w:val="001D0860"/>
    <w:rsid w:val="001D16F7"/>
    <w:rsid w:val="001D17B3"/>
    <w:rsid w:val="001D1A20"/>
    <w:rsid w:val="001D1B71"/>
    <w:rsid w:val="001D21D9"/>
    <w:rsid w:val="001D2E9B"/>
    <w:rsid w:val="001D3C35"/>
    <w:rsid w:val="001D3D0A"/>
    <w:rsid w:val="001D496D"/>
    <w:rsid w:val="001D508C"/>
    <w:rsid w:val="001D508D"/>
    <w:rsid w:val="001D51D9"/>
    <w:rsid w:val="001D55EC"/>
    <w:rsid w:val="001D5841"/>
    <w:rsid w:val="001D5BAF"/>
    <w:rsid w:val="001D5F4A"/>
    <w:rsid w:val="001D677D"/>
    <w:rsid w:val="001D6982"/>
    <w:rsid w:val="001D6A0A"/>
    <w:rsid w:val="001D6B3B"/>
    <w:rsid w:val="001D6BA5"/>
    <w:rsid w:val="001D6C92"/>
    <w:rsid w:val="001D7011"/>
    <w:rsid w:val="001D71B6"/>
    <w:rsid w:val="001E0824"/>
    <w:rsid w:val="001E083F"/>
    <w:rsid w:val="001E141D"/>
    <w:rsid w:val="001E1828"/>
    <w:rsid w:val="001E1D92"/>
    <w:rsid w:val="001E2193"/>
    <w:rsid w:val="001E2418"/>
    <w:rsid w:val="001E2749"/>
    <w:rsid w:val="001E2AFB"/>
    <w:rsid w:val="001E2E5A"/>
    <w:rsid w:val="001E2F3E"/>
    <w:rsid w:val="001E430B"/>
    <w:rsid w:val="001E4624"/>
    <w:rsid w:val="001E49B3"/>
    <w:rsid w:val="001E5B13"/>
    <w:rsid w:val="001E5CEA"/>
    <w:rsid w:val="001E6A41"/>
    <w:rsid w:val="001E6FDD"/>
    <w:rsid w:val="001E724E"/>
    <w:rsid w:val="001E733F"/>
    <w:rsid w:val="001E7916"/>
    <w:rsid w:val="001E7CA0"/>
    <w:rsid w:val="001F07A9"/>
    <w:rsid w:val="001F0BFD"/>
    <w:rsid w:val="001F1168"/>
    <w:rsid w:val="001F1275"/>
    <w:rsid w:val="001F165D"/>
    <w:rsid w:val="001F1F11"/>
    <w:rsid w:val="001F2462"/>
    <w:rsid w:val="001F2531"/>
    <w:rsid w:val="001F2870"/>
    <w:rsid w:val="001F2C34"/>
    <w:rsid w:val="001F2DC7"/>
    <w:rsid w:val="001F32F8"/>
    <w:rsid w:val="001F361D"/>
    <w:rsid w:val="001F3A65"/>
    <w:rsid w:val="001F3A6C"/>
    <w:rsid w:val="001F448F"/>
    <w:rsid w:val="001F4991"/>
    <w:rsid w:val="001F4C9D"/>
    <w:rsid w:val="001F5453"/>
    <w:rsid w:val="001F57DF"/>
    <w:rsid w:val="001F6166"/>
    <w:rsid w:val="001F64DB"/>
    <w:rsid w:val="001F6583"/>
    <w:rsid w:val="001F692C"/>
    <w:rsid w:val="001F6A28"/>
    <w:rsid w:val="001F6BAA"/>
    <w:rsid w:val="001F7049"/>
    <w:rsid w:val="001F7C95"/>
    <w:rsid w:val="002002C8"/>
    <w:rsid w:val="00200745"/>
    <w:rsid w:val="00200DF4"/>
    <w:rsid w:val="00201088"/>
    <w:rsid w:val="0020141B"/>
    <w:rsid w:val="00201889"/>
    <w:rsid w:val="002019C9"/>
    <w:rsid w:val="00201B4B"/>
    <w:rsid w:val="00202A6D"/>
    <w:rsid w:val="002043C7"/>
    <w:rsid w:val="0020456D"/>
    <w:rsid w:val="002049CF"/>
    <w:rsid w:val="00204FB9"/>
    <w:rsid w:val="00205239"/>
    <w:rsid w:val="0020552B"/>
    <w:rsid w:val="00205E6B"/>
    <w:rsid w:val="00206890"/>
    <w:rsid w:val="00206A65"/>
    <w:rsid w:val="00207D31"/>
    <w:rsid w:val="00210AC6"/>
    <w:rsid w:val="00210D18"/>
    <w:rsid w:val="00210F75"/>
    <w:rsid w:val="0021110D"/>
    <w:rsid w:val="00211617"/>
    <w:rsid w:val="00211C03"/>
    <w:rsid w:val="00211DCE"/>
    <w:rsid w:val="00212954"/>
    <w:rsid w:val="00212E92"/>
    <w:rsid w:val="00214263"/>
    <w:rsid w:val="00214749"/>
    <w:rsid w:val="0021481D"/>
    <w:rsid w:val="00214BDE"/>
    <w:rsid w:val="00214BEB"/>
    <w:rsid w:val="0021530B"/>
    <w:rsid w:val="00215E33"/>
    <w:rsid w:val="00216A75"/>
    <w:rsid w:val="00216B52"/>
    <w:rsid w:val="00217F33"/>
    <w:rsid w:val="00220311"/>
    <w:rsid w:val="002203FA"/>
    <w:rsid w:val="0022093F"/>
    <w:rsid w:val="002210FB"/>
    <w:rsid w:val="00221206"/>
    <w:rsid w:val="00221EC9"/>
    <w:rsid w:val="002223BB"/>
    <w:rsid w:val="00222B7B"/>
    <w:rsid w:val="0022313A"/>
    <w:rsid w:val="00224107"/>
    <w:rsid w:val="00225126"/>
    <w:rsid w:val="0022535C"/>
    <w:rsid w:val="00225CD5"/>
    <w:rsid w:val="00227DE4"/>
    <w:rsid w:val="00227E23"/>
    <w:rsid w:val="00230E4A"/>
    <w:rsid w:val="00230EE6"/>
    <w:rsid w:val="002318F8"/>
    <w:rsid w:val="002330FF"/>
    <w:rsid w:val="00233191"/>
    <w:rsid w:val="00233230"/>
    <w:rsid w:val="00233913"/>
    <w:rsid w:val="00233EFB"/>
    <w:rsid w:val="002342E5"/>
    <w:rsid w:val="002349E3"/>
    <w:rsid w:val="002349E5"/>
    <w:rsid w:val="0023537B"/>
    <w:rsid w:val="0023569F"/>
    <w:rsid w:val="002374DE"/>
    <w:rsid w:val="0024014D"/>
    <w:rsid w:val="00240447"/>
    <w:rsid w:val="00240638"/>
    <w:rsid w:val="00241102"/>
    <w:rsid w:val="00241BD0"/>
    <w:rsid w:val="00241E12"/>
    <w:rsid w:val="002423F2"/>
    <w:rsid w:val="00242B5A"/>
    <w:rsid w:val="00242D8A"/>
    <w:rsid w:val="00242F63"/>
    <w:rsid w:val="0024349D"/>
    <w:rsid w:val="0024349E"/>
    <w:rsid w:val="0024351A"/>
    <w:rsid w:val="00243C7D"/>
    <w:rsid w:val="002441FF"/>
    <w:rsid w:val="00244E23"/>
    <w:rsid w:val="002451DC"/>
    <w:rsid w:val="00245261"/>
    <w:rsid w:val="00245835"/>
    <w:rsid w:val="002458C0"/>
    <w:rsid w:val="00245D5D"/>
    <w:rsid w:val="0024644C"/>
    <w:rsid w:val="00246915"/>
    <w:rsid w:val="002477AC"/>
    <w:rsid w:val="00247959"/>
    <w:rsid w:val="00250278"/>
    <w:rsid w:val="002507BC"/>
    <w:rsid w:val="00250A97"/>
    <w:rsid w:val="00250BEA"/>
    <w:rsid w:val="00250E0A"/>
    <w:rsid w:val="00251098"/>
    <w:rsid w:val="00251242"/>
    <w:rsid w:val="002518F2"/>
    <w:rsid w:val="002519BD"/>
    <w:rsid w:val="00251CC0"/>
    <w:rsid w:val="002522EB"/>
    <w:rsid w:val="002523BB"/>
    <w:rsid w:val="002529C8"/>
    <w:rsid w:val="00253252"/>
    <w:rsid w:val="0025343C"/>
    <w:rsid w:val="002536C1"/>
    <w:rsid w:val="00253975"/>
    <w:rsid w:val="00255083"/>
    <w:rsid w:val="00255E0E"/>
    <w:rsid w:val="00256572"/>
    <w:rsid w:val="0025687D"/>
    <w:rsid w:val="00256998"/>
    <w:rsid w:val="00256FF8"/>
    <w:rsid w:val="002602A9"/>
    <w:rsid w:val="00260D94"/>
    <w:rsid w:val="00260DBA"/>
    <w:rsid w:val="00261CCA"/>
    <w:rsid w:val="0026218F"/>
    <w:rsid w:val="002621F6"/>
    <w:rsid w:val="002623CD"/>
    <w:rsid w:val="00262BC0"/>
    <w:rsid w:val="002639F2"/>
    <w:rsid w:val="00264AC4"/>
    <w:rsid w:val="00264D70"/>
    <w:rsid w:val="002651D2"/>
    <w:rsid w:val="00265DF6"/>
    <w:rsid w:val="00266107"/>
    <w:rsid w:val="002666D1"/>
    <w:rsid w:val="002667EA"/>
    <w:rsid w:val="002668EF"/>
    <w:rsid w:val="00267199"/>
    <w:rsid w:val="0026766C"/>
    <w:rsid w:val="002676A2"/>
    <w:rsid w:val="00270239"/>
    <w:rsid w:val="00271656"/>
    <w:rsid w:val="002717E6"/>
    <w:rsid w:val="00271D26"/>
    <w:rsid w:val="00271E37"/>
    <w:rsid w:val="00273A95"/>
    <w:rsid w:val="002742D7"/>
    <w:rsid w:val="0027466E"/>
    <w:rsid w:val="00274A01"/>
    <w:rsid w:val="002764FB"/>
    <w:rsid w:val="002768DB"/>
    <w:rsid w:val="002772F4"/>
    <w:rsid w:val="00277C0C"/>
    <w:rsid w:val="00277CE4"/>
    <w:rsid w:val="00277FC9"/>
    <w:rsid w:val="002801CB"/>
    <w:rsid w:val="0028078A"/>
    <w:rsid w:val="00280C06"/>
    <w:rsid w:val="00280FC8"/>
    <w:rsid w:val="0028126A"/>
    <w:rsid w:val="002813C2"/>
    <w:rsid w:val="002816F8"/>
    <w:rsid w:val="00281D27"/>
    <w:rsid w:val="0028232F"/>
    <w:rsid w:val="002824BD"/>
    <w:rsid w:val="00283714"/>
    <w:rsid w:val="002839AD"/>
    <w:rsid w:val="00283A6E"/>
    <w:rsid w:val="00283B9B"/>
    <w:rsid w:val="00283E11"/>
    <w:rsid w:val="002842DB"/>
    <w:rsid w:val="0028448A"/>
    <w:rsid w:val="00284EF7"/>
    <w:rsid w:val="00284FB1"/>
    <w:rsid w:val="0028570E"/>
    <w:rsid w:val="00285DE9"/>
    <w:rsid w:val="00285DF4"/>
    <w:rsid w:val="00285F70"/>
    <w:rsid w:val="002860EA"/>
    <w:rsid w:val="0028638B"/>
    <w:rsid w:val="00286999"/>
    <w:rsid w:val="00286AE2"/>
    <w:rsid w:val="00286BDF"/>
    <w:rsid w:val="00287DAC"/>
    <w:rsid w:val="00287E73"/>
    <w:rsid w:val="002908CD"/>
    <w:rsid w:val="00290CC3"/>
    <w:rsid w:val="0029150F"/>
    <w:rsid w:val="002916E6"/>
    <w:rsid w:val="00291712"/>
    <w:rsid w:val="00291D97"/>
    <w:rsid w:val="00292349"/>
    <w:rsid w:val="0029351F"/>
    <w:rsid w:val="00293C7E"/>
    <w:rsid w:val="002945EF"/>
    <w:rsid w:val="00294DF7"/>
    <w:rsid w:val="00295C99"/>
    <w:rsid w:val="00296637"/>
    <w:rsid w:val="00296D74"/>
    <w:rsid w:val="00296EF8"/>
    <w:rsid w:val="0029729C"/>
    <w:rsid w:val="002974C4"/>
    <w:rsid w:val="00297652"/>
    <w:rsid w:val="00297710"/>
    <w:rsid w:val="002A09E1"/>
    <w:rsid w:val="002A0FDD"/>
    <w:rsid w:val="002A1542"/>
    <w:rsid w:val="002A1641"/>
    <w:rsid w:val="002A18EC"/>
    <w:rsid w:val="002A19C8"/>
    <w:rsid w:val="002A1EAC"/>
    <w:rsid w:val="002A2503"/>
    <w:rsid w:val="002A2781"/>
    <w:rsid w:val="002A2A1B"/>
    <w:rsid w:val="002A3A93"/>
    <w:rsid w:val="002A4591"/>
    <w:rsid w:val="002A4DA7"/>
    <w:rsid w:val="002A4FB3"/>
    <w:rsid w:val="002A568B"/>
    <w:rsid w:val="002A5ACF"/>
    <w:rsid w:val="002A5C3B"/>
    <w:rsid w:val="002A5E4E"/>
    <w:rsid w:val="002A6E26"/>
    <w:rsid w:val="002A70AC"/>
    <w:rsid w:val="002B0988"/>
    <w:rsid w:val="002B10E9"/>
    <w:rsid w:val="002B14DF"/>
    <w:rsid w:val="002B15AD"/>
    <w:rsid w:val="002B3B1A"/>
    <w:rsid w:val="002B4010"/>
    <w:rsid w:val="002B481B"/>
    <w:rsid w:val="002B4BE3"/>
    <w:rsid w:val="002B4D97"/>
    <w:rsid w:val="002B5631"/>
    <w:rsid w:val="002B646E"/>
    <w:rsid w:val="002B6555"/>
    <w:rsid w:val="002B68F9"/>
    <w:rsid w:val="002B6949"/>
    <w:rsid w:val="002B6965"/>
    <w:rsid w:val="002B7490"/>
    <w:rsid w:val="002B7BF0"/>
    <w:rsid w:val="002B7F41"/>
    <w:rsid w:val="002C02F9"/>
    <w:rsid w:val="002C11D6"/>
    <w:rsid w:val="002C207A"/>
    <w:rsid w:val="002C20E0"/>
    <w:rsid w:val="002C274F"/>
    <w:rsid w:val="002C32D7"/>
    <w:rsid w:val="002C3413"/>
    <w:rsid w:val="002C3D51"/>
    <w:rsid w:val="002C43CF"/>
    <w:rsid w:val="002C5259"/>
    <w:rsid w:val="002C5A1B"/>
    <w:rsid w:val="002C60D5"/>
    <w:rsid w:val="002C68A2"/>
    <w:rsid w:val="002C6B70"/>
    <w:rsid w:val="002C705B"/>
    <w:rsid w:val="002C72EA"/>
    <w:rsid w:val="002C7DA3"/>
    <w:rsid w:val="002C7FB6"/>
    <w:rsid w:val="002D0871"/>
    <w:rsid w:val="002D0922"/>
    <w:rsid w:val="002D0CFA"/>
    <w:rsid w:val="002D145D"/>
    <w:rsid w:val="002D15D3"/>
    <w:rsid w:val="002D1C51"/>
    <w:rsid w:val="002D2499"/>
    <w:rsid w:val="002D30ED"/>
    <w:rsid w:val="002D3265"/>
    <w:rsid w:val="002D3270"/>
    <w:rsid w:val="002D35C2"/>
    <w:rsid w:val="002D3EE6"/>
    <w:rsid w:val="002D41F0"/>
    <w:rsid w:val="002D492B"/>
    <w:rsid w:val="002D4D55"/>
    <w:rsid w:val="002D57DA"/>
    <w:rsid w:val="002D597B"/>
    <w:rsid w:val="002D5ED8"/>
    <w:rsid w:val="002D6889"/>
    <w:rsid w:val="002D6F4D"/>
    <w:rsid w:val="002D71EA"/>
    <w:rsid w:val="002D75C7"/>
    <w:rsid w:val="002D7A24"/>
    <w:rsid w:val="002D7AD6"/>
    <w:rsid w:val="002D7B2A"/>
    <w:rsid w:val="002E00D1"/>
    <w:rsid w:val="002E02A9"/>
    <w:rsid w:val="002E0BFD"/>
    <w:rsid w:val="002E0D74"/>
    <w:rsid w:val="002E111A"/>
    <w:rsid w:val="002E1710"/>
    <w:rsid w:val="002E1751"/>
    <w:rsid w:val="002E1E70"/>
    <w:rsid w:val="002E2229"/>
    <w:rsid w:val="002E346C"/>
    <w:rsid w:val="002E4104"/>
    <w:rsid w:val="002E456C"/>
    <w:rsid w:val="002E49AA"/>
    <w:rsid w:val="002E4D4F"/>
    <w:rsid w:val="002E5136"/>
    <w:rsid w:val="002E52B9"/>
    <w:rsid w:val="002E603F"/>
    <w:rsid w:val="002E66C4"/>
    <w:rsid w:val="002E69D1"/>
    <w:rsid w:val="002E763A"/>
    <w:rsid w:val="002E7868"/>
    <w:rsid w:val="002F0129"/>
    <w:rsid w:val="002F088C"/>
    <w:rsid w:val="002F09C5"/>
    <w:rsid w:val="002F0F0A"/>
    <w:rsid w:val="002F0F0E"/>
    <w:rsid w:val="002F1CFB"/>
    <w:rsid w:val="002F1D27"/>
    <w:rsid w:val="002F1F86"/>
    <w:rsid w:val="002F2379"/>
    <w:rsid w:val="002F3163"/>
    <w:rsid w:val="002F364A"/>
    <w:rsid w:val="002F3F83"/>
    <w:rsid w:val="002F44F9"/>
    <w:rsid w:val="002F503C"/>
    <w:rsid w:val="002F5568"/>
    <w:rsid w:val="002F5F54"/>
    <w:rsid w:val="002F6CA7"/>
    <w:rsid w:val="002F6CB6"/>
    <w:rsid w:val="002F7D07"/>
    <w:rsid w:val="00300258"/>
    <w:rsid w:val="003008E2"/>
    <w:rsid w:val="00300CF4"/>
    <w:rsid w:val="00301FD0"/>
    <w:rsid w:val="00302CA6"/>
    <w:rsid w:val="00302CD0"/>
    <w:rsid w:val="0030318F"/>
    <w:rsid w:val="003031B5"/>
    <w:rsid w:val="0030359D"/>
    <w:rsid w:val="003038B6"/>
    <w:rsid w:val="0030500A"/>
    <w:rsid w:val="00305357"/>
    <w:rsid w:val="003053C8"/>
    <w:rsid w:val="00305458"/>
    <w:rsid w:val="00306032"/>
    <w:rsid w:val="0030619F"/>
    <w:rsid w:val="0030668A"/>
    <w:rsid w:val="003066D7"/>
    <w:rsid w:val="003068D4"/>
    <w:rsid w:val="003069AE"/>
    <w:rsid w:val="00306A86"/>
    <w:rsid w:val="00306CEA"/>
    <w:rsid w:val="00306E3B"/>
    <w:rsid w:val="00306EB6"/>
    <w:rsid w:val="0030752F"/>
    <w:rsid w:val="0030766A"/>
    <w:rsid w:val="003077CF"/>
    <w:rsid w:val="00307895"/>
    <w:rsid w:val="00310357"/>
    <w:rsid w:val="00310483"/>
    <w:rsid w:val="00310D4A"/>
    <w:rsid w:val="003111B9"/>
    <w:rsid w:val="003112BE"/>
    <w:rsid w:val="003112D5"/>
    <w:rsid w:val="00311355"/>
    <w:rsid w:val="00312480"/>
    <w:rsid w:val="00312732"/>
    <w:rsid w:val="00312C1A"/>
    <w:rsid w:val="00312E43"/>
    <w:rsid w:val="0031316A"/>
    <w:rsid w:val="0031327B"/>
    <w:rsid w:val="003132AE"/>
    <w:rsid w:val="003133B4"/>
    <w:rsid w:val="003136FD"/>
    <w:rsid w:val="00313823"/>
    <w:rsid w:val="003138F9"/>
    <w:rsid w:val="0031445F"/>
    <w:rsid w:val="00314A86"/>
    <w:rsid w:val="00314D46"/>
    <w:rsid w:val="00315173"/>
    <w:rsid w:val="00315747"/>
    <w:rsid w:val="00315E88"/>
    <w:rsid w:val="003160FB"/>
    <w:rsid w:val="00316138"/>
    <w:rsid w:val="0031684C"/>
    <w:rsid w:val="00317888"/>
    <w:rsid w:val="00317C9F"/>
    <w:rsid w:val="00317D36"/>
    <w:rsid w:val="003205A2"/>
    <w:rsid w:val="00320A06"/>
    <w:rsid w:val="00320AC3"/>
    <w:rsid w:val="00320F23"/>
    <w:rsid w:val="00321497"/>
    <w:rsid w:val="003217D2"/>
    <w:rsid w:val="00321869"/>
    <w:rsid w:val="00321982"/>
    <w:rsid w:val="00321ED3"/>
    <w:rsid w:val="003229FA"/>
    <w:rsid w:val="00322EB5"/>
    <w:rsid w:val="003234C9"/>
    <w:rsid w:val="003237A7"/>
    <w:rsid w:val="00323BDD"/>
    <w:rsid w:val="00324430"/>
    <w:rsid w:val="00324615"/>
    <w:rsid w:val="00325944"/>
    <w:rsid w:val="003261F6"/>
    <w:rsid w:val="003263F1"/>
    <w:rsid w:val="00326814"/>
    <w:rsid w:val="00326B5B"/>
    <w:rsid w:val="00326C0B"/>
    <w:rsid w:val="00330231"/>
    <w:rsid w:val="00330836"/>
    <w:rsid w:val="003308B8"/>
    <w:rsid w:val="00331137"/>
    <w:rsid w:val="00331CBC"/>
    <w:rsid w:val="00332054"/>
    <w:rsid w:val="003321D1"/>
    <w:rsid w:val="00332397"/>
    <w:rsid w:val="0033239B"/>
    <w:rsid w:val="00332E23"/>
    <w:rsid w:val="00332E76"/>
    <w:rsid w:val="003330FA"/>
    <w:rsid w:val="00333FD4"/>
    <w:rsid w:val="00334194"/>
    <w:rsid w:val="0033429D"/>
    <w:rsid w:val="00334953"/>
    <w:rsid w:val="00334EAB"/>
    <w:rsid w:val="00334EF8"/>
    <w:rsid w:val="00335139"/>
    <w:rsid w:val="003352F7"/>
    <w:rsid w:val="003356F1"/>
    <w:rsid w:val="00335D2A"/>
    <w:rsid w:val="00340115"/>
    <w:rsid w:val="003403B4"/>
    <w:rsid w:val="0034074E"/>
    <w:rsid w:val="0034094E"/>
    <w:rsid w:val="00341650"/>
    <w:rsid w:val="00342627"/>
    <w:rsid w:val="0034266C"/>
    <w:rsid w:val="00343E21"/>
    <w:rsid w:val="00344A5B"/>
    <w:rsid w:val="00344AE0"/>
    <w:rsid w:val="00344B76"/>
    <w:rsid w:val="00344F68"/>
    <w:rsid w:val="00344FB9"/>
    <w:rsid w:val="003452DA"/>
    <w:rsid w:val="0034558C"/>
    <w:rsid w:val="00345912"/>
    <w:rsid w:val="00345B60"/>
    <w:rsid w:val="00345EDF"/>
    <w:rsid w:val="003464CD"/>
    <w:rsid w:val="00346510"/>
    <w:rsid w:val="00346807"/>
    <w:rsid w:val="00346D66"/>
    <w:rsid w:val="00346E9D"/>
    <w:rsid w:val="00347516"/>
    <w:rsid w:val="00347F04"/>
    <w:rsid w:val="003501E6"/>
    <w:rsid w:val="00350DA6"/>
    <w:rsid w:val="00350F73"/>
    <w:rsid w:val="0035126E"/>
    <w:rsid w:val="00351CE7"/>
    <w:rsid w:val="00351F26"/>
    <w:rsid w:val="00351FA8"/>
    <w:rsid w:val="003521AD"/>
    <w:rsid w:val="003522C0"/>
    <w:rsid w:val="00352769"/>
    <w:rsid w:val="00352E68"/>
    <w:rsid w:val="003532E2"/>
    <w:rsid w:val="00353B3F"/>
    <w:rsid w:val="00353EB1"/>
    <w:rsid w:val="00353FEA"/>
    <w:rsid w:val="003542D6"/>
    <w:rsid w:val="0035454C"/>
    <w:rsid w:val="00354CA9"/>
    <w:rsid w:val="0035552F"/>
    <w:rsid w:val="00356224"/>
    <w:rsid w:val="003569A0"/>
    <w:rsid w:val="003601CD"/>
    <w:rsid w:val="00360734"/>
    <w:rsid w:val="003608F9"/>
    <w:rsid w:val="00360CD9"/>
    <w:rsid w:val="00360DD6"/>
    <w:rsid w:val="00361018"/>
    <w:rsid w:val="0036124B"/>
    <w:rsid w:val="00361CFA"/>
    <w:rsid w:val="003622F1"/>
    <w:rsid w:val="00362834"/>
    <w:rsid w:val="003628FE"/>
    <w:rsid w:val="00363327"/>
    <w:rsid w:val="00363FF5"/>
    <w:rsid w:val="00364826"/>
    <w:rsid w:val="0036658D"/>
    <w:rsid w:val="00366764"/>
    <w:rsid w:val="003704E3"/>
    <w:rsid w:val="00370A28"/>
    <w:rsid w:val="00370FBD"/>
    <w:rsid w:val="0037168C"/>
    <w:rsid w:val="00371D57"/>
    <w:rsid w:val="00371DE4"/>
    <w:rsid w:val="00371FAA"/>
    <w:rsid w:val="0037212A"/>
    <w:rsid w:val="003721DA"/>
    <w:rsid w:val="00372273"/>
    <w:rsid w:val="00372D83"/>
    <w:rsid w:val="00372DF8"/>
    <w:rsid w:val="0037347F"/>
    <w:rsid w:val="00373699"/>
    <w:rsid w:val="00373CF8"/>
    <w:rsid w:val="00373F78"/>
    <w:rsid w:val="0037431B"/>
    <w:rsid w:val="00374399"/>
    <w:rsid w:val="003746CE"/>
    <w:rsid w:val="0037493F"/>
    <w:rsid w:val="003749F7"/>
    <w:rsid w:val="0037506A"/>
    <w:rsid w:val="0037560A"/>
    <w:rsid w:val="00375795"/>
    <w:rsid w:val="0037616E"/>
    <w:rsid w:val="00376262"/>
    <w:rsid w:val="003763A1"/>
    <w:rsid w:val="003768E2"/>
    <w:rsid w:val="00376F43"/>
    <w:rsid w:val="00377473"/>
    <w:rsid w:val="0037760E"/>
    <w:rsid w:val="003803E0"/>
    <w:rsid w:val="0038054C"/>
    <w:rsid w:val="003805D3"/>
    <w:rsid w:val="0038061E"/>
    <w:rsid w:val="003809AF"/>
    <w:rsid w:val="00380B36"/>
    <w:rsid w:val="003817A7"/>
    <w:rsid w:val="003817C0"/>
    <w:rsid w:val="0038191F"/>
    <w:rsid w:val="003819CC"/>
    <w:rsid w:val="00381B0C"/>
    <w:rsid w:val="0038290A"/>
    <w:rsid w:val="00382D8D"/>
    <w:rsid w:val="00382F22"/>
    <w:rsid w:val="003830A8"/>
    <w:rsid w:val="0038322A"/>
    <w:rsid w:val="00384541"/>
    <w:rsid w:val="00384797"/>
    <w:rsid w:val="00385049"/>
    <w:rsid w:val="00385214"/>
    <w:rsid w:val="003856C4"/>
    <w:rsid w:val="003864B1"/>
    <w:rsid w:val="00386623"/>
    <w:rsid w:val="00387F2F"/>
    <w:rsid w:val="0039000D"/>
    <w:rsid w:val="003900C7"/>
    <w:rsid w:val="003902D5"/>
    <w:rsid w:val="00390746"/>
    <w:rsid w:val="00390CF9"/>
    <w:rsid w:val="00391C58"/>
    <w:rsid w:val="00391C9B"/>
    <w:rsid w:val="00392198"/>
    <w:rsid w:val="003929E1"/>
    <w:rsid w:val="00392D78"/>
    <w:rsid w:val="00393264"/>
    <w:rsid w:val="00395064"/>
    <w:rsid w:val="0039534D"/>
    <w:rsid w:val="003953C1"/>
    <w:rsid w:val="00395B6C"/>
    <w:rsid w:val="00395F8F"/>
    <w:rsid w:val="003968A6"/>
    <w:rsid w:val="00396BA3"/>
    <w:rsid w:val="003975E8"/>
    <w:rsid w:val="0039793B"/>
    <w:rsid w:val="003A07F8"/>
    <w:rsid w:val="003A1055"/>
    <w:rsid w:val="003A10AE"/>
    <w:rsid w:val="003A2176"/>
    <w:rsid w:val="003A2612"/>
    <w:rsid w:val="003A32A9"/>
    <w:rsid w:val="003A32DA"/>
    <w:rsid w:val="003A34C1"/>
    <w:rsid w:val="003A380D"/>
    <w:rsid w:val="003A3D26"/>
    <w:rsid w:val="003A3DF1"/>
    <w:rsid w:val="003A4027"/>
    <w:rsid w:val="003A42F7"/>
    <w:rsid w:val="003A4653"/>
    <w:rsid w:val="003A4794"/>
    <w:rsid w:val="003A47D8"/>
    <w:rsid w:val="003A481F"/>
    <w:rsid w:val="003A4A57"/>
    <w:rsid w:val="003A4C7C"/>
    <w:rsid w:val="003A4D11"/>
    <w:rsid w:val="003A4D17"/>
    <w:rsid w:val="003A51A7"/>
    <w:rsid w:val="003A5280"/>
    <w:rsid w:val="003A5585"/>
    <w:rsid w:val="003A5701"/>
    <w:rsid w:val="003A6167"/>
    <w:rsid w:val="003A652D"/>
    <w:rsid w:val="003A67B1"/>
    <w:rsid w:val="003A6862"/>
    <w:rsid w:val="003A6BD9"/>
    <w:rsid w:val="003A6D3A"/>
    <w:rsid w:val="003A7B67"/>
    <w:rsid w:val="003A7D48"/>
    <w:rsid w:val="003B08A2"/>
    <w:rsid w:val="003B0BF4"/>
    <w:rsid w:val="003B0C91"/>
    <w:rsid w:val="003B0F8E"/>
    <w:rsid w:val="003B1111"/>
    <w:rsid w:val="003B1933"/>
    <w:rsid w:val="003B2B5E"/>
    <w:rsid w:val="003B30B3"/>
    <w:rsid w:val="003B3666"/>
    <w:rsid w:val="003B3E5C"/>
    <w:rsid w:val="003B4163"/>
    <w:rsid w:val="003B41C7"/>
    <w:rsid w:val="003B496A"/>
    <w:rsid w:val="003B4CAA"/>
    <w:rsid w:val="003B5105"/>
    <w:rsid w:val="003B512C"/>
    <w:rsid w:val="003B5241"/>
    <w:rsid w:val="003B5C91"/>
    <w:rsid w:val="003B5D58"/>
    <w:rsid w:val="003B5FA0"/>
    <w:rsid w:val="003B6047"/>
    <w:rsid w:val="003B64C0"/>
    <w:rsid w:val="003B692F"/>
    <w:rsid w:val="003B693F"/>
    <w:rsid w:val="003B6DEA"/>
    <w:rsid w:val="003B6ECC"/>
    <w:rsid w:val="003B7250"/>
    <w:rsid w:val="003B7835"/>
    <w:rsid w:val="003B7840"/>
    <w:rsid w:val="003B79B9"/>
    <w:rsid w:val="003B7A6C"/>
    <w:rsid w:val="003B7E92"/>
    <w:rsid w:val="003C0029"/>
    <w:rsid w:val="003C01AC"/>
    <w:rsid w:val="003C04A9"/>
    <w:rsid w:val="003C0975"/>
    <w:rsid w:val="003C0D49"/>
    <w:rsid w:val="003C0D77"/>
    <w:rsid w:val="003C0FEC"/>
    <w:rsid w:val="003C10E1"/>
    <w:rsid w:val="003C1852"/>
    <w:rsid w:val="003C1943"/>
    <w:rsid w:val="003C2214"/>
    <w:rsid w:val="003C2B5C"/>
    <w:rsid w:val="003C2E92"/>
    <w:rsid w:val="003C308E"/>
    <w:rsid w:val="003C32EE"/>
    <w:rsid w:val="003C4506"/>
    <w:rsid w:val="003C450C"/>
    <w:rsid w:val="003C4DB4"/>
    <w:rsid w:val="003C4DD4"/>
    <w:rsid w:val="003C4E4D"/>
    <w:rsid w:val="003C5308"/>
    <w:rsid w:val="003C567F"/>
    <w:rsid w:val="003C587C"/>
    <w:rsid w:val="003C62D9"/>
    <w:rsid w:val="003C6438"/>
    <w:rsid w:val="003C6A5B"/>
    <w:rsid w:val="003C6D1D"/>
    <w:rsid w:val="003C6E27"/>
    <w:rsid w:val="003C6F87"/>
    <w:rsid w:val="003C7251"/>
    <w:rsid w:val="003C776C"/>
    <w:rsid w:val="003D02CD"/>
    <w:rsid w:val="003D2651"/>
    <w:rsid w:val="003D332D"/>
    <w:rsid w:val="003D3787"/>
    <w:rsid w:val="003D436D"/>
    <w:rsid w:val="003D45A0"/>
    <w:rsid w:val="003D4EC0"/>
    <w:rsid w:val="003D506A"/>
    <w:rsid w:val="003D567D"/>
    <w:rsid w:val="003D5D06"/>
    <w:rsid w:val="003D5FD3"/>
    <w:rsid w:val="003D61B5"/>
    <w:rsid w:val="003D79C5"/>
    <w:rsid w:val="003D7F56"/>
    <w:rsid w:val="003E05D8"/>
    <w:rsid w:val="003E11AE"/>
    <w:rsid w:val="003E1709"/>
    <w:rsid w:val="003E1D8E"/>
    <w:rsid w:val="003E28EB"/>
    <w:rsid w:val="003E32F0"/>
    <w:rsid w:val="003E3939"/>
    <w:rsid w:val="003E3AED"/>
    <w:rsid w:val="003E3B30"/>
    <w:rsid w:val="003E44E5"/>
    <w:rsid w:val="003E45D7"/>
    <w:rsid w:val="003E4D6F"/>
    <w:rsid w:val="003E53BB"/>
    <w:rsid w:val="003E54EB"/>
    <w:rsid w:val="003E551D"/>
    <w:rsid w:val="003E5A6B"/>
    <w:rsid w:val="003E5D5A"/>
    <w:rsid w:val="003E643A"/>
    <w:rsid w:val="003E65F5"/>
    <w:rsid w:val="003E69BA"/>
    <w:rsid w:val="003E7287"/>
    <w:rsid w:val="003E7437"/>
    <w:rsid w:val="003E7EE9"/>
    <w:rsid w:val="003E7FC1"/>
    <w:rsid w:val="003F088A"/>
    <w:rsid w:val="003F0F5F"/>
    <w:rsid w:val="003F1034"/>
    <w:rsid w:val="003F1198"/>
    <w:rsid w:val="003F1EF0"/>
    <w:rsid w:val="003F3EA5"/>
    <w:rsid w:val="003F4461"/>
    <w:rsid w:val="003F4A0E"/>
    <w:rsid w:val="003F4D08"/>
    <w:rsid w:val="003F589D"/>
    <w:rsid w:val="003F58AF"/>
    <w:rsid w:val="003F5B6E"/>
    <w:rsid w:val="003F63C0"/>
    <w:rsid w:val="003F6592"/>
    <w:rsid w:val="003F6728"/>
    <w:rsid w:val="003F6F4E"/>
    <w:rsid w:val="003F7384"/>
    <w:rsid w:val="00400C56"/>
    <w:rsid w:val="00400F0F"/>
    <w:rsid w:val="00400F58"/>
    <w:rsid w:val="004010B8"/>
    <w:rsid w:val="0040136C"/>
    <w:rsid w:val="00401663"/>
    <w:rsid w:val="0040181B"/>
    <w:rsid w:val="00401924"/>
    <w:rsid w:val="0040197F"/>
    <w:rsid w:val="00401C77"/>
    <w:rsid w:val="00401CBF"/>
    <w:rsid w:val="004021BD"/>
    <w:rsid w:val="00402838"/>
    <w:rsid w:val="00402E87"/>
    <w:rsid w:val="0040325C"/>
    <w:rsid w:val="00403A29"/>
    <w:rsid w:val="004043E9"/>
    <w:rsid w:val="004043F6"/>
    <w:rsid w:val="00404967"/>
    <w:rsid w:val="00404B50"/>
    <w:rsid w:val="00404D7E"/>
    <w:rsid w:val="00405D30"/>
    <w:rsid w:val="004067B5"/>
    <w:rsid w:val="004067BC"/>
    <w:rsid w:val="00406814"/>
    <w:rsid w:val="00406B81"/>
    <w:rsid w:val="004070B7"/>
    <w:rsid w:val="004078AA"/>
    <w:rsid w:val="004108FE"/>
    <w:rsid w:val="00410D98"/>
    <w:rsid w:val="00410E20"/>
    <w:rsid w:val="00412179"/>
    <w:rsid w:val="00413366"/>
    <w:rsid w:val="0041365C"/>
    <w:rsid w:val="00413C81"/>
    <w:rsid w:val="00413CE3"/>
    <w:rsid w:val="004143CB"/>
    <w:rsid w:val="004147AC"/>
    <w:rsid w:val="0041488C"/>
    <w:rsid w:val="00414CDE"/>
    <w:rsid w:val="00414E3B"/>
    <w:rsid w:val="00414FEA"/>
    <w:rsid w:val="00415272"/>
    <w:rsid w:val="0041564F"/>
    <w:rsid w:val="00415684"/>
    <w:rsid w:val="00415802"/>
    <w:rsid w:val="004158DD"/>
    <w:rsid w:val="00415998"/>
    <w:rsid w:val="00415C11"/>
    <w:rsid w:val="00415FE9"/>
    <w:rsid w:val="0041625C"/>
    <w:rsid w:val="00416463"/>
    <w:rsid w:val="004165DC"/>
    <w:rsid w:val="00416B0F"/>
    <w:rsid w:val="00416FE7"/>
    <w:rsid w:val="0041712E"/>
    <w:rsid w:val="00417CE0"/>
    <w:rsid w:val="004201D8"/>
    <w:rsid w:val="00420950"/>
    <w:rsid w:val="00420A46"/>
    <w:rsid w:val="00420F2A"/>
    <w:rsid w:val="004212BA"/>
    <w:rsid w:val="004216A9"/>
    <w:rsid w:val="00421CA3"/>
    <w:rsid w:val="00421D14"/>
    <w:rsid w:val="00421FA5"/>
    <w:rsid w:val="004226FE"/>
    <w:rsid w:val="00422FBD"/>
    <w:rsid w:val="00423047"/>
    <w:rsid w:val="00423D5F"/>
    <w:rsid w:val="0042434D"/>
    <w:rsid w:val="00424C95"/>
    <w:rsid w:val="00424E9C"/>
    <w:rsid w:val="0042509A"/>
    <w:rsid w:val="004267DD"/>
    <w:rsid w:val="00426EC6"/>
    <w:rsid w:val="00427176"/>
    <w:rsid w:val="00427654"/>
    <w:rsid w:val="00427682"/>
    <w:rsid w:val="004300A1"/>
    <w:rsid w:val="004301DA"/>
    <w:rsid w:val="00430527"/>
    <w:rsid w:val="00430C55"/>
    <w:rsid w:val="00430E26"/>
    <w:rsid w:val="0043137C"/>
    <w:rsid w:val="00431920"/>
    <w:rsid w:val="00431DA5"/>
    <w:rsid w:val="00432187"/>
    <w:rsid w:val="00432838"/>
    <w:rsid w:val="004337B0"/>
    <w:rsid w:val="00433902"/>
    <w:rsid w:val="00433A7A"/>
    <w:rsid w:val="00433E14"/>
    <w:rsid w:val="00433F76"/>
    <w:rsid w:val="00433FB5"/>
    <w:rsid w:val="0043415F"/>
    <w:rsid w:val="00434273"/>
    <w:rsid w:val="00434298"/>
    <w:rsid w:val="004344B1"/>
    <w:rsid w:val="004348BB"/>
    <w:rsid w:val="00434915"/>
    <w:rsid w:val="00434CA0"/>
    <w:rsid w:val="0043553A"/>
    <w:rsid w:val="00435568"/>
    <w:rsid w:val="00435E51"/>
    <w:rsid w:val="0043678A"/>
    <w:rsid w:val="004369B2"/>
    <w:rsid w:val="00437204"/>
    <w:rsid w:val="00437C25"/>
    <w:rsid w:val="00440955"/>
    <w:rsid w:val="00440D29"/>
    <w:rsid w:val="00440EFA"/>
    <w:rsid w:val="004410A6"/>
    <w:rsid w:val="00441578"/>
    <w:rsid w:val="004415B7"/>
    <w:rsid w:val="00441FB4"/>
    <w:rsid w:val="004422B4"/>
    <w:rsid w:val="0044260C"/>
    <w:rsid w:val="004427EB"/>
    <w:rsid w:val="00442906"/>
    <w:rsid w:val="00442B92"/>
    <w:rsid w:val="00442D9C"/>
    <w:rsid w:val="00443376"/>
    <w:rsid w:val="00443406"/>
    <w:rsid w:val="004435DE"/>
    <w:rsid w:val="00444401"/>
    <w:rsid w:val="00444A9D"/>
    <w:rsid w:val="00444C81"/>
    <w:rsid w:val="00445543"/>
    <w:rsid w:val="004455C4"/>
    <w:rsid w:val="00445640"/>
    <w:rsid w:val="00445B98"/>
    <w:rsid w:val="00445D91"/>
    <w:rsid w:val="00445DF0"/>
    <w:rsid w:val="004462E1"/>
    <w:rsid w:val="00446423"/>
    <w:rsid w:val="00446689"/>
    <w:rsid w:val="00447067"/>
    <w:rsid w:val="0044716A"/>
    <w:rsid w:val="00450059"/>
    <w:rsid w:val="004502CD"/>
    <w:rsid w:val="004505AF"/>
    <w:rsid w:val="00450DE8"/>
    <w:rsid w:val="00450F98"/>
    <w:rsid w:val="004515C2"/>
    <w:rsid w:val="004516FC"/>
    <w:rsid w:val="004518AF"/>
    <w:rsid w:val="00451A1F"/>
    <w:rsid w:val="00451D7E"/>
    <w:rsid w:val="00452273"/>
    <w:rsid w:val="004529BD"/>
    <w:rsid w:val="00453FF2"/>
    <w:rsid w:val="00454049"/>
    <w:rsid w:val="004540D9"/>
    <w:rsid w:val="004542FA"/>
    <w:rsid w:val="00455806"/>
    <w:rsid w:val="00455889"/>
    <w:rsid w:val="00455A8E"/>
    <w:rsid w:val="00455B5B"/>
    <w:rsid w:val="00456A1A"/>
    <w:rsid w:val="00456EB4"/>
    <w:rsid w:val="00456FF8"/>
    <w:rsid w:val="004577C1"/>
    <w:rsid w:val="00457F04"/>
    <w:rsid w:val="00460298"/>
    <w:rsid w:val="004611C1"/>
    <w:rsid w:val="004611C5"/>
    <w:rsid w:val="004613BA"/>
    <w:rsid w:val="0046146E"/>
    <w:rsid w:val="00461A3D"/>
    <w:rsid w:val="00461B4B"/>
    <w:rsid w:val="00461CA6"/>
    <w:rsid w:val="00461E1F"/>
    <w:rsid w:val="00462483"/>
    <w:rsid w:val="004625A7"/>
    <w:rsid w:val="004625E9"/>
    <w:rsid w:val="00462678"/>
    <w:rsid w:val="0046281F"/>
    <w:rsid w:val="00462D2D"/>
    <w:rsid w:val="00463D01"/>
    <w:rsid w:val="00463E03"/>
    <w:rsid w:val="004640B3"/>
    <w:rsid w:val="00464512"/>
    <w:rsid w:val="00464A9D"/>
    <w:rsid w:val="0046603A"/>
    <w:rsid w:val="00466073"/>
    <w:rsid w:val="0046611E"/>
    <w:rsid w:val="00466646"/>
    <w:rsid w:val="00467140"/>
    <w:rsid w:val="004671FF"/>
    <w:rsid w:val="00467711"/>
    <w:rsid w:val="004704F3"/>
    <w:rsid w:val="004706F6"/>
    <w:rsid w:val="0047086A"/>
    <w:rsid w:val="00470EEA"/>
    <w:rsid w:val="004713D1"/>
    <w:rsid w:val="00472013"/>
    <w:rsid w:val="00472138"/>
    <w:rsid w:val="004721B2"/>
    <w:rsid w:val="004725E6"/>
    <w:rsid w:val="0047313F"/>
    <w:rsid w:val="0047379E"/>
    <w:rsid w:val="00474848"/>
    <w:rsid w:val="00474DB4"/>
    <w:rsid w:val="00475E2D"/>
    <w:rsid w:val="0047630E"/>
    <w:rsid w:val="00476460"/>
    <w:rsid w:val="004765BA"/>
    <w:rsid w:val="00476EA2"/>
    <w:rsid w:val="0047749E"/>
    <w:rsid w:val="00477740"/>
    <w:rsid w:val="004777CA"/>
    <w:rsid w:val="0048004B"/>
    <w:rsid w:val="00480083"/>
    <w:rsid w:val="00480185"/>
    <w:rsid w:val="004801D4"/>
    <w:rsid w:val="00480944"/>
    <w:rsid w:val="00480A1F"/>
    <w:rsid w:val="00480C58"/>
    <w:rsid w:val="0048106A"/>
    <w:rsid w:val="00481476"/>
    <w:rsid w:val="00481536"/>
    <w:rsid w:val="0048173D"/>
    <w:rsid w:val="004827B2"/>
    <w:rsid w:val="00482A0C"/>
    <w:rsid w:val="00482C3B"/>
    <w:rsid w:val="00482C64"/>
    <w:rsid w:val="004838A4"/>
    <w:rsid w:val="00483A7E"/>
    <w:rsid w:val="00483ABB"/>
    <w:rsid w:val="00483CEE"/>
    <w:rsid w:val="00483FA7"/>
    <w:rsid w:val="00484670"/>
    <w:rsid w:val="0048481F"/>
    <w:rsid w:val="00484C42"/>
    <w:rsid w:val="00484DFC"/>
    <w:rsid w:val="00484E18"/>
    <w:rsid w:val="004855E0"/>
    <w:rsid w:val="00485942"/>
    <w:rsid w:val="00486160"/>
    <w:rsid w:val="0048675D"/>
    <w:rsid w:val="004871E4"/>
    <w:rsid w:val="00487CBD"/>
    <w:rsid w:val="00487DD1"/>
    <w:rsid w:val="00487F39"/>
    <w:rsid w:val="00490F6A"/>
    <w:rsid w:val="00491141"/>
    <w:rsid w:val="0049134B"/>
    <w:rsid w:val="004918B3"/>
    <w:rsid w:val="00491ED9"/>
    <w:rsid w:val="00492332"/>
    <w:rsid w:val="00492339"/>
    <w:rsid w:val="00492994"/>
    <w:rsid w:val="004939D7"/>
    <w:rsid w:val="004944F8"/>
    <w:rsid w:val="00494CD6"/>
    <w:rsid w:val="00494F22"/>
    <w:rsid w:val="004955D2"/>
    <w:rsid w:val="00495BB6"/>
    <w:rsid w:val="00496A5E"/>
    <w:rsid w:val="00496EF6"/>
    <w:rsid w:val="00496FEA"/>
    <w:rsid w:val="00497063"/>
    <w:rsid w:val="0049743B"/>
    <w:rsid w:val="00497579"/>
    <w:rsid w:val="00497C4D"/>
    <w:rsid w:val="00497DE4"/>
    <w:rsid w:val="00497EA2"/>
    <w:rsid w:val="004A074D"/>
    <w:rsid w:val="004A13F5"/>
    <w:rsid w:val="004A15B3"/>
    <w:rsid w:val="004A1709"/>
    <w:rsid w:val="004A1894"/>
    <w:rsid w:val="004A1FCC"/>
    <w:rsid w:val="004A22EC"/>
    <w:rsid w:val="004A3038"/>
    <w:rsid w:val="004A336A"/>
    <w:rsid w:val="004A33CD"/>
    <w:rsid w:val="004A38B9"/>
    <w:rsid w:val="004A3F07"/>
    <w:rsid w:val="004A463F"/>
    <w:rsid w:val="004A4803"/>
    <w:rsid w:val="004A4AC8"/>
    <w:rsid w:val="004A4E9A"/>
    <w:rsid w:val="004A5538"/>
    <w:rsid w:val="004A6352"/>
    <w:rsid w:val="004A68E3"/>
    <w:rsid w:val="004A7084"/>
    <w:rsid w:val="004A74D2"/>
    <w:rsid w:val="004B0B07"/>
    <w:rsid w:val="004B0B1D"/>
    <w:rsid w:val="004B0DD6"/>
    <w:rsid w:val="004B197E"/>
    <w:rsid w:val="004B1FD2"/>
    <w:rsid w:val="004B292A"/>
    <w:rsid w:val="004B2960"/>
    <w:rsid w:val="004B2A77"/>
    <w:rsid w:val="004B2C2D"/>
    <w:rsid w:val="004B3695"/>
    <w:rsid w:val="004B3B4A"/>
    <w:rsid w:val="004B3E74"/>
    <w:rsid w:val="004B3F40"/>
    <w:rsid w:val="004B3FD9"/>
    <w:rsid w:val="004B3FDC"/>
    <w:rsid w:val="004B6512"/>
    <w:rsid w:val="004B69B2"/>
    <w:rsid w:val="004B728F"/>
    <w:rsid w:val="004B75EC"/>
    <w:rsid w:val="004B782D"/>
    <w:rsid w:val="004B79A1"/>
    <w:rsid w:val="004B7A7A"/>
    <w:rsid w:val="004B7D0D"/>
    <w:rsid w:val="004C00EE"/>
    <w:rsid w:val="004C070C"/>
    <w:rsid w:val="004C1866"/>
    <w:rsid w:val="004C223D"/>
    <w:rsid w:val="004C2776"/>
    <w:rsid w:val="004C2C08"/>
    <w:rsid w:val="004C33EB"/>
    <w:rsid w:val="004C36E3"/>
    <w:rsid w:val="004C3FF1"/>
    <w:rsid w:val="004C4033"/>
    <w:rsid w:val="004C45C6"/>
    <w:rsid w:val="004C462E"/>
    <w:rsid w:val="004C47BE"/>
    <w:rsid w:val="004C56BB"/>
    <w:rsid w:val="004C5DF4"/>
    <w:rsid w:val="004C6B21"/>
    <w:rsid w:val="004C6D9C"/>
    <w:rsid w:val="004C6EDC"/>
    <w:rsid w:val="004C6F4C"/>
    <w:rsid w:val="004C74B7"/>
    <w:rsid w:val="004C794B"/>
    <w:rsid w:val="004C7EF3"/>
    <w:rsid w:val="004D0044"/>
    <w:rsid w:val="004D04B2"/>
    <w:rsid w:val="004D0C68"/>
    <w:rsid w:val="004D0C88"/>
    <w:rsid w:val="004D0D91"/>
    <w:rsid w:val="004D12C4"/>
    <w:rsid w:val="004D13EA"/>
    <w:rsid w:val="004D1797"/>
    <w:rsid w:val="004D1EAB"/>
    <w:rsid w:val="004D257E"/>
    <w:rsid w:val="004D25AB"/>
    <w:rsid w:val="004D2E91"/>
    <w:rsid w:val="004D364A"/>
    <w:rsid w:val="004D402E"/>
    <w:rsid w:val="004D4249"/>
    <w:rsid w:val="004D494B"/>
    <w:rsid w:val="004D4A0F"/>
    <w:rsid w:val="004D5775"/>
    <w:rsid w:val="004D5948"/>
    <w:rsid w:val="004D595F"/>
    <w:rsid w:val="004D61A8"/>
    <w:rsid w:val="004D69AC"/>
    <w:rsid w:val="004D6D68"/>
    <w:rsid w:val="004D7133"/>
    <w:rsid w:val="004D796B"/>
    <w:rsid w:val="004D7C38"/>
    <w:rsid w:val="004D7FBF"/>
    <w:rsid w:val="004E0578"/>
    <w:rsid w:val="004E0F0B"/>
    <w:rsid w:val="004E1324"/>
    <w:rsid w:val="004E1360"/>
    <w:rsid w:val="004E1471"/>
    <w:rsid w:val="004E1996"/>
    <w:rsid w:val="004E1F08"/>
    <w:rsid w:val="004E1F6F"/>
    <w:rsid w:val="004E2151"/>
    <w:rsid w:val="004E2885"/>
    <w:rsid w:val="004E39F9"/>
    <w:rsid w:val="004E4050"/>
    <w:rsid w:val="004E420B"/>
    <w:rsid w:val="004E499F"/>
    <w:rsid w:val="004E4B8A"/>
    <w:rsid w:val="004E51BB"/>
    <w:rsid w:val="004E5B01"/>
    <w:rsid w:val="004E5C74"/>
    <w:rsid w:val="004E6797"/>
    <w:rsid w:val="004E67B3"/>
    <w:rsid w:val="004E6870"/>
    <w:rsid w:val="004E7413"/>
    <w:rsid w:val="004E75B4"/>
    <w:rsid w:val="004E76FC"/>
    <w:rsid w:val="004F019B"/>
    <w:rsid w:val="004F01F7"/>
    <w:rsid w:val="004F03C3"/>
    <w:rsid w:val="004F0C02"/>
    <w:rsid w:val="004F0C1C"/>
    <w:rsid w:val="004F1386"/>
    <w:rsid w:val="004F1449"/>
    <w:rsid w:val="004F2245"/>
    <w:rsid w:val="004F237D"/>
    <w:rsid w:val="004F2A22"/>
    <w:rsid w:val="004F2EB8"/>
    <w:rsid w:val="004F348D"/>
    <w:rsid w:val="004F3650"/>
    <w:rsid w:val="004F3929"/>
    <w:rsid w:val="004F3B41"/>
    <w:rsid w:val="004F4016"/>
    <w:rsid w:val="004F4564"/>
    <w:rsid w:val="004F50E1"/>
    <w:rsid w:val="004F53DE"/>
    <w:rsid w:val="004F5ED8"/>
    <w:rsid w:val="004F64DD"/>
    <w:rsid w:val="004F6533"/>
    <w:rsid w:val="004F665A"/>
    <w:rsid w:val="004F7427"/>
    <w:rsid w:val="004F7463"/>
    <w:rsid w:val="004F7699"/>
    <w:rsid w:val="00500112"/>
    <w:rsid w:val="00500171"/>
    <w:rsid w:val="005003A6"/>
    <w:rsid w:val="005004AB"/>
    <w:rsid w:val="005018AB"/>
    <w:rsid w:val="00501909"/>
    <w:rsid w:val="00501910"/>
    <w:rsid w:val="005019C1"/>
    <w:rsid w:val="00501E5B"/>
    <w:rsid w:val="005024FD"/>
    <w:rsid w:val="00502870"/>
    <w:rsid w:val="00502D8B"/>
    <w:rsid w:val="0050331E"/>
    <w:rsid w:val="005033CE"/>
    <w:rsid w:val="00503555"/>
    <w:rsid w:val="00503F0A"/>
    <w:rsid w:val="00504107"/>
    <w:rsid w:val="00504599"/>
    <w:rsid w:val="00504753"/>
    <w:rsid w:val="00504809"/>
    <w:rsid w:val="00505DBD"/>
    <w:rsid w:val="00505F18"/>
    <w:rsid w:val="0050677F"/>
    <w:rsid w:val="005069CB"/>
    <w:rsid w:val="00506D13"/>
    <w:rsid w:val="00507464"/>
    <w:rsid w:val="005079FD"/>
    <w:rsid w:val="00507A51"/>
    <w:rsid w:val="00507F92"/>
    <w:rsid w:val="0051067B"/>
    <w:rsid w:val="00510E64"/>
    <w:rsid w:val="005115D6"/>
    <w:rsid w:val="0051170F"/>
    <w:rsid w:val="00511963"/>
    <w:rsid w:val="00511AB2"/>
    <w:rsid w:val="00511C1D"/>
    <w:rsid w:val="005120D4"/>
    <w:rsid w:val="00513629"/>
    <w:rsid w:val="0051385A"/>
    <w:rsid w:val="0051396A"/>
    <w:rsid w:val="00513985"/>
    <w:rsid w:val="00513F21"/>
    <w:rsid w:val="00514367"/>
    <w:rsid w:val="0051535C"/>
    <w:rsid w:val="005155CD"/>
    <w:rsid w:val="00515E61"/>
    <w:rsid w:val="00517594"/>
    <w:rsid w:val="00517622"/>
    <w:rsid w:val="005179CD"/>
    <w:rsid w:val="005179F5"/>
    <w:rsid w:val="0052033B"/>
    <w:rsid w:val="00520631"/>
    <w:rsid w:val="0052083F"/>
    <w:rsid w:val="00520DDF"/>
    <w:rsid w:val="005213C4"/>
    <w:rsid w:val="0052187D"/>
    <w:rsid w:val="00521EAE"/>
    <w:rsid w:val="005224A0"/>
    <w:rsid w:val="00522995"/>
    <w:rsid w:val="00522BEA"/>
    <w:rsid w:val="00523375"/>
    <w:rsid w:val="005235BF"/>
    <w:rsid w:val="00523B67"/>
    <w:rsid w:val="00523D06"/>
    <w:rsid w:val="00523F25"/>
    <w:rsid w:val="00523F73"/>
    <w:rsid w:val="005246CC"/>
    <w:rsid w:val="00525505"/>
    <w:rsid w:val="00525A27"/>
    <w:rsid w:val="00525B5D"/>
    <w:rsid w:val="0052615D"/>
    <w:rsid w:val="00526A64"/>
    <w:rsid w:val="00526DC0"/>
    <w:rsid w:val="0052703F"/>
    <w:rsid w:val="0053066F"/>
    <w:rsid w:val="00530769"/>
    <w:rsid w:val="00530F27"/>
    <w:rsid w:val="005319BD"/>
    <w:rsid w:val="00531E54"/>
    <w:rsid w:val="00531ED7"/>
    <w:rsid w:val="005322B8"/>
    <w:rsid w:val="005322E8"/>
    <w:rsid w:val="0053266B"/>
    <w:rsid w:val="00532F94"/>
    <w:rsid w:val="005331BB"/>
    <w:rsid w:val="00533B0C"/>
    <w:rsid w:val="005340E9"/>
    <w:rsid w:val="005342DE"/>
    <w:rsid w:val="00534663"/>
    <w:rsid w:val="00534829"/>
    <w:rsid w:val="005349F9"/>
    <w:rsid w:val="00534F0F"/>
    <w:rsid w:val="00535855"/>
    <w:rsid w:val="005360D3"/>
    <w:rsid w:val="00536266"/>
    <w:rsid w:val="00536818"/>
    <w:rsid w:val="00536947"/>
    <w:rsid w:val="00536B0B"/>
    <w:rsid w:val="00536F59"/>
    <w:rsid w:val="00537221"/>
    <w:rsid w:val="00537D53"/>
    <w:rsid w:val="005401F3"/>
    <w:rsid w:val="00540D24"/>
    <w:rsid w:val="00540D34"/>
    <w:rsid w:val="0054138E"/>
    <w:rsid w:val="0054187F"/>
    <w:rsid w:val="00541F19"/>
    <w:rsid w:val="005426B7"/>
    <w:rsid w:val="005430ED"/>
    <w:rsid w:val="005440A4"/>
    <w:rsid w:val="005446B0"/>
    <w:rsid w:val="005448AE"/>
    <w:rsid w:val="005459A8"/>
    <w:rsid w:val="00545FA0"/>
    <w:rsid w:val="00546143"/>
    <w:rsid w:val="005473C2"/>
    <w:rsid w:val="00547A80"/>
    <w:rsid w:val="005506F0"/>
    <w:rsid w:val="0055088F"/>
    <w:rsid w:val="00550D9A"/>
    <w:rsid w:val="005510B1"/>
    <w:rsid w:val="00551459"/>
    <w:rsid w:val="00551785"/>
    <w:rsid w:val="00551A71"/>
    <w:rsid w:val="005527CB"/>
    <w:rsid w:val="00552927"/>
    <w:rsid w:val="00552C72"/>
    <w:rsid w:val="00553544"/>
    <w:rsid w:val="0055371A"/>
    <w:rsid w:val="00553A47"/>
    <w:rsid w:val="00553ADE"/>
    <w:rsid w:val="00553B49"/>
    <w:rsid w:val="005542B2"/>
    <w:rsid w:val="00554311"/>
    <w:rsid w:val="00555729"/>
    <w:rsid w:val="005566A3"/>
    <w:rsid w:val="00556E45"/>
    <w:rsid w:val="005573B3"/>
    <w:rsid w:val="005573BB"/>
    <w:rsid w:val="00557804"/>
    <w:rsid w:val="00557A02"/>
    <w:rsid w:val="00557A50"/>
    <w:rsid w:val="00557D06"/>
    <w:rsid w:val="00561042"/>
    <w:rsid w:val="0056196B"/>
    <w:rsid w:val="00561FD9"/>
    <w:rsid w:val="005622AB"/>
    <w:rsid w:val="005628D2"/>
    <w:rsid w:val="0056360C"/>
    <w:rsid w:val="0056363D"/>
    <w:rsid w:val="005643BD"/>
    <w:rsid w:val="00564BFF"/>
    <w:rsid w:val="00564D95"/>
    <w:rsid w:val="0056509A"/>
    <w:rsid w:val="005658C5"/>
    <w:rsid w:val="00565970"/>
    <w:rsid w:val="005660E2"/>
    <w:rsid w:val="0056613A"/>
    <w:rsid w:val="0056654D"/>
    <w:rsid w:val="00566725"/>
    <w:rsid w:val="00566C03"/>
    <w:rsid w:val="005677D4"/>
    <w:rsid w:val="00570930"/>
    <w:rsid w:val="00570C07"/>
    <w:rsid w:val="00570CE4"/>
    <w:rsid w:val="00570F8B"/>
    <w:rsid w:val="00571344"/>
    <w:rsid w:val="00571A0D"/>
    <w:rsid w:val="00571EAB"/>
    <w:rsid w:val="0057259D"/>
    <w:rsid w:val="005727D4"/>
    <w:rsid w:val="00572A24"/>
    <w:rsid w:val="00573021"/>
    <w:rsid w:val="005735FC"/>
    <w:rsid w:val="00573616"/>
    <w:rsid w:val="00573A7D"/>
    <w:rsid w:val="00573F6C"/>
    <w:rsid w:val="00574623"/>
    <w:rsid w:val="00574BB1"/>
    <w:rsid w:val="00574BBB"/>
    <w:rsid w:val="00574BEC"/>
    <w:rsid w:val="00575688"/>
    <w:rsid w:val="005756A5"/>
    <w:rsid w:val="0057598D"/>
    <w:rsid w:val="00575F02"/>
    <w:rsid w:val="00576498"/>
    <w:rsid w:val="005765DB"/>
    <w:rsid w:val="005772F3"/>
    <w:rsid w:val="00580044"/>
    <w:rsid w:val="00580134"/>
    <w:rsid w:val="005816F3"/>
    <w:rsid w:val="00581EB2"/>
    <w:rsid w:val="00582103"/>
    <w:rsid w:val="0058254D"/>
    <w:rsid w:val="00582880"/>
    <w:rsid w:val="00582A4E"/>
    <w:rsid w:val="00582C08"/>
    <w:rsid w:val="00582C70"/>
    <w:rsid w:val="0058315D"/>
    <w:rsid w:val="00583185"/>
    <w:rsid w:val="0058374D"/>
    <w:rsid w:val="00584123"/>
    <w:rsid w:val="00584527"/>
    <w:rsid w:val="00584668"/>
    <w:rsid w:val="00584B6A"/>
    <w:rsid w:val="00585959"/>
    <w:rsid w:val="00585BC2"/>
    <w:rsid w:val="00586168"/>
    <w:rsid w:val="005867E7"/>
    <w:rsid w:val="00586AB8"/>
    <w:rsid w:val="00586C93"/>
    <w:rsid w:val="005873EB"/>
    <w:rsid w:val="00587A22"/>
    <w:rsid w:val="00590296"/>
    <w:rsid w:val="00590F88"/>
    <w:rsid w:val="005913D1"/>
    <w:rsid w:val="00591597"/>
    <w:rsid w:val="00591864"/>
    <w:rsid w:val="0059249C"/>
    <w:rsid w:val="00592E75"/>
    <w:rsid w:val="0059425A"/>
    <w:rsid w:val="005945C8"/>
    <w:rsid w:val="00594EFC"/>
    <w:rsid w:val="00595193"/>
    <w:rsid w:val="00595FD8"/>
    <w:rsid w:val="00596EBD"/>
    <w:rsid w:val="00596F4D"/>
    <w:rsid w:val="00596F83"/>
    <w:rsid w:val="0059735F"/>
    <w:rsid w:val="00597BC3"/>
    <w:rsid w:val="005A08D0"/>
    <w:rsid w:val="005A1138"/>
    <w:rsid w:val="005A18E0"/>
    <w:rsid w:val="005A19DB"/>
    <w:rsid w:val="005A2F23"/>
    <w:rsid w:val="005A2FC0"/>
    <w:rsid w:val="005A338D"/>
    <w:rsid w:val="005A36A2"/>
    <w:rsid w:val="005A3C12"/>
    <w:rsid w:val="005A3C49"/>
    <w:rsid w:val="005A4830"/>
    <w:rsid w:val="005A486A"/>
    <w:rsid w:val="005A4E0A"/>
    <w:rsid w:val="005A4FB1"/>
    <w:rsid w:val="005A54B6"/>
    <w:rsid w:val="005A54E0"/>
    <w:rsid w:val="005A75AD"/>
    <w:rsid w:val="005A79B9"/>
    <w:rsid w:val="005A7BC0"/>
    <w:rsid w:val="005A7D62"/>
    <w:rsid w:val="005A7E6C"/>
    <w:rsid w:val="005B0A78"/>
    <w:rsid w:val="005B0B58"/>
    <w:rsid w:val="005B188F"/>
    <w:rsid w:val="005B3B4E"/>
    <w:rsid w:val="005B4004"/>
    <w:rsid w:val="005B5169"/>
    <w:rsid w:val="005B51B2"/>
    <w:rsid w:val="005B53EB"/>
    <w:rsid w:val="005B5CC2"/>
    <w:rsid w:val="005B5DFE"/>
    <w:rsid w:val="005B5E66"/>
    <w:rsid w:val="005B5F0A"/>
    <w:rsid w:val="005B63EF"/>
    <w:rsid w:val="005B66AD"/>
    <w:rsid w:val="005B6725"/>
    <w:rsid w:val="005B79CA"/>
    <w:rsid w:val="005B7C50"/>
    <w:rsid w:val="005B7DDF"/>
    <w:rsid w:val="005C04E9"/>
    <w:rsid w:val="005C0579"/>
    <w:rsid w:val="005C0F96"/>
    <w:rsid w:val="005C202C"/>
    <w:rsid w:val="005C280E"/>
    <w:rsid w:val="005C29F8"/>
    <w:rsid w:val="005C2BA4"/>
    <w:rsid w:val="005C3370"/>
    <w:rsid w:val="005C362A"/>
    <w:rsid w:val="005C3BB5"/>
    <w:rsid w:val="005C3DF6"/>
    <w:rsid w:val="005C4208"/>
    <w:rsid w:val="005C4311"/>
    <w:rsid w:val="005C50DB"/>
    <w:rsid w:val="005C6000"/>
    <w:rsid w:val="005C6BF5"/>
    <w:rsid w:val="005C6DCB"/>
    <w:rsid w:val="005C7E7C"/>
    <w:rsid w:val="005D0690"/>
    <w:rsid w:val="005D1372"/>
    <w:rsid w:val="005D18BE"/>
    <w:rsid w:val="005D27F7"/>
    <w:rsid w:val="005D296B"/>
    <w:rsid w:val="005D2BAC"/>
    <w:rsid w:val="005D2BDF"/>
    <w:rsid w:val="005D2DDB"/>
    <w:rsid w:val="005D3E4E"/>
    <w:rsid w:val="005D3F8B"/>
    <w:rsid w:val="005D4362"/>
    <w:rsid w:val="005D5131"/>
    <w:rsid w:val="005D5508"/>
    <w:rsid w:val="005D604C"/>
    <w:rsid w:val="005D6713"/>
    <w:rsid w:val="005D6D24"/>
    <w:rsid w:val="005D6D91"/>
    <w:rsid w:val="005D6EB4"/>
    <w:rsid w:val="005D702C"/>
    <w:rsid w:val="005D7714"/>
    <w:rsid w:val="005E00AD"/>
    <w:rsid w:val="005E0303"/>
    <w:rsid w:val="005E05A2"/>
    <w:rsid w:val="005E0706"/>
    <w:rsid w:val="005E1087"/>
    <w:rsid w:val="005E127B"/>
    <w:rsid w:val="005E2440"/>
    <w:rsid w:val="005E34E0"/>
    <w:rsid w:val="005E5083"/>
    <w:rsid w:val="005E59DB"/>
    <w:rsid w:val="005E6AE6"/>
    <w:rsid w:val="005E70DD"/>
    <w:rsid w:val="005E7410"/>
    <w:rsid w:val="005E751A"/>
    <w:rsid w:val="005F00C3"/>
    <w:rsid w:val="005F0A05"/>
    <w:rsid w:val="005F0D3B"/>
    <w:rsid w:val="005F1C33"/>
    <w:rsid w:val="005F28F5"/>
    <w:rsid w:val="005F291F"/>
    <w:rsid w:val="005F2D87"/>
    <w:rsid w:val="005F2FF9"/>
    <w:rsid w:val="005F3399"/>
    <w:rsid w:val="005F408F"/>
    <w:rsid w:val="005F442C"/>
    <w:rsid w:val="005F4CA4"/>
    <w:rsid w:val="005F5010"/>
    <w:rsid w:val="005F5161"/>
    <w:rsid w:val="005F53B8"/>
    <w:rsid w:val="005F5514"/>
    <w:rsid w:val="005F55A1"/>
    <w:rsid w:val="005F55E8"/>
    <w:rsid w:val="005F5EDD"/>
    <w:rsid w:val="005F5FE9"/>
    <w:rsid w:val="005F6116"/>
    <w:rsid w:val="005F61B8"/>
    <w:rsid w:val="005F6328"/>
    <w:rsid w:val="005F7457"/>
    <w:rsid w:val="005F7CB9"/>
    <w:rsid w:val="00600C5D"/>
    <w:rsid w:val="00600E15"/>
    <w:rsid w:val="006016F5"/>
    <w:rsid w:val="00601806"/>
    <w:rsid w:val="00602A2C"/>
    <w:rsid w:val="00602C4C"/>
    <w:rsid w:val="0060363C"/>
    <w:rsid w:val="00603B42"/>
    <w:rsid w:val="00604657"/>
    <w:rsid w:val="00605029"/>
    <w:rsid w:val="006051E8"/>
    <w:rsid w:val="0060541C"/>
    <w:rsid w:val="00605930"/>
    <w:rsid w:val="00605B96"/>
    <w:rsid w:val="00606346"/>
    <w:rsid w:val="006066C2"/>
    <w:rsid w:val="00606705"/>
    <w:rsid w:val="006073AD"/>
    <w:rsid w:val="006078CF"/>
    <w:rsid w:val="006104B2"/>
    <w:rsid w:val="006122DB"/>
    <w:rsid w:val="00612978"/>
    <w:rsid w:val="00612B24"/>
    <w:rsid w:val="00613356"/>
    <w:rsid w:val="006133A3"/>
    <w:rsid w:val="00613CEA"/>
    <w:rsid w:val="00613D6A"/>
    <w:rsid w:val="006148DA"/>
    <w:rsid w:val="00614992"/>
    <w:rsid w:val="00614B2B"/>
    <w:rsid w:val="00614E43"/>
    <w:rsid w:val="00615548"/>
    <w:rsid w:val="00615BD0"/>
    <w:rsid w:val="006160B4"/>
    <w:rsid w:val="006164AF"/>
    <w:rsid w:val="006164C9"/>
    <w:rsid w:val="00616510"/>
    <w:rsid w:val="00616AB4"/>
    <w:rsid w:val="00616AF8"/>
    <w:rsid w:val="00616BA4"/>
    <w:rsid w:val="00616E19"/>
    <w:rsid w:val="006170BD"/>
    <w:rsid w:val="00617714"/>
    <w:rsid w:val="00617B8B"/>
    <w:rsid w:val="00617F81"/>
    <w:rsid w:val="00620267"/>
    <w:rsid w:val="006203BF"/>
    <w:rsid w:val="00620A1E"/>
    <w:rsid w:val="006210B5"/>
    <w:rsid w:val="006217DF"/>
    <w:rsid w:val="00621E9E"/>
    <w:rsid w:val="006221A4"/>
    <w:rsid w:val="00622F65"/>
    <w:rsid w:val="006234B7"/>
    <w:rsid w:val="00623954"/>
    <w:rsid w:val="00623DD9"/>
    <w:rsid w:val="00625011"/>
    <w:rsid w:val="00625882"/>
    <w:rsid w:val="00625DA1"/>
    <w:rsid w:val="00625E3A"/>
    <w:rsid w:val="00626739"/>
    <w:rsid w:val="006267C0"/>
    <w:rsid w:val="006279F2"/>
    <w:rsid w:val="006301A1"/>
    <w:rsid w:val="00630925"/>
    <w:rsid w:val="006309D0"/>
    <w:rsid w:val="00630A49"/>
    <w:rsid w:val="00630DF5"/>
    <w:rsid w:val="006315A8"/>
    <w:rsid w:val="006318FB"/>
    <w:rsid w:val="00631963"/>
    <w:rsid w:val="00631A85"/>
    <w:rsid w:val="0063215B"/>
    <w:rsid w:val="00632372"/>
    <w:rsid w:val="006327F7"/>
    <w:rsid w:val="00632E65"/>
    <w:rsid w:val="00632EAD"/>
    <w:rsid w:val="00633044"/>
    <w:rsid w:val="006332DC"/>
    <w:rsid w:val="006335E9"/>
    <w:rsid w:val="0063426D"/>
    <w:rsid w:val="006342FA"/>
    <w:rsid w:val="0063434A"/>
    <w:rsid w:val="00634AD8"/>
    <w:rsid w:val="00635026"/>
    <w:rsid w:val="00635660"/>
    <w:rsid w:val="006357C5"/>
    <w:rsid w:val="006359CF"/>
    <w:rsid w:val="00635E50"/>
    <w:rsid w:val="00636061"/>
    <w:rsid w:val="0063655B"/>
    <w:rsid w:val="006369C2"/>
    <w:rsid w:val="00636B0E"/>
    <w:rsid w:val="006376ED"/>
    <w:rsid w:val="00637BE2"/>
    <w:rsid w:val="00637C47"/>
    <w:rsid w:val="006407B2"/>
    <w:rsid w:val="00640F04"/>
    <w:rsid w:val="00641023"/>
    <w:rsid w:val="00641149"/>
    <w:rsid w:val="0064117D"/>
    <w:rsid w:val="006414D9"/>
    <w:rsid w:val="00641893"/>
    <w:rsid w:val="00641AC8"/>
    <w:rsid w:val="00641F99"/>
    <w:rsid w:val="0064217C"/>
    <w:rsid w:val="006424B2"/>
    <w:rsid w:val="00642FF1"/>
    <w:rsid w:val="00642FFD"/>
    <w:rsid w:val="0064369A"/>
    <w:rsid w:val="00643D78"/>
    <w:rsid w:val="00644A3A"/>
    <w:rsid w:val="00644AC8"/>
    <w:rsid w:val="00644D4C"/>
    <w:rsid w:val="0064501C"/>
    <w:rsid w:val="00645750"/>
    <w:rsid w:val="006457D1"/>
    <w:rsid w:val="00645847"/>
    <w:rsid w:val="00646642"/>
    <w:rsid w:val="00646E42"/>
    <w:rsid w:val="006470C4"/>
    <w:rsid w:val="0064716E"/>
    <w:rsid w:val="0064778E"/>
    <w:rsid w:val="006478FC"/>
    <w:rsid w:val="006479A2"/>
    <w:rsid w:val="00647F29"/>
    <w:rsid w:val="00650385"/>
    <w:rsid w:val="00650510"/>
    <w:rsid w:val="00650524"/>
    <w:rsid w:val="00650873"/>
    <w:rsid w:val="00650E5B"/>
    <w:rsid w:val="00651069"/>
    <w:rsid w:val="00651E83"/>
    <w:rsid w:val="00652135"/>
    <w:rsid w:val="006536FF"/>
    <w:rsid w:val="00653967"/>
    <w:rsid w:val="00653B49"/>
    <w:rsid w:val="00653D42"/>
    <w:rsid w:val="006543C8"/>
    <w:rsid w:val="0065474E"/>
    <w:rsid w:val="00654A4B"/>
    <w:rsid w:val="0065503C"/>
    <w:rsid w:val="006550C3"/>
    <w:rsid w:val="00655489"/>
    <w:rsid w:val="006555C2"/>
    <w:rsid w:val="00655C91"/>
    <w:rsid w:val="00655F47"/>
    <w:rsid w:val="00656234"/>
    <w:rsid w:val="0065643A"/>
    <w:rsid w:val="00657135"/>
    <w:rsid w:val="00660173"/>
    <w:rsid w:val="006603CA"/>
    <w:rsid w:val="00660DCB"/>
    <w:rsid w:val="006618C8"/>
    <w:rsid w:val="006620B0"/>
    <w:rsid w:val="006620F3"/>
    <w:rsid w:val="00662806"/>
    <w:rsid w:val="006634D9"/>
    <w:rsid w:val="00664D35"/>
    <w:rsid w:val="00665097"/>
    <w:rsid w:val="006652CF"/>
    <w:rsid w:val="00665431"/>
    <w:rsid w:val="00665E2F"/>
    <w:rsid w:val="00665E66"/>
    <w:rsid w:val="00666042"/>
    <w:rsid w:val="00666EC6"/>
    <w:rsid w:val="00667704"/>
    <w:rsid w:val="00667B66"/>
    <w:rsid w:val="00670B70"/>
    <w:rsid w:val="00670C09"/>
    <w:rsid w:val="006712F6"/>
    <w:rsid w:val="00671E7A"/>
    <w:rsid w:val="006728F7"/>
    <w:rsid w:val="00672CF2"/>
    <w:rsid w:val="00672EE9"/>
    <w:rsid w:val="006736C1"/>
    <w:rsid w:val="006737FF"/>
    <w:rsid w:val="00673813"/>
    <w:rsid w:val="00674187"/>
    <w:rsid w:val="006746B1"/>
    <w:rsid w:val="006748D9"/>
    <w:rsid w:val="00674A5C"/>
    <w:rsid w:val="0067614F"/>
    <w:rsid w:val="00676225"/>
    <w:rsid w:val="00676379"/>
    <w:rsid w:val="00676431"/>
    <w:rsid w:val="006765F7"/>
    <w:rsid w:val="0067663D"/>
    <w:rsid w:val="006766B1"/>
    <w:rsid w:val="00676950"/>
    <w:rsid w:val="006771AA"/>
    <w:rsid w:val="00677BB1"/>
    <w:rsid w:val="00677C8C"/>
    <w:rsid w:val="006800AF"/>
    <w:rsid w:val="00680330"/>
    <w:rsid w:val="00680720"/>
    <w:rsid w:val="00680744"/>
    <w:rsid w:val="00681631"/>
    <w:rsid w:val="00681B2A"/>
    <w:rsid w:val="00681BA6"/>
    <w:rsid w:val="006822BE"/>
    <w:rsid w:val="006833AD"/>
    <w:rsid w:val="00683CF6"/>
    <w:rsid w:val="00684B51"/>
    <w:rsid w:val="00684C47"/>
    <w:rsid w:val="00684EE4"/>
    <w:rsid w:val="00685039"/>
    <w:rsid w:val="006856E6"/>
    <w:rsid w:val="00685BA9"/>
    <w:rsid w:val="00685C73"/>
    <w:rsid w:val="006868A2"/>
    <w:rsid w:val="00686ABE"/>
    <w:rsid w:val="00686D7F"/>
    <w:rsid w:val="00686DB7"/>
    <w:rsid w:val="00686E2E"/>
    <w:rsid w:val="006879FA"/>
    <w:rsid w:val="006904CC"/>
    <w:rsid w:val="006905C9"/>
    <w:rsid w:val="00690A61"/>
    <w:rsid w:val="00690AC9"/>
    <w:rsid w:val="00691390"/>
    <w:rsid w:val="00691ABA"/>
    <w:rsid w:val="0069207F"/>
    <w:rsid w:val="00692B95"/>
    <w:rsid w:val="00692C2E"/>
    <w:rsid w:val="006936D7"/>
    <w:rsid w:val="006938D2"/>
    <w:rsid w:val="00693A7B"/>
    <w:rsid w:val="00694372"/>
    <w:rsid w:val="00694A39"/>
    <w:rsid w:val="00694EEA"/>
    <w:rsid w:val="00695A84"/>
    <w:rsid w:val="00695C49"/>
    <w:rsid w:val="00695D78"/>
    <w:rsid w:val="00696E62"/>
    <w:rsid w:val="0069727E"/>
    <w:rsid w:val="006972BA"/>
    <w:rsid w:val="006973EB"/>
    <w:rsid w:val="00697434"/>
    <w:rsid w:val="00697A99"/>
    <w:rsid w:val="006A01BD"/>
    <w:rsid w:val="006A02EA"/>
    <w:rsid w:val="006A08B4"/>
    <w:rsid w:val="006A0F28"/>
    <w:rsid w:val="006A11BE"/>
    <w:rsid w:val="006A28DE"/>
    <w:rsid w:val="006A35F9"/>
    <w:rsid w:val="006A36C0"/>
    <w:rsid w:val="006A3AA9"/>
    <w:rsid w:val="006A3B84"/>
    <w:rsid w:val="006A417F"/>
    <w:rsid w:val="006A44D8"/>
    <w:rsid w:val="006A451B"/>
    <w:rsid w:val="006A4596"/>
    <w:rsid w:val="006A47E8"/>
    <w:rsid w:val="006A5203"/>
    <w:rsid w:val="006A5881"/>
    <w:rsid w:val="006A72FD"/>
    <w:rsid w:val="006A7621"/>
    <w:rsid w:val="006A7CCA"/>
    <w:rsid w:val="006A7DB5"/>
    <w:rsid w:val="006B068C"/>
    <w:rsid w:val="006B0D68"/>
    <w:rsid w:val="006B0F30"/>
    <w:rsid w:val="006B0FD9"/>
    <w:rsid w:val="006B10DC"/>
    <w:rsid w:val="006B14AD"/>
    <w:rsid w:val="006B15E1"/>
    <w:rsid w:val="006B1FFB"/>
    <w:rsid w:val="006B23FB"/>
    <w:rsid w:val="006B33AE"/>
    <w:rsid w:val="006B39BD"/>
    <w:rsid w:val="006B4436"/>
    <w:rsid w:val="006B48EA"/>
    <w:rsid w:val="006B4CA9"/>
    <w:rsid w:val="006B4D98"/>
    <w:rsid w:val="006B5083"/>
    <w:rsid w:val="006B5750"/>
    <w:rsid w:val="006B6EF0"/>
    <w:rsid w:val="006B7031"/>
    <w:rsid w:val="006B75A3"/>
    <w:rsid w:val="006C0729"/>
    <w:rsid w:val="006C0CA1"/>
    <w:rsid w:val="006C25C4"/>
    <w:rsid w:val="006C2704"/>
    <w:rsid w:val="006C28CF"/>
    <w:rsid w:val="006C3252"/>
    <w:rsid w:val="006C3322"/>
    <w:rsid w:val="006C3A3D"/>
    <w:rsid w:val="006C3B7E"/>
    <w:rsid w:val="006C4BB8"/>
    <w:rsid w:val="006C4DA7"/>
    <w:rsid w:val="006C4F90"/>
    <w:rsid w:val="006C575D"/>
    <w:rsid w:val="006C58FD"/>
    <w:rsid w:val="006C6111"/>
    <w:rsid w:val="006C6B39"/>
    <w:rsid w:val="006C6D4D"/>
    <w:rsid w:val="006C7125"/>
    <w:rsid w:val="006D0A52"/>
    <w:rsid w:val="006D117B"/>
    <w:rsid w:val="006D1560"/>
    <w:rsid w:val="006D16E4"/>
    <w:rsid w:val="006D1A2B"/>
    <w:rsid w:val="006D20B0"/>
    <w:rsid w:val="006D21A8"/>
    <w:rsid w:val="006D3BD7"/>
    <w:rsid w:val="006D437F"/>
    <w:rsid w:val="006D44DC"/>
    <w:rsid w:val="006D4F8F"/>
    <w:rsid w:val="006D5937"/>
    <w:rsid w:val="006D5982"/>
    <w:rsid w:val="006D5A8B"/>
    <w:rsid w:val="006D5C56"/>
    <w:rsid w:val="006D5DC4"/>
    <w:rsid w:val="006D5E8D"/>
    <w:rsid w:val="006D5ECB"/>
    <w:rsid w:val="006D650D"/>
    <w:rsid w:val="006D685F"/>
    <w:rsid w:val="006D7047"/>
    <w:rsid w:val="006D741F"/>
    <w:rsid w:val="006D77A0"/>
    <w:rsid w:val="006D7D0C"/>
    <w:rsid w:val="006D7F77"/>
    <w:rsid w:val="006E0CC6"/>
    <w:rsid w:val="006E1738"/>
    <w:rsid w:val="006E1A87"/>
    <w:rsid w:val="006E2B53"/>
    <w:rsid w:val="006E2BBB"/>
    <w:rsid w:val="006E2D94"/>
    <w:rsid w:val="006E3068"/>
    <w:rsid w:val="006E3226"/>
    <w:rsid w:val="006E3F55"/>
    <w:rsid w:val="006E4B85"/>
    <w:rsid w:val="006E52F6"/>
    <w:rsid w:val="006E5A0E"/>
    <w:rsid w:val="006E5A3F"/>
    <w:rsid w:val="006E5AE4"/>
    <w:rsid w:val="006E60EA"/>
    <w:rsid w:val="006E6280"/>
    <w:rsid w:val="006F0B24"/>
    <w:rsid w:val="006F0FFF"/>
    <w:rsid w:val="006F1DE4"/>
    <w:rsid w:val="006F2250"/>
    <w:rsid w:val="006F2592"/>
    <w:rsid w:val="006F2A7D"/>
    <w:rsid w:val="006F3531"/>
    <w:rsid w:val="006F391E"/>
    <w:rsid w:val="006F3C93"/>
    <w:rsid w:val="006F3F36"/>
    <w:rsid w:val="006F4307"/>
    <w:rsid w:val="006F4BF7"/>
    <w:rsid w:val="006F588D"/>
    <w:rsid w:val="006F5957"/>
    <w:rsid w:val="006F6351"/>
    <w:rsid w:val="006F6B8F"/>
    <w:rsid w:val="006F6E8E"/>
    <w:rsid w:val="0070077A"/>
    <w:rsid w:val="0070083E"/>
    <w:rsid w:val="00700E96"/>
    <w:rsid w:val="00700FD9"/>
    <w:rsid w:val="00701B1E"/>
    <w:rsid w:val="00701B5B"/>
    <w:rsid w:val="00702A40"/>
    <w:rsid w:val="00702CFF"/>
    <w:rsid w:val="00703FA0"/>
    <w:rsid w:val="00704B70"/>
    <w:rsid w:val="00704C17"/>
    <w:rsid w:val="00704E6A"/>
    <w:rsid w:val="007057AB"/>
    <w:rsid w:val="007059B2"/>
    <w:rsid w:val="007072DC"/>
    <w:rsid w:val="00707AF3"/>
    <w:rsid w:val="00707D22"/>
    <w:rsid w:val="0071007C"/>
    <w:rsid w:val="0071022D"/>
    <w:rsid w:val="007104B6"/>
    <w:rsid w:val="00710CAA"/>
    <w:rsid w:val="00710D95"/>
    <w:rsid w:val="0071141F"/>
    <w:rsid w:val="00711473"/>
    <w:rsid w:val="007122B2"/>
    <w:rsid w:val="0071284C"/>
    <w:rsid w:val="00712877"/>
    <w:rsid w:val="007134D3"/>
    <w:rsid w:val="007135ED"/>
    <w:rsid w:val="0071385D"/>
    <w:rsid w:val="00713B92"/>
    <w:rsid w:val="007146BE"/>
    <w:rsid w:val="00714F02"/>
    <w:rsid w:val="00715CA8"/>
    <w:rsid w:val="00715E1E"/>
    <w:rsid w:val="007164C1"/>
    <w:rsid w:val="00716EB9"/>
    <w:rsid w:val="00717580"/>
    <w:rsid w:val="00717710"/>
    <w:rsid w:val="00720099"/>
    <w:rsid w:val="007200FD"/>
    <w:rsid w:val="0072060C"/>
    <w:rsid w:val="00720AC8"/>
    <w:rsid w:val="00721FDA"/>
    <w:rsid w:val="007227E3"/>
    <w:rsid w:val="007239EC"/>
    <w:rsid w:val="00723A08"/>
    <w:rsid w:val="007243CE"/>
    <w:rsid w:val="00724BCB"/>
    <w:rsid w:val="00724E03"/>
    <w:rsid w:val="00724E57"/>
    <w:rsid w:val="00724EC4"/>
    <w:rsid w:val="00724F2E"/>
    <w:rsid w:val="00725433"/>
    <w:rsid w:val="007257BA"/>
    <w:rsid w:val="00725955"/>
    <w:rsid w:val="00725A32"/>
    <w:rsid w:val="00725F6D"/>
    <w:rsid w:val="007262AD"/>
    <w:rsid w:val="007270F5"/>
    <w:rsid w:val="00727644"/>
    <w:rsid w:val="0072798B"/>
    <w:rsid w:val="00727E58"/>
    <w:rsid w:val="007303FE"/>
    <w:rsid w:val="0073090D"/>
    <w:rsid w:val="00730C62"/>
    <w:rsid w:val="007312B2"/>
    <w:rsid w:val="00731910"/>
    <w:rsid w:val="00731E72"/>
    <w:rsid w:val="0073226E"/>
    <w:rsid w:val="007327EA"/>
    <w:rsid w:val="00733048"/>
    <w:rsid w:val="007341C1"/>
    <w:rsid w:val="00734221"/>
    <w:rsid w:val="0073456C"/>
    <w:rsid w:val="0073461B"/>
    <w:rsid w:val="007350F7"/>
    <w:rsid w:val="00735FFF"/>
    <w:rsid w:val="007362A1"/>
    <w:rsid w:val="0073644F"/>
    <w:rsid w:val="00736620"/>
    <w:rsid w:val="00736AE6"/>
    <w:rsid w:val="00736E83"/>
    <w:rsid w:val="00737087"/>
    <w:rsid w:val="007376B4"/>
    <w:rsid w:val="00740CBC"/>
    <w:rsid w:val="00741170"/>
    <w:rsid w:val="007413DC"/>
    <w:rsid w:val="0074189E"/>
    <w:rsid w:val="007419A9"/>
    <w:rsid w:val="007419E3"/>
    <w:rsid w:val="00741A36"/>
    <w:rsid w:val="00742A9D"/>
    <w:rsid w:val="00742DCB"/>
    <w:rsid w:val="00742E14"/>
    <w:rsid w:val="00742F8B"/>
    <w:rsid w:val="00743643"/>
    <w:rsid w:val="00743759"/>
    <w:rsid w:val="00743EED"/>
    <w:rsid w:val="00744152"/>
    <w:rsid w:val="0074473E"/>
    <w:rsid w:val="00744E34"/>
    <w:rsid w:val="0074520E"/>
    <w:rsid w:val="00745BF1"/>
    <w:rsid w:val="0074762E"/>
    <w:rsid w:val="00747DFB"/>
    <w:rsid w:val="00747EAD"/>
    <w:rsid w:val="007504AA"/>
    <w:rsid w:val="007508E0"/>
    <w:rsid w:val="00750CD5"/>
    <w:rsid w:val="007519E8"/>
    <w:rsid w:val="00751BFA"/>
    <w:rsid w:val="007524CC"/>
    <w:rsid w:val="007529F4"/>
    <w:rsid w:val="00752BAF"/>
    <w:rsid w:val="00752D0A"/>
    <w:rsid w:val="00752D76"/>
    <w:rsid w:val="00752EFE"/>
    <w:rsid w:val="00752FA3"/>
    <w:rsid w:val="0075451F"/>
    <w:rsid w:val="007545B3"/>
    <w:rsid w:val="00755AF7"/>
    <w:rsid w:val="0075626F"/>
    <w:rsid w:val="00756794"/>
    <w:rsid w:val="00756827"/>
    <w:rsid w:val="00756ABA"/>
    <w:rsid w:val="00756B33"/>
    <w:rsid w:val="00757054"/>
    <w:rsid w:val="00757B8A"/>
    <w:rsid w:val="00757D21"/>
    <w:rsid w:val="00760059"/>
    <w:rsid w:val="0076014E"/>
    <w:rsid w:val="007605BB"/>
    <w:rsid w:val="00760C8C"/>
    <w:rsid w:val="007617A4"/>
    <w:rsid w:val="00762033"/>
    <w:rsid w:val="00762DE8"/>
    <w:rsid w:val="0076314D"/>
    <w:rsid w:val="007631DD"/>
    <w:rsid w:val="00763780"/>
    <w:rsid w:val="007637D6"/>
    <w:rsid w:val="007639D7"/>
    <w:rsid w:val="00763C24"/>
    <w:rsid w:val="00763F84"/>
    <w:rsid w:val="00764DDE"/>
    <w:rsid w:val="00764FE1"/>
    <w:rsid w:val="00767A2B"/>
    <w:rsid w:val="00767D3B"/>
    <w:rsid w:val="007703CC"/>
    <w:rsid w:val="0077075F"/>
    <w:rsid w:val="00770816"/>
    <w:rsid w:val="007709B9"/>
    <w:rsid w:val="00770AF9"/>
    <w:rsid w:val="00770B11"/>
    <w:rsid w:val="0077120F"/>
    <w:rsid w:val="007717C9"/>
    <w:rsid w:val="0077223E"/>
    <w:rsid w:val="0077257F"/>
    <w:rsid w:val="00773230"/>
    <w:rsid w:val="0077340A"/>
    <w:rsid w:val="00773D70"/>
    <w:rsid w:val="00773DD2"/>
    <w:rsid w:val="007742F1"/>
    <w:rsid w:val="00774726"/>
    <w:rsid w:val="00774972"/>
    <w:rsid w:val="00774A11"/>
    <w:rsid w:val="00774A90"/>
    <w:rsid w:val="00774DE0"/>
    <w:rsid w:val="00775686"/>
    <w:rsid w:val="00775716"/>
    <w:rsid w:val="007757B1"/>
    <w:rsid w:val="00775845"/>
    <w:rsid w:val="00775D73"/>
    <w:rsid w:val="00775E47"/>
    <w:rsid w:val="007765EF"/>
    <w:rsid w:val="007767D3"/>
    <w:rsid w:val="00776DD1"/>
    <w:rsid w:val="00776F26"/>
    <w:rsid w:val="0077712B"/>
    <w:rsid w:val="0077753E"/>
    <w:rsid w:val="00777946"/>
    <w:rsid w:val="007800BD"/>
    <w:rsid w:val="00780340"/>
    <w:rsid w:val="0078056F"/>
    <w:rsid w:val="00780CF3"/>
    <w:rsid w:val="00781112"/>
    <w:rsid w:val="007816D8"/>
    <w:rsid w:val="00781C0F"/>
    <w:rsid w:val="007822E4"/>
    <w:rsid w:val="007822FD"/>
    <w:rsid w:val="00782606"/>
    <w:rsid w:val="0078269B"/>
    <w:rsid w:val="007827D9"/>
    <w:rsid w:val="00782979"/>
    <w:rsid w:val="00782B5F"/>
    <w:rsid w:val="00782EC8"/>
    <w:rsid w:val="00782FB6"/>
    <w:rsid w:val="00783479"/>
    <w:rsid w:val="00783F1A"/>
    <w:rsid w:val="00784854"/>
    <w:rsid w:val="0078491F"/>
    <w:rsid w:val="0078546F"/>
    <w:rsid w:val="00785672"/>
    <w:rsid w:val="007857BF"/>
    <w:rsid w:val="00785806"/>
    <w:rsid w:val="0078594A"/>
    <w:rsid w:val="007870F8"/>
    <w:rsid w:val="007874BB"/>
    <w:rsid w:val="00787AEB"/>
    <w:rsid w:val="007905E6"/>
    <w:rsid w:val="0079169F"/>
    <w:rsid w:val="007917AE"/>
    <w:rsid w:val="00791C5F"/>
    <w:rsid w:val="00791DEB"/>
    <w:rsid w:val="007925C6"/>
    <w:rsid w:val="0079360D"/>
    <w:rsid w:val="00794672"/>
    <w:rsid w:val="00794931"/>
    <w:rsid w:val="00794A41"/>
    <w:rsid w:val="007950D4"/>
    <w:rsid w:val="007953D7"/>
    <w:rsid w:val="007954D3"/>
    <w:rsid w:val="00795995"/>
    <w:rsid w:val="00795E9E"/>
    <w:rsid w:val="00796266"/>
    <w:rsid w:val="00796DC0"/>
    <w:rsid w:val="007973B0"/>
    <w:rsid w:val="007A00C1"/>
    <w:rsid w:val="007A0221"/>
    <w:rsid w:val="007A1398"/>
    <w:rsid w:val="007A1B2A"/>
    <w:rsid w:val="007A2822"/>
    <w:rsid w:val="007A35E2"/>
    <w:rsid w:val="007A3964"/>
    <w:rsid w:val="007A3A34"/>
    <w:rsid w:val="007A3E26"/>
    <w:rsid w:val="007A467C"/>
    <w:rsid w:val="007A470E"/>
    <w:rsid w:val="007A48DF"/>
    <w:rsid w:val="007A59A7"/>
    <w:rsid w:val="007A5B01"/>
    <w:rsid w:val="007A5B63"/>
    <w:rsid w:val="007A5BA6"/>
    <w:rsid w:val="007A5EC1"/>
    <w:rsid w:val="007A62B9"/>
    <w:rsid w:val="007A6310"/>
    <w:rsid w:val="007A644D"/>
    <w:rsid w:val="007A6818"/>
    <w:rsid w:val="007A6ADA"/>
    <w:rsid w:val="007A715D"/>
    <w:rsid w:val="007A7E81"/>
    <w:rsid w:val="007A7E93"/>
    <w:rsid w:val="007B0A26"/>
    <w:rsid w:val="007B1221"/>
    <w:rsid w:val="007B1B7E"/>
    <w:rsid w:val="007B1DB7"/>
    <w:rsid w:val="007B2985"/>
    <w:rsid w:val="007B2B8D"/>
    <w:rsid w:val="007B35BE"/>
    <w:rsid w:val="007B46BF"/>
    <w:rsid w:val="007B5383"/>
    <w:rsid w:val="007B56DD"/>
    <w:rsid w:val="007B5C1B"/>
    <w:rsid w:val="007B6017"/>
    <w:rsid w:val="007B61E6"/>
    <w:rsid w:val="007B69ED"/>
    <w:rsid w:val="007B6B98"/>
    <w:rsid w:val="007B7736"/>
    <w:rsid w:val="007B78ED"/>
    <w:rsid w:val="007B7ACE"/>
    <w:rsid w:val="007B7D25"/>
    <w:rsid w:val="007C0107"/>
    <w:rsid w:val="007C0E6F"/>
    <w:rsid w:val="007C139C"/>
    <w:rsid w:val="007C1AC4"/>
    <w:rsid w:val="007C1BCF"/>
    <w:rsid w:val="007C1FC9"/>
    <w:rsid w:val="007C2607"/>
    <w:rsid w:val="007C29FA"/>
    <w:rsid w:val="007C2ABB"/>
    <w:rsid w:val="007C2BE4"/>
    <w:rsid w:val="007C3067"/>
    <w:rsid w:val="007C3C89"/>
    <w:rsid w:val="007C3E25"/>
    <w:rsid w:val="007C4262"/>
    <w:rsid w:val="007C4B0E"/>
    <w:rsid w:val="007C5CB2"/>
    <w:rsid w:val="007C5E7D"/>
    <w:rsid w:val="007C66BF"/>
    <w:rsid w:val="007C67E2"/>
    <w:rsid w:val="007C689C"/>
    <w:rsid w:val="007C7971"/>
    <w:rsid w:val="007C7DFF"/>
    <w:rsid w:val="007C7E17"/>
    <w:rsid w:val="007D01BC"/>
    <w:rsid w:val="007D07C4"/>
    <w:rsid w:val="007D100A"/>
    <w:rsid w:val="007D1137"/>
    <w:rsid w:val="007D116C"/>
    <w:rsid w:val="007D12EA"/>
    <w:rsid w:val="007D156B"/>
    <w:rsid w:val="007D168C"/>
    <w:rsid w:val="007D1975"/>
    <w:rsid w:val="007D219D"/>
    <w:rsid w:val="007D28D0"/>
    <w:rsid w:val="007D2F92"/>
    <w:rsid w:val="007D374D"/>
    <w:rsid w:val="007D3D18"/>
    <w:rsid w:val="007D3F55"/>
    <w:rsid w:val="007D4253"/>
    <w:rsid w:val="007D433F"/>
    <w:rsid w:val="007D435F"/>
    <w:rsid w:val="007D527A"/>
    <w:rsid w:val="007D5D8B"/>
    <w:rsid w:val="007D5FA6"/>
    <w:rsid w:val="007D638F"/>
    <w:rsid w:val="007D64C9"/>
    <w:rsid w:val="007D6635"/>
    <w:rsid w:val="007D6BB1"/>
    <w:rsid w:val="007D755C"/>
    <w:rsid w:val="007D798F"/>
    <w:rsid w:val="007D7A20"/>
    <w:rsid w:val="007E0A04"/>
    <w:rsid w:val="007E10E7"/>
    <w:rsid w:val="007E1738"/>
    <w:rsid w:val="007E1791"/>
    <w:rsid w:val="007E1833"/>
    <w:rsid w:val="007E2779"/>
    <w:rsid w:val="007E3073"/>
    <w:rsid w:val="007E35D9"/>
    <w:rsid w:val="007E3B19"/>
    <w:rsid w:val="007E4314"/>
    <w:rsid w:val="007E4572"/>
    <w:rsid w:val="007E4838"/>
    <w:rsid w:val="007E4BE9"/>
    <w:rsid w:val="007E4BF2"/>
    <w:rsid w:val="007E5038"/>
    <w:rsid w:val="007E57D2"/>
    <w:rsid w:val="007E58E3"/>
    <w:rsid w:val="007E5E5B"/>
    <w:rsid w:val="007E6407"/>
    <w:rsid w:val="007E6810"/>
    <w:rsid w:val="007E6F97"/>
    <w:rsid w:val="007E6F9F"/>
    <w:rsid w:val="007E7764"/>
    <w:rsid w:val="007E77D6"/>
    <w:rsid w:val="007E7C36"/>
    <w:rsid w:val="007E7D2A"/>
    <w:rsid w:val="007F0425"/>
    <w:rsid w:val="007F0944"/>
    <w:rsid w:val="007F0969"/>
    <w:rsid w:val="007F0C33"/>
    <w:rsid w:val="007F0C5F"/>
    <w:rsid w:val="007F0CEC"/>
    <w:rsid w:val="007F10E6"/>
    <w:rsid w:val="007F1174"/>
    <w:rsid w:val="007F11D7"/>
    <w:rsid w:val="007F1383"/>
    <w:rsid w:val="007F15BC"/>
    <w:rsid w:val="007F164B"/>
    <w:rsid w:val="007F1D12"/>
    <w:rsid w:val="007F1DA7"/>
    <w:rsid w:val="007F1F79"/>
    <w:rsid w:val="007F2313"/>
    <w:rsid w:val="007F24E2"/>
    <w:rsid w:val="007F2DDE"/>
    <w:rsid w:val="007F337D"/>
    <w:rsid w:val="007F3B1A"/>
    <w:rsid w:val="007F3BA1"/>
    <w:rsid w:val="007F41FD"/>
    <w:rsid w:val="007F44A9"/>
    <w:rsid w:val="007F4592"/>
    <w:rsid w:val="007F5071"/>
    <w:rsid w:val="007F50EE"/>
    <w:rsid w:val="007F53F1"/>
    <w:rsid w:val="007F5604"/>
    <w:rsid w:val="007F6192"/>
    <w:rsid w:val="007F6756"/>
    <w:rsid w:val="007F67A9"/>
    <w:rsid w:val="007F67C7"/>
    <w:rsid w:val="007F6A1A"/>
    <w:rsid w:val="007F6AFF"/>
    <w:rsid w:val="007F6F3A"/>
    <w:rsid w:val="007F7063"/>
    <w:rsid w:val="007F76DD"/>
    <w:rsid w:val="007F7E44"/>
    <w:rsid w:val="007F7FF8"/>
    <w:rsid w:val="00802665"/>
    <w:rsid w:val="00802A46"/>
    <w:rsid w:val="00803155"/>
    <w:rsid w:val="00803CFD"/>
    <w:rsid w:val="00803FBB"/>
    <w:rsid w:val="0080439F"/>
    <w:rsid w:val="008043A8"/>
    <w:rsid w:val="00805DD3"/>
    <w:rsid w:val="00805F54"/>
    <w:rsid w:val="00806AE6"/>
    <w:rsid w:val="00806C75"/>
    <w:rsid w:val="008078DE"/>
    <w:rsid w:val="00807AD3"/>
    <w:rsid w:val="008108AC"/>
    <w:rsid w:val="00810DCF"/>
    <w:rsid w:val="008115FD"/>
    <w:rsid w:val="0081195E"/>
    <w:rsid w:val="00811A99"/>
    <w:rsid w:val="00811B13"/>
    <w:rsid w:val="008137CC"/>
    <w:rsid w:val="0081430E"/>
    <w:rsid w:val="00814341"/>
    <w:rsid w:val="008149EF"/>
    <w:rsid w:val="008151EC"/>
    <w:rsid w:val="00815B9B"/>
    <w:rsid w:val="00816065"/>
    <w:rsid w:val="00817042"/>
    <w:rsid w:val="008174C3"/>
    <w:rsid w:val="00820441"/>
    <w:rsid w:val="008206CE"/>
    <w:rsid w:val="00820751"/>
    <w:rsid w:val="00820AD0"/>
    <w:rsid w:val="0082130B"/>
    <w:rsid w:val="00821BA2"/>
    <w:rsid w:val="008221C1"/>
    <w:rsid w:val="008227D4"/>
    <w:rsid w:val="00823232"/>
    <w:rsid w:val="00823A32"/>
    <w:rsid w:val="00823B4C"/>
    <w:rsid w:val="0082411F"/>
    <w:rsid w:val="00824C46"/>
    <w:rsid w:val="00824D00"/>
    <w:rsid w:val="00825455"/>
    <w:rsid w:val="00825520"/>
    <w:rsid w:val="0082560D"/>
    <w:rsid w:val="0082568C"/>
    <w:rsid w:val="0082574D"/>
    <w:rsid w:val="00825D03"/>
    <w:rsid w:val="00825F7C"/>
    <w:rsid w:val="00826A26"/>
    <w:rsid w:val="00826A44"/>
    <w:rsid w:val="00826CF1"/>
    <w:rsid w:val="00826D36"/>
    <w:rsid w:val="00827192"/>
    <w:rsid w:val="00827EE7"/>
    <w:rsid w:val="00827FF4"/>
    <w:rsid w:val="00830159"/>
    <w:rsid w:val="00830178"/>
    <w:rsid w:val="00831025"/>
    <w:rsid w:val="00831752"/>
    <w:rsid w:val="00831918"/>
    <w:rsid w:val="00831B93"/>
    <w:rsid w:val="00831CDE"/>
    <w:rsid w:val="0083260B"/>
    <w:rsid w:val="008327A8"/>
    <w:rsid w:val="00832807"/>
    <w:rsid w:val="00832D0E"/>
    <w:rsid w:val="0083356C"/>
    <w:rsid w:val="00833727"/>
    <w:rsid w:val="0083390E"/>
    <w:rsid w:val="00833FDC"/>
    <w:rsid w:val="008345E5"/>
    <w:rsid w:val="0083466B"/>
    <w:rsid w:val="0083484B"/>
    <w:rsid w:val="00834A7C"/>
    <w:rsid w:val="00834FE5"/>
    <w:rsid w:val="0083500D"/>
    <w:rsid w:val="00835297"/>
    <w:rsid w:val="00835A6C"/>
    <w:rsid w:val="00835CCC"/>
    <w:rsid w:val="00835EAD"/>
    <w:rsid w:val="00835F30"/>
    <w:rsid w:val="00836687"/>
    <w:rsid w:val="008375EB"/>
    <w:rsid w:val="00837E94"/>
    <w:rsid w:val="00837FBB"/>
    <w:rsid w:val="0084048A"/>
    <w:rsid w:val="0084082F"/>
    <w:rsid w:val="00840EF0"/>
    <w:rsid w:val="00841302"/>
    <w:rsid w:val="00841CCE"/>
    <w:rsid w:val="008420E4"/>
    <w:rsid w:val="00842A43"/>
    <w:rsid w:val="008436D5"/>
    <w:rsid w:val="008438DC"/>
    <w:rsid w:val="00843E0F"/>
    <w:rsid w:val="008446B4"/>
    <w:rsid w:val="00844ADE"/>
    <w:rsid w:val="00844FD2"/>
    <w:rsid w:val="00845096"/>
    <w:rsid w:val="00845242"/>
    <w:rsid w:val="00845B9B"/>
    <w:rsid w:val="00845C0C"/>
    <w:rsid w:val="00846055"/>
    <w:rsid w:val="0084674B"/>
    <w:rsid w:val="008469C7"/>
    <w:rsid w:val="00846D41"/>
    <w:rsid w:val="00846E78"/>
    <w:rsid w:val="0084727C"/>
    <w:rsid w:val="0084736E"/>
    <w:rsid w:val="008474CD"/>
    <w:rsid w:val="00847776"/>
    <w:rsid w:val="00847916"/>
    <w:rsid w:val="00847C4D"/>
    <w:rsid w:val="008500C1"/>
    <w:rsid w:val="00850BB0"/>
    <w:rsid w:val="0085119E"/>
    <w:rsid w:val="00851CC5"/>
    <w:rsid w:val="00851D2C"/>
    <w:rsid w:val="00851F98"/>
    <w:rsid w:val="008521F9"/>
    <w:rsid w:val="00852263"/>
    <w:rsid w:val="00852D5E"/>
    <w:rsid w:val="0085317B"/>
    <w:rsid w:val="0085328E"/>
    <w:rsid w:val="00853F0A"/>
    <w:rsid w:val="0085462C"/>
    <w:rsid w:val="008546BE"/>
    <w:rsid w:val="0085496F"/>
    <w:rsid w:val="00854A7F"/>
    <w:rsid w:val="008555F3"/>
    <w:rsid w:val="00855879"/>
    <w:rsid w:val="00855C12"/>
    <w:rsid w:val="0085627F"/>
    <w:rsid w:val="00856344"/>
    <w:rsid w:val="008567C0"/>
    <w:rsid w:val="00856A9E"/>
    <w:rsid w:val="00856B0E"/>
    <w:rsid w:val="00856BA3"/>
    <w:rsid w:val="00856C4E"/>
    <w:rsid w:val="00856DE7"/>
    <w:rsid w:val="008579DB"/>
    <w:rsid w:val="00857A31"/>
    <w:rsid w:val="00857B7C"/>
    <w:rsid w:val="00857C39"/>
    <w:rsid w:val="00857E4F"/>
    <w:rsid w:val="00861035"/>
    <w:rsid w:val="008610A8"/>
    <w:rsid w:val="00861D31"/>
    <w:rsid w:val="00861FBA"/>
    <w:rsid w:val="00862001"/>
    <w:rsid w:val="00862019"/>
    <w:rsid w:val="0086206B"/>
    <w:rsid w:val="00862248"/>
    <w:rsid w:val="008626F6"/>
    <w:rsid w:val="00862AC4"/>
    <w:rsid w:val="00862B20"/>
    <w:rsid w:val="00862B39"/>
    <w:rsid w:val="00862DA1"/>
    <w:rsid w:val="008637F8"/>
    <w:rsid w:val="0086391F"/>
    <w:rsid w:val="008639A1"/>
    <w:rsid w:val="008644AD"/>
    <w:rsid w:val="008645AD"/>
    <w:rsid w:val="00864A46"/>
    <w:rsid w:val="00864D12"/>
    <w:rsid w:val="00864E23"/>
    <w:rsid w:val="00864F0F"/>
    <w:rsid w:val="00865289"/>
    <w:rsid w:val="008652F1"/>
    <w:rsid w:val="00865331"/>
    <w:rsid w:val="008657CA"/>
    <w:rsid w:val="00865DD5"/>
    <w:rsid w:val="0086649A"/>
    <w:rsid w:val="008667B9"/>
    <w:rsid w:val="00866B4D"/>
    <w:rsid w:val="00866C0C"/>
    <w:rsid w:val="00866DC4"/>
    <w:rsid w:val="008671C9"/>
    <w:rsid w:val="008676CB"/>
    <w:rsid w:val="00870121"/>
    <w:rsid w:val="0087093B"/>
    <w:rsid w:val="00870B5A"/>
    <w:rsid w:val="00870D14"/>
    <w:rsid w:val="0087115E"/>
    <w:rsid w:val="0087130D"/>
    <w:rsid w:val="008716CB"/>
    <w:rsid w:val="0087186A"/>
    <w:rsid w:val="008719C4"/>
    <w:rsid w:val="0087235F"/>
    <w:rsid w:val="0087345D"/>
    <w:rsid w:val="00873713"/>
    <w:rsid w:val="00873973"/>
    <w:rsid w:val="00874387"/>
    <w:rsid w:val="0087456C"/>
    <w:rsid w:val="00875068"/>
    <w:rsid w:val="008751D3"/>
    <w:rsid w:val="008756B3"/>
    <w:rsid w:val="00876394"/>
    <w:rsid w:val="008765AB"/>
    <w:rsid w:val="00876657"/>
    <w:rsid w:val="00876B84"/>
    <w:rsid w:val="00876C35"/>
    <w:rsid w:val="00876D2A"/>
    <w:rsid w:val="00877012"/>
    <w:rsid w:val="00877614"/>
    <w:rsid w:val="00877D81"/>
    <w:rsid w:val="00880550"/>
    <w:rsid w:val="0088093A"/>
    <w:rsid w:val="00881450"/>
    <w:rsid w:val="008815F1"/>
    <w:rsid w:val="008816C1"/>
    <w:rsid w:val="00881D3B"/>
    <w:rsid w:val="008826C6"/>
    <w:rsid w:val="00883322"/>
    <w:rsid w:val="00883B39"/>
    <w:rsid w:val="00883F13"/>
    <w:rsid w:val="008841EE"/>
    <w:rsid w:val="008845C7"/>
    <w:rsid w:val="00884FD4"/>
    <w:rsid w:val="00885C35"/>
    <w:rsid w:val="0088691E"/>
    <w:rsid w:val="00886A21"/>
    <w:rsid w:val="00886FCF"/>
    <w:rsid w:val="00887363"/>
    <w:rsid w:val="0088758A"/>
    <w:rsid w:val="008877E3"/>
    <w:rsid w:val="008878CC"/>
    <w:rsid w:val="00887C29"/>
    <w:rsid w:val="0089046C"/>
    <w:rsid w:val="00890AC9"/>
    <w:rsid w:val="00891F3E"/>
    <w:rsid w:val="00892DD7"/>
    <w:rsid w:val="00892FF3"/>
    <w:rsid w:val="0089330B"/>
    <w:rsid w:val="00893497"/>
    <w:rsid w:val="00893F02"/>
    <w:rsid w:val="008942E7"/>
    <w:rsid w:val="00894709"/>
    <w:rsid w:val="00894F9B"/>
    <w:rsid w:val="00895550"/>
    <w:rsid w:val="00895AA2"/>
    <w:rsid w:val="00897094"/>
    <w:rsid w:val="00897286"/>
    <w:rsid w:val="00897563"/>
    <w:rsid w:val="00897815"/>
    <w:rsid w:val="008A0370"/>
    <w:rsid w:val="008A0549"/>
    <w:rsid w:val="008A0F62"/>
    <w:rsid w:val="008A2090"/>
    <w:rsid w:val="008A2300"/>
    <w:rsid w:val="008A2533"/>
    <w:rsid w:val="008A28C4"/>
    <w:rsid w:val="008A36B7"/>
    <w:rsid w:val="008A3934"/>
    <w:rsid w:val="008A3DC6"/>
    <w:rsid w:val="008A3EFE"/>
    <w:rsid w:val="008A4E4A"/>
    <w:rsid w:val="008A4FB7"/>
    <w:rsid w:val="008A517B"/>
    <w:rsid w:val="008A5402"/>
    <w:rsid w:val="008A54C8"/>
    <w:rsid w:val="008A58FE"/>
    <w:rsid w:val="008A663E"/>
    <w:rsid w:val="008A67F5"/>
    <w:rsid w:val="008A6DCA"/>
    <w:rsid w:val="008A6FBA"/>
    <w:rsid w:val="008A73ED"/>
    <w:rsid w:val="008A791B"/>
    <w:rsid w:val="008A793F"/>
    <w:rsid w:val="008B00F3"/>
    <w:rsid w:val="008B048F"/>
    <w:rsid w:val="008B08DA"/>
    <w:rsid w:val="008B0C67"/>
    <w:rsid w:val="008B0DB0"/>
    <w:rsid w:val="008B1088"/>
    <w:rsid w:val="008B248E"/>
    <w:rsid w:val="008B2598"/>
    <w:rsid w:val="008B4009"/>
    <w:rsid w:val="008B4956"/>
    <w:rsid w:val="008B52D1"/>
    <w:rsid w:val="008B532F"/>
    <w:rsid w:val="008B600B"/>
    <w:rsid w:val="008B60AB"/>
    <w:rsid w:val="008B60E2"/>
    <w:rsid w:val="008B6511"/>
    <w:rsid w:val="008B71EA"/>
    <w:rsid w:val="008B7475"/>
    <w:rsid w:val="008B7787"/>
    <w:rsid w:val="008B7DF5"/>
    <w:rsid w:val="008C070D"/>
    <w:rsid w:val="008C0F61"/>
    <w:rsid w:val="008C26A6"/>
    <w:rsid w:val="008C34A2"/>
    <w:rsid w:val="008C3525"/>
    <w:rsid w:val="008C390F"/>
    <w:rsid w:val="008C40CD"/>
    <w:rsid w:val="008C436C"/>
    <w:rsid w:val="008C4579"/>
    <w:rsid w:val="008C49E3"/>
    <w:rsid w:val="008C4BD5"/>
    <w:rsid w:val="008C56EE"/>
    <w:rsid w:val="008C5922"/>
    <w:rsid w:val="008C5FD7"/>
    <w:rsid w:val="008C688A"/>
    <w:rsid w:val="008D012E"/>
    <w:rsid w:val="008D02A5"/>
    <w:rsid w:val="008D0823"/>
    <w:rsid w:val="008D09A7"/>
    <w:rsid w:val="008D0CC6"/>
    <w:rsid w:val="008D194B"/>
    <w:rsid w:val="008D1AC8"/>
    <w:rsid w:val="008D1F5C"/>
    <w:rsid w:val="008D23DF"/>
    <w:rsid w:val="008D24E3"/>
    <w:rsid w:val="008D2663"/>
    <w:rsid w:val="008D2829"/>
    <w:rsid w:val="008D3349"/>
    <w:rsid w:val="008D3482"/>
    <w:rsid w:val="008D3484"/>
    <w:rsid w:val="008D369E"/>
    <w:rsid w:val="008D3817"/>
    <w:rsid w:val="008D39CD"/>
    <w:rsid w:val="008D433F"/>
    <w:rsid w:val="008D49D7"/>
    <w:rsid w:val="008D4DFC"/>
    <w:rsid w:val="008D51A7"/>
    <w:rsid w:val="008D584B"/>
    <w:rsid w:val="008D5D5F"/>
    <w:rsid w:val="008D66A2"/>
    <w:rsid w:val="008D6AA4"/>
    <w:rsid w:val="008D766F"/>
    <w:rsid w:val="008D794C"/>
    <w:rsid w:val="008E0D19"/>
    <w:rsid w:val="008E16F9"/>
    <w:rsid w:val="008E1C65"/>
    <w:rsid w:val="008E1C6D"/>
    <w:rsid w:val="008E2491"/>
    <w:rsid w:val="008E2621"/>
    <w:rsid w:val="008E31C4"/>
    <w:rsid w:val="008E3C06"/>
    <w:rsid w:val="008E3ECC"/>
    <w:rsid w:val="008E430B"/>
    <w:rsid w:val="008E6410"/>
    <w:rsid w:val="008E64EB"/>
    <w:rsid w:val="008E6658"/>
    <w:rsid w:val="008E69AC"/>
    <w:rsid w:val="008E6F00"/>
    <w:rsid w:val="008E7AF3"/>
    <w:rsid w:val="008E7B87"/>
    <w:rsid w:val="008F0291"/>
    <w:rsid w:val="008F1F71"/>
    <w:rsid w:val="008F267C"/>
    <w:rsid w:val="008F26D4"/>
    <w:rsid w:val="008F2AAD"/>
    <w:rsid w:val="008F3F33"/>
    <w:rsid w:val="008F44BD"/>
    <w:rsid w:val="008F4B6F"/>
    <w:rsid w:val="008F4C82"/>
    <w:rsid w:val="008F4E37"/>
    <w:rsid w:val="008F4F89"/>
    <w:rsid w:val="008F540C"/>
    <w:rsid w:val="008F5415"/>
    <w:rsid w:val="008F56AC"/>
    <w:rsid w:val="008F5DB7"/>
    <w:rsid w:val="008F7306"/>
    <w:rsid w:val="008F7972"/>
    <w:rsid w:val="00900744"/>
    <w:rsid w:val="009008F2"/>
    <w:rsid w:val="009008F8"/>
    <w:rsid w:val="00900A11"/>
    <w:rsid w:val="009012D4"/>
    <w:rsid w:val="0090140E"/>
    <w:rsid w:val="009016E8"/>
    <w:rsid w:val="00901A40"/>
    <w:rsid w:val="00901F75"/>
    <w:rsid w:val="00902308"/>
    <w:rsid w:val="009023AD"/>
    <w:rsid w:val="00902431"/>
    <w:rsid w:val="009026F3"/>
    <w:rsid w:val="009028CA"/>
    <w:rsid w:val="00902EAB"/>
    <w:rsid w:val="00903774"/>
    <w:rsid w:val="0090388A"/>
    <w:rsid w:val="00903BFD"/>
    <w:rsid w:val="0090412A"/>
    <w:rsid w:val="00904B27"/>
    <w:rsid w:val="00904E40"/>
    <w:rsid w:val="00905040"/>
    <w:rsid w:val="00905291"/>
    <w:rsid w:val="00905F6B"/>
    <w:rsid w:val="00906600"/>
    <w:rsid w:val="009068F2"/>
    <w:rsid w:val="00906D5F"/>
    <w:rsid w:val="00907A35"/>
    <w:rsid w:val="009100F6"/>
    <w:rsid w:val="00910446"/>
    <w:rsid w:val="009104FF"/>
    <w:rsid w:val="00910610"/>
    <w:rsid w:val="0091098C"/>
    <w:rsid w:val="00910E15"/>
    <w:rsid w:val="00911671"/>
    <w:rsid w:val="0091199B"/>
    <w:rsid w:val="00911AA1"/>
    <w:rsid w:val="00911C9C"/>
    <w:rsid w:val="00911F8E"/>
    <w:rsid w:val="009122B6"/>
    <w:rsid w:val="009134E5"/>
    <w:rsid w:val="00913A33"/>
    <w:rsid w:val="00914535"/>
    <w:rsid w:val="00915139"/>
    <w:rsid w:val="00915D46"/>
    <w:rsid w:val="00915FBE"/>
    <w:rsid w:val="00916835"/>
    <w:rsid w:val="00916E70"/>
    <w:rsid w:val="009170DE"/>
    <w:rsid w:val="009172F2"/>
    <w:rsid w:val="009176D0"/>
    <w:rsid w:val="00917E2C"/>
    <w:rsid w:val="00920AEA"/>
    <w:rsid w:val="00921789"/>
    <w:rsid w:val="0092282C"/>
    <w:rsid w:val="009228C1"/>
    <w:rsid w:val="00923335"/>
    <w:rsid w:val="0092334F"/>
    <w:rsid w:val="00923BD9"/>
    <w:rsid w:val="00923F2E"/>
    <w:rsid w:val="00924DCE"/>
    <w:rsid w:val="00925847"/>
    <w:rsid w:val="00925B2E"/>
    <w:rsid w:val="00925E33"/>
    <w:rsid w:val="00926328"/>
    <w:rsid w:val="00926A7F"/>
    <w:rsid w:val="00927B26"/>
    <w:rsid w:val="00927E4D"/>
    <w:rsid w:val="0093014E"/>
    <w:rsid w:val="00930263"/>
    <w:rsid w:val="00930BAA"/>
    <w:rsid w:val="009315A3"/>
    <w:rsid w:val="00931748"/>
    <w:rsid w:val="00931A25"/>
    <w:rsid w:val="009323AE"/>
    <w:rsid w:val="0093332A"/>
    <w:rsid w:val="009333BB"/>
    <w:rsid w:val="0093381B"/>
    <w:rsid w:val="009340E3"/>
    <w:rsid w:val="0093456C"/>
    <w:rsid w:val="009349AB"/>
    <w:rsid w:val="00934DC4"/>
    <w:rsid w:val="009353C7"/>
    <w:rsid w:val="0093562B"/>
    <w:rsid w:val="009356C1"/>
    <w:rsid w:val="009358D4"/>
    <w:rsid w:val="00935B96"/>
    <w:rsid w:val="00935E2F"/>
    <w:rsid w:val="00936827"/>
    <w:rsid w:val="00936C53"/>
    <w:rsid w:val="00937A74"/>
    <w:rsid w:val="00937C4F"/>
    <w:rsid w:val="00937D82"/>
    <w:rsid w:val="009404D6"/>
    <w:rsid w:val="009408C2"/>
    <w:rsid w:val="009415EB"/>
    <w:rsid w:val="009418D8"/>
    <w:rsid w:val="00941BB7"/>
    <w:rsid w:val="0094300A"/>
    <w:rsid w:val="00943314"/>
    <w:rsid w:val="009437E9"/>
    <w:rsid w:val="00943A67"/>
    <w:rsid w:val="00943CE1"/>
    <w:rsid w:val="00943EFA"/>
    <w:rsid w:val="009447A3"/>
    <w:rsid w:val="0094481B"/>
    <w:rsid w:val="00944B78"/>
    <w:rsid w:val="00944C45"/>
    <w:rsid w:val="00944E51"/>
    <w:rsid w:val="00944FB4"/>
    <w:rsid w:val="00945274"/>
    <w:rsid w:val="00945596"/>
    <w:rsid w:val="00945A25"/>
    <w:rsid w:val="00945B39"/>
    <w:rsid w:val="0094658B"/>
    <w:rsid w:val="00946982"/>
    <w:rsid w:val="0094735E"/>
    <w:rsid w:val="0094743F"/>
    <w:rsid w:val="00947C07"/>
    <w:rsid w:val="00950161"/>
    <w:rsid w:val="009511A5"/>
    <w:rsid w:val="00951443"/>
    <w:rsid w:val="0095159B"/>
    <w:rsid w:val="00951A0A"/>
    <w:rsid w:val="00951BEE"/>
    <w:rsid w:val="00951F6F"/>
    <w:rsid w:val="00952078"/>
    <w:rsid w:val="009520B1"/>
    <w:rsid w:val="00952244"/>
    <w:rsid w:val="00952282"/>
    <w:rsid w:val="009526B8"/>
    <w:rsid w:val="0095288C"/>
    <w:rsid w:val="00953081"/>
    <w:rsid w:val="00953707"/>
    <w:rsid w:val="0095471A"/>
    <w:rsid w:val="00954EDD"/>
    <w:rsid w:val="009550A6"/>
    <w:rsid w:val="0095537B"/>
    <w:rsid w:val="009553C6"/>
    <w:rsid w:val="00955FDB"/>
    <w:rsid w:val="0095611C"/>
    <w:rsid w:val="00956236"/>
    <w:rsid w:val="009567E3"/>
    <w:rsid w:val="009569B8"/>
    <w:rsid w:val="00956BFB"/>
    <w:rsid w:val="00956DB0"/>
    <w:rsid w:val="00956DFE"/>
    <w:rsid w:val="00956F82"/>
    <w:rsid w:val="0095745C"/>
    <w:rsid w:val="00957C31"/>
    <w:rsid w:val="00957E03"/>
    <w:rsid w:val="009609E1"/>
    <w:rsid w:val="00960F94"/>
    <w:rsid w:val="009611F2"/>
    <w:rsid w:val="009615EC"/>
    <w:rsid w:val="009616A9"/>
    <w:rsid w:val="00961E1B"/>
    <w:rsid w:val="009620B1"/>
    <w:rsid w:val="0096257C"/>
    <w:rsid w:val="00963870"/>
    <w:rsid w:val="00963D63"/>
    <w:rsid w:val="00963E16"/>
    <w:rsid w:val="00964467"/>
    <w:rsid w:val="00964A72"/>
    <w:rsid w:val="00964AF5"/>
    <w:rsid w:val="00965B71"/>
    <w:rsid w:val="00965F4F"/>
    <w:rsid w:val="00966232"/>
    <w:rsid w:val="00966D22"/>
    <w:rsid w:val="00966ECC"/>
    <w:rsid w:val="00966ED1"/>
    <w:rsid w:val="00967488"/>
    <w:rsid w:val="009676BE"/>
    <w:rsid w:val="009702B6"/>
    <w:rsid w:val="009705DF"/>
    <w:rsid w:val="0097078D"/>
    <w:rsid w:val="0097089F"/>
    <w:rsid w:val="009709BF"/>
    <w:rsid w:val="0097168D"/>
    <w:rsid w:val="00972124"/>
    <w:rsid w:val="00972442"/>
    <w:rsid w:val="009725F4"/>
    <w:rsid w:val="00972BC8"/>
    <w:rsid w:val="0097308E"/>
    <w:rsid w:val="00973669"/>
    <w:rsid w:val="00973727"/>
    <w:rsid w:val="0097445D"/>
    <w:rsid w:val="0097451A"/>
    <w:rsid w:val="00975876"/>
    <w:rsid w:val="00976DF1"/>
    <w:rsid w:val="00977C1B"/>
    <w:rsid w:val="00977D0D"/>
    <w:rsid w:val="0098003F"/>
    <w:rsid w:val="00981292"/>
    <w:rsid w:val="009821AF"/>
    <w:rsid w:val="00982A58"/>
    <w:rsid w:val="00983370"/>
    <w:rsid w:val="00983B46"/>
    <w:rsid w:val="00983FE2"/>
    <w:rsid w:val="00984301"/>
    <w:rsid w:val="009844B5"/>
    <w:rsid w:val="0098478C"/>
    <w:rsid w:val="00985234"/>
    <w:rsid w:val="009856C0"/>
    <w:rsid w:val="00985987"/>
    <w:rsid w:val="00986037"/>
    <w:rsid w:val="00986244"/>
    <w:rsid w:val="0098729C"/>
    <w:rsid w:val="00987611"/>
    <w:rsid w:val="00987BD2"/>
    <w:rsid w:val="009901EF"/>
    <w:rsid w:val="009906FC"/>
    <w:rsid w:val="0099146F"/>
    <w:rsid w:val="00991685"/>
    <w:rsid w:val="009926E2"/>
    <w:rsid w:val="00992A44"/>
    <w:rsid w:val="00992ACE"/>
    <w:rsid w:val="009934CE"/>
    <w:rsid w:val="00993705"/>
    <w:rsid w:val="00993B32"/>
    <w:rsid w:val="00993DC2"/>
    <w:rsid w:val="0099447D"/>
    <w:rsid w:val="009945C3"/>
    <w:rsid w:val="0099500B"/>
    <w:rsid w:val="00995398"/>
    <w:rsid w:val="00995441"/>
    <w:rsid w:val="00995737"/>
    <w:rsid w:val="00995D3B"/>
    <w:rsid w:val="00995E40"/>
    <w:rsid w:val="00996297"/>
    <w:rsid w:val="00996DD5"/>
    <w:rsid w:val="009973AB"/>
    <w:rsid w:val="009976D0"/>
    <w:rsid w:val="00997807"/>
    <w:rsid w:val="00997B72"/>
    <w:rsid w:val="00997FCA"/>
    <w:rsid w:val="009A02AB"/>
    <w:rsid w:val="009A0A1A"/>
    <w:rsid w:val="009A1058"/>
    <w:rsid w:val="009A15FD"/>
    <w:rsid w:val="009A16E4"/>
    <w:rsid w:val="009A221D"/>
    <w:rsid w:val="009A2965"/>
    <w:rsid w:val="009A331A"/>
    <w:rsid w:val="009A378E"/>
    <w:rsid w:val="009A41A0"/>
    <w:rsid w:val="009A4BAC"/>
    <w:rsid w:val="009A5641"/>
    <w:rsid w:val="009A58F2"/>
    <w:rsid w:val="009A62A4"/>
    <w:rsid w:val="009A6BE8"/>
    <w:rsid w:val="009A70E0"/>
    <w:rsid w:val="009A755E"/>
    <w:rsid w:val="009A76B9"/>
    <w:rsid w:val="009A7A16"/>
    <w:rsid w:val="009A7B65"/>
    <w:rsid w:val="009A7C65"/>
    <w:rsid w:val="009A7DD3"/>
    <w:rsid w:val="009B02BC"/>
    <w:rsid w:val="009B0761"/>
    <w:rsid w:val="009B0853"/>
    <w:rsid w:val="009B0B39"/>
    <w:rsid w:val="009B0EF0"/>
    <w:rsid w:val="009B122B"/>
    <w:rsid w:val="009B1384"/>
    <w:rsid w:val="009B1592"/>
    <w:rsid w:val="009B1F40"/>
    <w:rsid w:val="009B2617"/>
    <w:rsid w:val="009B2B72"/>
    <w:rsid w:val="009B3481"/>
    <w:rsid w:val="009B37A2"/>
    <w:rsid w:val="009B3D8D"/>
    <w:rsid w:val="009B4257"/>
    <w:rsid w:val="009B43F8"/>
    <w:rsid w:val="009B4FDA"/>
    <w:rsid w:val="009B50C7"/>
    <w:rsid w:val="009B5598"/>
    <w:rsid w:val="009B5A0F"/>
    <w:rsid w:val="009B5D3A"/>
    <w:rsid w:val="009B6143"/>
    <w:rsid w:val="009B6586"/>
    <w:rsid w:val="009B6C2A"/>
    <w:rsid w:val="009B739A"/>
    <w:rsid w:val="009B76C5"/>
    <w:rsid w:val="009B78C5"/>
    <w:rsid w:val="009B7EAA"/>
    <w:rsid w:val="009C0E2A"/>
    <w:rsid w:val="009C1AEB"/>
    <w:rsid w:val="009C1BA6"/>
    <w:rsid w:val="009C2B83"/>
    <w:rsid w:val="009C357B"/>
    <w:rsid w:val="009C394A"/>
    <w:rsid w:val="009C3CCF"/>
    <w:rsid w:val="009C4E7A"/>
    <w:rsid w:val="009C5632"/>
    <w:rsid w:val="009C5AE7"/>
    <w:rsid w:val="009C5D81"/>
    <w:rsid w:val="009C60CE"/>
    <w:rsid w:val="009C613A"/>
    <w:rsid w:val="009C6495"/>
    <w:rsid w:val="009C65E9"/>
    <w:rsid w:val="009C66EA"/>
    <w:rsid w:val="009C74BD"/>
    <w:rsid w:val="009C74D2"/>
    <w:rsid w:val="009C75E8"/>
    <w:rsid w:val="009C7F16"/>
    <w:rsid w:val="009D0D68"/>
    <w:rsid w:val="009D0E53"/>
    <w:rsid w:val="009D1412"/>
    <w:rsid w:val="009D2511"/>
    <w:rsid w:val="009D292D"/>
    <w:rsid w:val="009D2AD3"/>
    <w:rsid w:val="009D364B"/>
    <w:rsid w:val="009D378C"/>
    <w:rsid w:val="009D3860"/>
    <w:rsid w:val="009D3AB7"/>
    <w:rsid w:val="009D3F56"/>
    <w:rsid w:val="009D4123"/>
    <w:rsid w:val="009D44B9"/>
    <w:rsid w:val="009D4E4C"/>
    <w:rsid w:val="009D5850"/>
    <w:rsid w:val="009D58C7"/>
    <w:rsid w:val="009D67BD"/>
    <w:rsid w:val="009D70F6"/>
    <w:rsid w:val="009D72C2"/>
    <w:rsid w:val="009D7F96"/>
    <w:rsid w:val="009D7F9E"/>
    <w:rsid w:val="009E026B"/>
    <w:rsid w:val="009E0439"/>
    <w:rsid w:val="009E097D"/>
    <w:rsid w:val="009E147E"/>
    <w:rsid w:val="009E186D"/>
    <w:rsid w:val="009E2199"/>
    <w:rsid w:val="009E27F2"/>
    <w:rsid w:val="009E28A5"/>
    <w:rsid w:val="009E3512"/>
    <w:rsid w:val="009E385A"/>
    <w:rsid w:val="009E38AF"/>
    <w:rsid w:val="009E39EA"/>
    <w:rsid w:val="009E4023"/>
    <w:rsid w:val="009E40E1"/>
    <w:rsid w:val="009E470F"/>
    <w:rsid w:val="009E58E6"/>
    <w:rsid w:val="009E5C7A"/>
    <w:rsid w:val="009E693B"/>
    <w:rsid w:val="009E6C1A"/>
    <w:rsid w:val="009E7699"/>
    <w:rsid w:val="009F0D14"/>
    <w:rsid w:val="009F104E"/>
    <w:rsid w:val="009F1E58"/>
    <w:rsid w:val="009F2D7B"/>
    <w:rsid w:val="009F3208"/>
    <w:rsid w:val="009F53DD"/>
    <w:rsid w:val="009F5EEA"/>
    <w:rsid w:val="009F6292"/>
    <w:rsid w:val="009F6331"/>
    <w:rsid w:val="009F64D5"/>
    <w:rsid w:val="009F69E7"/>
    <w:rsid w:val="009F6B1E"/>
    <w:rsid w:val="009F6D6C"/>
    <w:rsid w:val="009F6E02"/>
    <w:rsid w:val="009F764E"/>
    <w:rsid w:val="009F79A2"/>
    <w:rsid w:val="00A003EF"/>
    <w:rsid w:val="00A006FE"/>
    <w:rsid w:val="00A00E1D"/>
    <w:rsid w:val="00A017B3"/>
    <w:rsid w:val="00A018D4"/>
    <w:rsid w:val="00A01C3F"/>
    <w:rsid w:val="00A02020"/>
    <w:rsid w:val="00A02FAD"/>
    <w:rsid w:val="00A032E1"/>
    <w:rsid w:val="00A03745"/>
    <w:rsid w:val="00A03EFA"/>
    <w:rsid w:val="00A05C13"/>
    <w:rsid w:val="00A06AB0"/>
    <w:rsid w:val="00A06EFB"/>
    <w:rsid w:val="00A07887"/>
    <w:rsid w:val="00A07910"/>
    <w:rsid w:val="00A10323"/>
    <w:rsid w:val="00A104F8"/>
    <w:rsid w:val="00A10548"/>
    <w:rsid w:val="00A10AC9"/>
    <w:rsid w:val="00A10BB1"/>
    <w:rsid w:val="00A11125"/>
    <w:rsid w:val="00A117F6"/>
    <w:rsid w:val="00A11932"/>
    <w:rsid w:val="00A11BD4"/>
    <w:rsid w:val="00A11CDC"/>
    <w:rsid w:val="00A12592"/>
    <w:rsid w:val="00A12797"/>
    <w:rsid w:val="00A12915"/>
    <w:rsid w:val="00A12923"/>
    <w:rsid w:val="00A12B68"/>
    <w:rsid w:val="00A12F48"/>
    <w:rsid w:val="00A134AA"/>
    <w:rsid w:val="00A13555"/>
    <w:rsid w:val="00A13E00"/>
    <w:rsid w:val="00A13F7C"/>
    <w:rsid w:val="00A148BB"/>
    <w:rsid w:val="00A14932"/>
    <w:rsid w:val="00A14A36"/>
    <w:rsid w:val="00A14AEA"/>
    <w:rsid w:val="00A14B5D"/>
    <w:rsid w:val="00A14DB4"/>
    <w:rsid w:val="00A15262"/>
    <w:rsid w:val="00A15C8A"/>
    <w:rsid w:val="00A15D41"/>
    <w:rsid w:val="00A16538"/>
    <w:rsid w:val="00A171A9"/>
    <w:rsid w:val="00A175B7"/>
    <w:rsid w:val="00A175F1"/>
    <w:rsid w:val="00A178D0"/>
    <w:rsid w:val="00A17ED1"/>
    <w:rsid w:val="00A20096"/>
    <w:rsid w:val="00A202E9"/>
    <w:rsid w:val="00A20411"/>
    <w:rsid w:val="00A20643"/>
    <w:rsid w:val="00A20CC3"/>
    <w:rsid w:val="00A224F8"/>
    <w:rsid w:val="00A225C5"/>
    <w:rsid w:val="00A22677"/>
    <w:rsid w:val="00A22761"/>
    <w:rsid w:val="00A23301"/>
    <w:rsid w:val="00A23384"/>
    <w:rsid w:val="00A23624"/>
    <w:rsid w:val="00A23741"/>
    <w:rsid w:val="00A237A4"/>
    <w:rsid w:val="00A251C4"/>
    <w:rsid w:val="00A256F6"/>
    <w:rsid w:val="00A25BE9"/>
    <w:rsid w:val="00A25F41"/>
    <w:rsid w:val="00A27325"/>
    <w:rsid w:val="00A2794A"/>
    <w:rsid w:val="00A27AD7"/>
    <w:rsid w:val="00A30602"/>
    <w:rsid w:val="00A30828"/>
    <w:rsid w:val="00A3100D"/>
    <w:rsid w:val="00A31711"/>
    <w:rsid w:val="00A31E8A"/>
    <w:rsid w:val="00A3269A"/>
    <w:rsid w:val="00A326E1"/>
    <w:rsid w:val="00A328F2"/>
    <w:rsid w:val="00A32A5E"/>
    <w:rsid w:val="00A33464"/>
    <w:rsid w:val="00A33668"/>
    <w:rsid w:val="00A338F4"/>
    <w:rsid w:val="00A33C81"/>
    <w:rsid w:val="00A34633"/>
    <w:rsid w:val="00A34F69"/>
    <w:rsid w:val="00A35007"/>
    <w:rsid w:val="00A3674D"/>
    <w:rsid w:val="00A37231"/>
    <w:rsid w:val="00A37AF1"/>
    <w:rsid w:val="00A40EE2"/>
    <w:rsid w:val="00A41EFA"/>
    <w:rsid w:val="00A429E0"/>
    <w:rsid w:val="00A42BA4"/>
    <w:rsid w:val="00A430B5"/>
    <w:rsid w:val="00A432F3"/>
    <w:rsid w:val="00A434C8"/>
    <w:rsid w:val="00A4449C"/>
    <w:rsid w:val="00A44506"/>
    <w:rsid w:val="00A447E0"/>
    <w:rsid w:val="00A44B7A"/>
    <w:rsid w:val="00A44BD9"/>
    <w:rsid w:val="00A4503C"/>
    <w:rsid w:val="00A454A2"/>
    <w:rsid w:val="00A45E9F"/>
    <w:rsid w:val="00A46274"/>
    <w:rsid w:val="00A46BF2"/>
    <w:rsid w:val="00A46DE5"/>
    <w:rsid w:val="00A47064"/>
    <w:rsid w:val="00A47134"/>
    <w:rsid w:val="00A47960"/>
    <w:rsid w:val="00A479A0"/>
    <w:rsid w:val="00A47C7A"/>
    <w:rsid w:val="00A5046C"/>
    <w:rsid w:val="00A51737"/>
    <w:rsid w:val="00A51AE0"/>
    <w:rsid w:val="00A51FF7"/>
    <w:rsid w:val="00A526BE"/>
    <w:rsid w:val="00A5296C"/>
    <w:rsid w:val="00A52ABB"/>
    <w:rsid w:val="00A52D97"/>
    <w:rsid w:val="00A533A0"/>
    <w:rsid w:val="00A540E9"/>
    <w:rsid w:val="00A5422F"/>
    <w:rsid w:val="00A54544"/>
    <w:rsid w:val="00A5495A"/>
    <w:rsid w:val="00A555E4"/>
    <w:rsid w:val="00A55DCE"/>
    <w:rsid w:val="00A5601C"/>
    <w:rsid w:val="00A561FA"/>
    <w:rsid w:val="00A5643E"/>
    <w:rsid w:val="00A564E2"/>
    <w:rsid w:val="00A56893"/>
    <w:rsid w:val="00A56F73"/>
    <w:rsid w:val="00A5723B"/>
    <w:rsid w:val="00A575D7"/>
    <w:rsid w:val="00A57F1B"/>
    <w:rsid w:val="00A6034E"/>
    <w:rsid w:val="00A60389"/>
    <w:rsid w:val="00A6073D"/>
    <w:rsid w:val="00A60743"/>
    <w:rsid w:val="00A60C3E"/>
    <w:rsid w:val="00A60DE4"/>
    <w:rsid w:val="00A619BE"/>
    <w:rsid w:val="00A62282"/>
    <w:rsid w:val="00A6295C"/>
    <w:rsid w:val="00A62987"/>
    <w:rsid w:val="00A62D75"/>
    <w:rsid w:val="00A62E72"/>
    <w:rsid w:val="00A63347"/>
    <w:rsid w:val="00A63608"/>
    <w:rsid w:val="00A63636"/>
    <w:rsid w:val="00A63D66"/>
    <w:rsid w:val="00A6458D"/>
    <w:rsid w:val="00A64677"/>
    <w:rsid w:val="00A64749"/>
    <w:rsid w:val="00A651F2"/>
    <w:rsid w:val="00A6567C"/>
    <w:rsid w:val="00A658E3"/>
    <w:rsid w:val="00A65A94"/>
    <w:rsid w:val="00A65B1B"/>
    <w:rsid w:val="00A66715"/>
    <w:rsid w:val="00A66738"/>
    <w:rsid w:val="00A66ACC"/>
    <w:rsid w:val="00A66F53"/>
    <w:rsid w:val="00A6742B"/>
    <w:rsid w:val="00A67B64"/>
    <w:rsid w:val="00A70254"/>
    <w:rsid w:val="00A70277"/>
    <w:rsid w:val="00A70E62"/>
    <w:rsid w:val="00A7106F"/>
    <w:rsid w:val="00A7143A"/>
    <w:rsid w:val="00A71F5F"/>
    <w:rsid w:val="00A725EA"/>
    <w:rsid w:val="00A72CD9"/>
    <w:rsid w:val="00A73054"/>
    <w:rsid w:val="00A73454"/>
    <w:rsid w:val="00A7412C"/>
    <w:rsid w:val="00A741CC"/>
    <w:rsid w:val="00A74AAC"/>
    <w:rsid w:val="00A74CC1"/>
    <w:rsid w:val="00A7519F"/>
    <w:rsid w:val="00A76EDE"/>
    <w:rsid w:val="00A770C1"/>
    <w:rsid w:val="00A770F6"/>
    <w:rsid w:val="00A77AB3"/>
    <w:rsid w:val="00A77DF9"/>
    <w:rsid w:val="00A80541"/>
    <w:rsid w:val="00A80FEB"/>
    <w:rsid w:val="00A81191"/>
    <w:rsid w:val="00A813AC"/>
    <w:rsid w:val="00A813DA"/>
    <w:rsid w:val="00A814DE"/>
    <w:rsid w:val="00A81C51"/>
    <w:rsid w:val="00A8257D"/>
    <w:rsid w:val="00A8311A"/>
    <w:rsid w:val="00A8322F"/>
    <w:rsid w:val="00A83C7C"/>
    <w:rsid w:val="00A843B7"/>
    <w:rsid w:val="00A84871"/>
    <w:rsid w:val="00A84FF8"/>
    <w:rsid w:val="00A850D2"/>
    <w:rsid w:val="00A85449"/>
    <w:rsid w:val="00A86055"/>
    <w:rsid w:val="00A862C3"/>
    <w:rsid w:val="00A86385"/>
    <w:rsid w:val="00A8656A"/>
    <w:rsid w:val="00A869E9"/>
    <w:rsid w:val="00A870D1"/>
    <w:rsid w:val="00A8716C"/>
    <w:rsid w:val="00A875D2"/>
    <w:rsid w:val="00A87820"/>
    <w:rsid w:val="00A87A9D"/>
    <w:rsid w:val="00A87B90"/>
    <w:rsid w:val="00A90581"/>
    <w:rsid w:val="00A90691"/>
    <w:rsid w:val="00A90921"/>
    <w:rsid w:val="00A90E71"/>
    <w:rsid w:val="00A911BE"/>
    <w:rsid w:val="00A91457"/>
    <w:rsid w:val="00A91AFF"/>
    <w:rsid w:val="00A92650"/>
    <w:rsid w:val="00A928D3"/>
    <w:rsid w:val="00A92AAD"/>
    <w:rsid w:val="00A92B80"/>
    <w:rsid w:val="00A93979"/>
    <w:rsid w:val="00A94276"/>
    <w:rsid w:val="00A9475A"/>
    <w:rsid w:val="00A947D9"/>
    <w:rsid w:val="00A94C55"/>
    <w:rsid w:val="00A95280"/>
    <w:rsid w:val="00A95316"/>
    <w:rsid w:val="00A95CF9"/>
    <w:rsid w:val="00A96962"/>
    <w:rsid w:val="00A96A21"/>
    <w:rsid w:val="00A97229"/>
    <w:rsid w:val="00A97899"/>
    <w:rsid w:val="00A97A84"/>
    <w:rsid w:val="00AA010F"/>
    <w:rsid w:val="00AA04BD"/>
    <w:rsid w:val="00AA0A55"/>
    <w:rsid w:val="00AA0D04"/>
    <w:rsid w:val="00AA0DB3"/>
    <w:rsid w:val="00AA0F28"/>
    <w:rsid w:val="00AA1152"/>
    <w:rsid w:val="00AA1D7A"/>
    <w:rsid w:val="00AA23BD"/>
    <w:rsid w:val="00AA265C"/>
    <w:rsid w:val="00AA2BB8"/>
    <w:rsid w:val="00AA3109"/>
    <w:rsid w:val="00AA32F8"/>
    <w:rsid w:val="00AA3620"/>
    <w:rsid w:val="00AA3787"/>
    <w:rsid w:val="00AA378C"/>
    <w:rsid w:val="00AA3A28"/>
    <w:rsid w:val="00AA3A41"/>
    <w:rsid w:val="00AA46D2"/>
    <w:rsid w:val="00AA4DAF"/>
    <w:rsid w:val="00AA4F85"/>
    <w:rsid w:val="00AA52A3"/>
    <w:rsid w:val="00AA55EE"/>
    <w:rsid w:val="00AA588F"/>
    <w:rsid w:val="00AA625D"/>
    <w:rsid w:val="00AA66B9"/>
    <w:rsid w:val="00AA68A8"/>
    <w:rsid w:val="00AA6D22"/>
    <w:rsid w:val="00AA6D68"/>
    <w:rsid w:val="00AA76F1"/>
    <w:rsid w:val="00AB001D"/>
    <w:rsid w:val="00AB08B1"/>
    <w:rsid w:val="00AB0D6A"/>
    <w:rsid w:val="00AB11D3"/>
    <w:rsid w:val="00AB11F1"/>
    <w:rsid w:val="00AB200C"/>
    <w:rsid w:val="00AB20DA"/>
    <w:rsid w:val="00AB260E"/>
    <w:rsid w:val="00AB2A39"/>
    <w:rsid w:val="00AB2AE1"/>
    <w:rsid w:val="00AB38B4"/>
    <w:rsid w:val="00AB39FB"/>
    <w:rsid w:val="00AB3E77"/>
    <w:rsid w:val="00AB484C"/>
    <w:rsid w:val="00AB4BBB"/>
    <w:rsid w:val="00AB4C33"/>
    <w:rsid w:val="00AB4D3F"/>
    <w:rsid w:val="00AB4F35"/>
    <w:rsid w:val="00AB4FE1"/>
    <w:rsid w:val="00AB50AA"/>
    <w:rsid w:val="00AB527A"/>
    <w:rsid w:val="00AB559A"/>
    <w:rsid w:val="00AB60CB"/>
    <w:rsid w:val="00AB61CB"/>
    <w:rsid w:val="00AB6240"/>
    <w:rsid w:val="00AB6873"/>
    <w:rsid w:val="00AB7284"/>
    <w:rsid w:val="00AB7E25"/>
    <w:rsid w:val="00AC0487"/>
    <w:rsid w:val="00AC0646"/>
    <w:rsid w:val="00AC08FB"/>
    <w:rsid w:val="00AC10EE"/>
    <w:rsid w:val="00AC1418"/>
    <w:rsid w:val="00AC161E"/>
    <w:rsid w:val="00AC165B"/>
    <w:rsid w:val="00AC185D"/>
    <w:rsid w:val="00AC2111"/>
    <w:rsid w:val="00AC23D5"/>
    <w:rsid w:val="00AC3342"/>
    <w:rsid w:val="00AC3EF2"/>
    <w:rsid w:val="00AC4C6C"/>
    <w:rsid w:val="00AC53A7"/>
    <w:rsid w:val="00AC5AA5"/>
    <w:rsid w:val="00AC64F8"/>
    <w:rsid w:val="00AC68F1"/>
    <w:rsid w:val="00AC79E3"/>
    <w:rsid w:val="00AC7BB6"/>
    <w:rsid w:val="00AC7DF9"/>
    <w:rsid w:val="00AD0017"/>
    <w:rsid w:val="00AD07C2"/>
    <w:rsid w:val="00AD0841"/>
    <w:rsid w:val="00AD0E97"/>
    <w:rsid w:val="00AD16DC"/>
    <w:rsid w:val="00AD1B29"/>
    <w:rsid w:val="00AD1F69"/>
    <w:rsid w:val="00AD2361"/>
    <w:rsid w:val="00AD282D"/>
    <w:rsid w:val="00AD2C8C"/>
    <w:rsid w:val="00AD2F85"/>
    <w:rsid w:val="00AD3ABC"/>
    <w:rsid w:val="00AD3C71"/>
    <w:rsid w:val="00AD4883"/>
    <w:rsid w:val="00AD4B90"/>
    <w:rsid w:val="00AD5583"/>
    <w:rsid w:val="00AD631B"/>
    <w:rsid w:val="00AD6891"/>
    <w:rsid w:val="00AD6DA0"/>
    <w:rsid w:val="00AD71C0"/>
    <w:rsid w:val="00AD7470"/>
    <w:rsid w:val="00AD75EE"/>
    <w:rsid w:val="00AE01D5"/>
    <w:rsid w:val="00AE06AA"/>
    <w:rsid w:val="00AE0C10"/>
    <w:rsid w:val="00AE129E"/>
    <w:rsid w:val="00AE16C4"/>
    <w:rsid w:val="00AE1917"/>
    <w:rsid w:val="00AE1972"/>
    <w:rsid w:val="00AE1DB6"/>
    <w:rsid w:val="00AE232C"/>
    <w:rsid w:val="00AE237C"/>
    <w:rsid w:val="00AE25E2"/>
    <w:rsid w:val="00AE2880"/>
    <w:rsid w:val="00AE3220"/>
    <w:rsid w:val="00AE3B11"/>
    <w:rsid w:val="00AE46E7"/>
    <w:rsid w:val="00AE4731"/>
    <w:rsid w:val="00AE4DAB"/>
    <w:rsid w:val="00AE5A55"/>
    <w:rsid w:val="00AE621D"/>
    <w:rsid w:val="00AE6466"/>
    <w:rsid w:val="00AE64F4"/>
    <w:rsid w:val="00AE6A81"/>
    <w:rsid w:val="00AE6D30"/>
    <w:rsid w:val="00AE6D3B"/>
    <w:rsid w:val="00AE712C"/>
    <w:rsid w:val="00AE72CC"/>
    <w:rsid w:val="00AE77A9"/>
    <w:rsid w:val="00AE7F29"/>
    <w:rsid w:val="00AE7FC9"/>
    <w:rsid w:val="00AF101A"/>
    <w:rsid w:val="00AF12E4"/>
    <w:rsid w:val="00AF1BC7"/>
    <w:rsid w:val="00AF1C1C"/>
    <w:rsid w:val="00AF1F7D"/>
    <w:rsid w:val="00AF205E"/>
    <w:rsid w:val="00AF230A"/>
    <w:rsid w:val="00AF29CA"/>
    <w:rsid w:val="00AF2BDA"/>
    <w:rsid w:val="00AF30E8"/>
    <w:rsid w:val="00AF30F0"/>
    <w:rsid w:val="00AF3687"/>
    <w:rsid w:val="00AF385B"/>
    <w:rsid w:val="00AF550B"/>
    <w:rsid w:val="00AF5649"/>
    <w:rsid w:val="00AF574F"/>
    <w:rsid w:val="00AF5AFB"/>
    <w:rsid w:val="00AF6970"/>
    <w:rsid w:val="00AF7190"/>
    <w:rsid w:val="00AF7AD6"/>
    <w:rsid w:val="00B00A11"/>
    <w:rsid w:val="00B00ED0"/>
    <w:rsid w:val="00B0123F"/>
    <w:rsid w:val="00B01978"/>
    <w:rsid w:val="00B01B15"/>
    <w:rsid w:val="00B01BA4"/>
    <w:rsid w:val="00B02670"/>
    <w:rsid w:val="00B02904"/>
    <w:rsid w:val="00B02B95"/>
    <w:rsid w:val="00B02C5F"/>
    <w:rsid w:val="00B02FC5"/>
    <w:rsid w:val="00B032DE"/>
    <w:rsid w:val="00B03D4F"/>
    <w:rsid w:val="00B03F1D"/>
    <w:rsid w:val="00B042E6"/>
    <w:rsid w:val="00B049D2"/>
    <w:rsid w:val="00B062C6"/>
    <w:rsid w:val="00B06902"/>
    <w:rsid w:val="00B06A84"/>
    <w:rsid w:val="00B06C3E"/>
    <w:rsid w:val="00B07423"/>
    <w:rsid w:val="00B07427"/>
    <w:rsid w:val="00B0742B"/>
    <w:rsid w:val="00B07818"/>
    <w:rsid w:val="00B07CBA"/>
    <w:rsid w:val="00B07E06"/>
    <w:rsid w:val="00B10D41"/>
    <w:rsid w:val="00B10E2D"/>
    <w:rsid w:val="00B11011"/>
    <w:rsid w:val="00B12152"/>
    <w:rsid w:val="00B1280F"/>
    <w:rsid w:val="00B128EE"/>
    <w:rsid w:val="00B139EE"/>
    <w:rsid w:val="00B14008"/>
    <w:rsid w:val="00B14519"/>
    <w:rsid w:val="00B14746"/>
    <w:rsid w:val="00B1488E"/>
    <w:rsid w:val="00B14E9C"/>
    <w:rsid w:val="00B14FA1"/>
    <w:rsid w:val="00B15367"/>
    <w:rsid w:val="00B15707"/>
    <w:rsid w:val="00B15FA1"/>
    <w:rsid w:val="00B16353"/>
    <w:rsid w:val="00B16422"/>
    <w:rsid w:val="00B1652C"/>
    <w:rsid w:val="00B16562"/>
    <w:rsid w:val="00B16A26"/>
    <w:rsid w:val="00B17288"/>
    <w:rsid w:val="00B20541"/>
    <w:rsid w:val="00B20856"/>
    <w:rsid w:val="00B20988"/>
    <w:rsid w:val="00B20D5E"/>
    <w:rsid w:val="00B21404"/>
    <w:rsid w:val="00B21923"/>
    <w:rsid w:val="00B24034"/>
    <w:rsid w:val="00B2403F"/>
    <w:rsid w:val="00B240EA"/>
    <w:rsid w:val="00B2484B"/>
    <w:rsid w:val="00B2497F"/>
    <w:rsid w:val="00B2510D"/>
    <w:rsid w:val="00B25A9D"/>
    <w:rsid w:val="00B26417"/>
    <w:rsid w:val="00B271C0"/>
    <w:rsid w:val="00B27947"/>
    <w:rsid w:val="00B302AC"/>
    <w:rsid w:val="00B30403"/>
    <w:rsid w:val="00B30BEC"/>
    <w:rsid w:val="00B3121C"/>
    <w:rsid w:val="00B315F0"/>
    <w:rsid w:val="00B31A25"/>
    <w:rsid w:val="00B31BA1"/>
    <w:rsid w:val="00B32291"/>
    <w:rsid w:val="00B3261B"/>
    <w:rsid w:val="00B32CC7"/>
    <w:rsid w:val="00B336CD"/>
    <w:rsid w:val="00B33BA6"/>
    <w:rsid w:val="00B3459E"/>
    <w:rsid w:val="00B3462E"/>
    <w:rsid w:val="00B34CD5"/>
    <w:rsid w:val="00B34D52"/>
    <w:rsid w:val="00B34EE6"/>
    <w:rsid w:val="00B35FEC"/>
    <w:rsid w:val="00B37700"/>
    <w:rsid w:val="00B379E5"/>
    <w:rsid w:val="00B37C74"/>
    <w:rsid w:val="00B37FB3"/>
    <w:rsid w:val="00B408EE"/>
    <w:rsid w:val="00B40D82"/>
    <w:rsid w:val="00B40DE1"/>
    <w:rsid w:val="00B41283"/>
    <w:rsid w:val="00B41EFC"/>
    <w:rsid w:val="00B42223"/>
    <w:rsid w:val="00B4298B"/>
    <w:rsid w:val="00B429D3"/>
    <w:rsid w:val="00B42C5F"/>
    <w:rsid w:val="00B42E51"/>
    <w:rsid w:val="00B432E8"/>
    <w:rsid w:val="00B43785"/>
    <w:rsid w:val="00B43D31"/>
    <w:rsid w:val="00B446FF"/>
    <w:rsid w:val="00B45AFC"/>
    <w:rsid w:val="00B45B73"/>
    <w:rsid w:val="00B45F00"/>
    <w:rsid w:val="00B45FB1"/>
    <w:rsid w:val="00B461E1"/>
    <w:rsid w:val="00B46259"/>
    <w:rsid w:val="00B46857"/>
    <w:rsid w:val="00B47068"/>
    <w:rsid w:val="00B476A3"/>
    <w:rsid w:val="00B47D91"/>
    <w:rsid w:val="00B5018E"/>
    <w:rsid w:val="00B50241"/>
    <w:rsid w:val="00B504A8"/>
    <w:rsid w:val="00B505CD"/>
    <w:rsid w:val="00B506A0"/>
    <w:rsid w:val="00B50C91"/>
    <w:rsid w:val="00B50F8A"/>
    <w:rsid w:val="00B51029"/>
    <w:rsid w:val="00B517B0"/>
    <w:rsid w:val="00B51C5C"/>
    <w:rsid w:val="00B51E62"/>
    <w:rsid w:val="00B5226C"/>
    <w:rsid w:val="00B5246B"/>
    <w:rsid w:val="00B5350E"/>
    <w:rsid w:val="00B5360D"/>
    <w:rsid w:val="00B54174"/>
    <w:rsid w:val="00B54491"/>
    <w:rsid w:val="00B54904"/>
    <w:rsid w:val="00B55C2D"/>
    <w:rsid w:val="00B55FBB"/>
    <w:rsid w:val="00B56D0B"/>
    <w:rsid w:val="00B5712D"/>
    <w:rsid w:val="00B5766A"/>
    <w:rsid w:val="00B57976"/>
    <w:rsid w:val="00B57DC7"/>
    <w:rsid w:val="00B60990"/>
    <w:rsid w:val="00B61941"/>
    <w:rsid w:val="00B61DC4"/>
    <w:rsid w:val="00B632B8"/>
    <w:rsid w:val="00B63617"/>
    <w:rsid w:val="00B63772"/>
    <w:rsid w:val="00B6413B"/>
    <w:rsid w:val="00B645B3"/>
    <w:rsid w:val="00B648A2"/>
    <w:rsid w:val="00B654C1"/>
    <w:rsid w:val="00B659D3"/>
    <w:rsid w:val="00B65C2C"/>
    <w:rsid w:val="00B65F74"/>
    <w:rsid w:val="00B67038"/>
    <w:rsid w:val="00B670C4"/>
    <w:rsid w:val="00B67F4C"/>
    <w:rsid w:val="00B67FCE"/>
    <w:rsid w:val="00B67FFE"/>
    <w:rsid w:val="00B703F0"/>
    <w:rsid w:val="00B7068F"/>
    <w:rsid w:val="00B70C7F"/>
    <w:rsid w:val="00B70F12"/>
    <w:rsid w:val="00B70FBF"/>
    <w:rsid w:val="00B71866"/>
    <w:rsid w:val="00B71B11"/>
    <w:rsid w:val="00B7206B"/>
    <w:rsid w:val="00B725C2"/>
    <w:rsid w:val="00B726F6"/>
    <w:rsid w:val="00B728FF"/>
    <w:rsid w:val="00B72A16"/>
    <w:rsid w:val="00B72CF0"/>
    <w:rsid w:val="00B7324D"/>
    <w:rsid w:val="00B73485"/>
    <w:rsid w:val="00B734CF"/>
    <w:rsid w:val="00B74D9F"/>
    <w:rsid w:val="00B756CC"/>
    <w:rsid w:val="00B75CC1"/>
    <w:rsid w:val="00B7653B"/>
    <w:rsid w:val="00B7679B"/>
    <w:rsid w:val="00B76E91"/>
    <w:rsid w:val="00B771D7"/>
    <w:rsid w:val="00B77661"/>
    <w:rsid w:val="00B801B2"/>
    <w:rsid w:val="00B8225C"/>
    <w:rsid w:val="00B8277D"/>
    <w:rsid w:val="00B82897"/>
    <w:rsid w:val="00B82D3F"/>
    <w:rsid w:val="00B82E67"/>
    <w:rsid w:val="00B831A9"/>
    <w:rsid w:val="00B83857"/>
    <w:rsid w:val="00B84348"/>
    <w:rsid w:val="00B847D9"/>
    <w:rsid w:val="00B84B06"/>
    <w:rsid w:val="00B85251"/>
    <w:rsid w:val="00B8529D"/>
    <w:rsid w:val="00B853CC"/>
    <w:rsid w:val="00B8653C"/>
    <w:rsid w:val="00B866EE"/>
    <w:rsid w:val="00B867BE"/>
    <w:rsid w:val="00B86E84"/>
    <w:rsid w:val="00B86E85"/>
    <w:rsid w:val="00B8751C"/>
    <w:rsid w:val="00B87F36"/>
    <w:rsid w:val="00B9048A"/>
    <w:rsid w:val="00B90835"/>
    <w:rsid w:val="00B90F18"/>
    <w:rsid w:val="00B912F2"/>
    <w:rsid w:val="00B917BF"/>
    <w:rsid w:val="00B91C11"/>
    <w:rsid w:val="00B91D2A"/>
    <w:rsid w:val="00B9250E"/>
    <w:rsid w:val="00B92C38"/>
    <w:rsid w:val="00B930FA"/>
    <w:rsid w:val="00B94815"/>
    <w:rsid w:val="00B954DC"/>
    <w:rsid w:val="00B9739D"/>
    <w:rsid w:val="00B97669"/>
    <w:rsid w:val="00BA0429"/>
    <w:rsid w:val="00BA04C0"/>
    <w:rsid w:val="00BA0A2B"/>
    <w:rsid w:val="00BA0C99"/>
    <w:rsid w:val="00BA0CEE"/>
    <w:rsid w:val="00BA0CFF"/>
    <w:rsid w:val="00BA1C32"/>
    <w:rsid w:val="00BA1C69"/>
    <w:rsid w:val="00BA2104"/>
    <w:rsid w:val="00BA24D5"/>
    <w:rsid w:val="00BA25C6"/>
    <w:rsid w:val="00BA27B0"/>
    <w:rsid w:val="00BA2D86"/>
    <w:rsid w:val="00BA3DBE"/>
    <w:rsid w:val="00BA4780"/>
    <w:rsid w:val="00BA480A"/>
    <w:rsid w:val="00BA4863"/>
    <w:rsid w:val="00BA5482"/>
    <w:rsid w:val="00BA55AE"/>
    <w:rsid w:val="00BA56C8"/>
    <w:rsid w:val="00BA576B"/>
    <w:rsid w:val="00BA57AA"/>
    <w:rsid w:val="00BA62DD"/>
    <w:rsid w:val="00BA663F"/>
    <w:rsid w:val="00BA66ED"/>
    <w:rsid w:val="00BA687C"/>
    <w:rsid w:val="00BA709E"/>
    <w:rsid w:val="00BA70F9"/>
    <w:rsid w:val="00BB0038"/>
    <w:rsid w:val="00BB05C2"/>
    <w:rsid w:val="00BB06EF"/>
    <w:rsid w:val="00BB07A1"/>
    <w:rsid w:val="00BB08CD"/>
    <w:rsid w:val="00BB0D13"/>
    <w:rsid w:val="00BB2745"/>
    <w:rsid w:val="00BB32F3"/>
    <w:rsid w:val="00BB377B"/>
    <w:rsid w:val="00BB3D2D"/>
    <w:rsid w:val="00BB3E12"/>
    <w:rsid w:val="00BB48E9"/>
    <w:rsid w:val="00BB4BB2"/>
    <w:rsid w:val="00BB4FD7"/>
    <w:rsid w:val="00BB504D"/>
    <w:rsid w:val="00BB56EB"/>
    <w:rsid w:val="00BB57F4"/>
    <w:rsid w:val="00BB5945"/>
    <w:rsid w:val="00BB6859"/>
    <w:rsid w:val="00BB6ABD"/>
    <w:rsid w:val="00BB76D3"/>
    <w:rsid w:val="00BB79DA"/>
    <w:rsid w:val="00BB7BC9"/>
    <w:rsid w:val="00BB7FC0"/>
    <w:rsid w:val="00BC060A"/>
    <w:rsid w:val="00BC0656"/>
    <w:rsid w:val="00BC0C42"/>
    <w:rsid w:val="00BC110E"/>
    <w:rsid w:val="00BC114A"/>
    <w:rsid w:val="00BC1CD9"/>
    <w:rsid w:val="00BC1EF1"/>
    <w:rsid w:val="00BC2850"/>
    <w:rsid w:val="00BC3AE3"/>
    <w:rsid w:val="00BC4159"/>
    <w:rsid w:val="00BC4655"/>
    <w:rsid w:val="00BC469C"/>
    <w:rsid w:val="00BC545C"/>
    <w:rsid w:val="00BC56ED"/>
    <w:rsid w:val="00BC5CA0"/>
    <w:rsid w:val="00BC62E7"/>
    <w:rsid w:val="00BC65B2"/>
    <w:rsid w:val="00BC6811"/>
    <w:rsid w:val="00BC682D"/>
    <w:rsid w:val="00BC6FE3"/>
    <w:rsid w:val="00BC727A"/>
    <w:rsid w:val="00BC72AD"/>
    <w:rsid w:val="00BC7C04"/>
    <w:rsid w:val="00BD0303"/>
    <w:rsid w:val="00BD0401"/>
    <w:rsid w:val="00BD08ED"/>
    <w:rsid w:val="00BD0977"/>
    <w:rsid w:val="00BD181F"/>
    <w:rsid w:val="00BD18C1"/>
    <w:rsid w:val="00BD1E3E"/>
    <w:rsid w:val="00BD1F7F"/>
    <w:rsid w:val="00BD26DC"/>
    <w:rsid w:val="00BD2861"/>
    <w:rsid w:val="00BD2E91"/>
    <w:rsid w:val="00BD32FB"/>
    <w:rsid w:val="00BD3654"/>
    <w:rsid w:val="00BD399A"/>
    <w:rsid w:val="00BD39CA"/>
    <w:rsid w:val="00BD39E7"/>
    <w:rsid w:val="00BD3B5B"/>
    <w:rsid w:val="00BD4FA2"/>
    <w:rsid w:val="00BD516D"/>
    <w:rsid w:val="00BD528E"/>
    <w:rsid w:val="00BD5633"/>
    <w:rsid w:val="00BD6926"/>
    <w:rsid w:val="00BD712D"/>
    <w:rsid w:val="00BD7229"/>
    <w:rsid w:val="00BD7718"/>
    <w:rsid w:val="00BE002A"/>
    <w:rsid w:val="00BE00F4"/>
    <w:rsid w:val="00BE028C"/>
    <w:rsid w:val="00BE0EEF"/>
    <w:rsid w:val="00BE1439"/>
    <w:rsid w:val="00BE2255"/>
    <w:rsid w:val="00BE22A7"/>
    <w:rsid w:val="00BE23B1"/>
    <w:rsid w:val="00BE2F38"/>
    <w:rsid w:val="00BE3411"/>
    <w:rsid w:val="00BE38AA"/>
    <w:rsid w:val="00BE3901"/>
    <w:rsid w:val="00BE4067"/>
    <w:rsid w:val="00BE4D0D"/>
    <w:rsid w:val="00BE4D98"/>
    <w:rsid w:val="00BE57DD"/>
    <w:rsid w:val="00BE591B"/>
    <w:rsid w:val="00BE7103"/>
    <w:rsid w:val="00BE77D8"/>
    <w:rsid w:val="00BE7AF0"/>
    <w:rsid w:val="00BE7D2E"/>
    <w:rsid w:val="00BF006D"/>
    <w:rsid w:val="00BF04FB"/>
    <w:rsid w:val="00BF15D1"/>
    <w:rsid w:val="00BF1740"/>
    <w:rsid w:val="00BF1CCA"/>
    <w:rsid w:val="00BF232E"/>
    <w:rsid w:val="00BF2D9E"/>
    <w:rsid w:val="00BF2EE2"/>
    <w:rsid w:val="00BF313B"/>
    <w:rsid w:val="00BF340D"/>
    <w:rsid w:val="00BF3511"/>
    <w:rsid w:val="00BF3AC6"/>
    <w:rsid w:val="00BF3FFA"/>
    <w:rsid w:val="00BF45F7"/>
    <w:rsid w:val="00BF4690"/>
    <w:rsid w:val="00BF4699"/>
    <w:rsid w:val="00BF51E8"/>
    <w:rsid w:val="00BF5D5E"/>
    <w:rsid w:val="00BF5EAB"/>
    <w:rsid w:val="00BF661F"/>
    <w:rsid w:val="00BF6CBD"/>
    <w:rsid w:val="00BF7575"/>
    <w:rsid w:val="00C0025D"/>
    <w:rsid w:val="00C00BAC"/>
    <w:rsid w:val="00C01339"/>
    <w:rsid w:val="00C0191E"/>
    <w:rsid w:val="00C01C38"/>
    <w:rsid w:val="00C01DEB"/>
    <w:rsid w:val="00C01F99"/>
    <w:rsid w:val="00C02480"/>
    <w:rsid w:val="00C02692"/>
    <w:rsid w:val="00C029A3"/>
    <w:rsid w:val="00C02FF5"/>
    <w:rsid w:val="00C0340C"/>
    <w:rsid w:val="00C03650"/>
    <w:rsid w:val="00C03CB4"/>
    <w:rsid w:val="00C04118"/>
    <w:rsid w:val="00C041AB"/>
    <w:rsid w:val="00C04582"/>
    <w:rsid w:val="00C048FB"/>
    <w:rsid w:val="00C05F06"/>
    <w:rsid w:val="00C05FF0"/>
    <w:rsid w:val="00C069CB"/>
    <w:rsid w:val="00C06B8F"/>
    <w:rsid w:val="00C06D5A"/>
    <w:rsid w:val="00C071A4"/>
    <w:rsid w:val="00C07414"/>
    <w:rsid w:val="00C0787E"/>
    <w:rsid w:val="00C07BAA"/>
    <w:rsid w:val="00C10675"/>
    <w:rsid w:val="00C10980"/>
    <w:rsid w:val="00C10A6D"/>
    <w:rsid w:val="00C11A57"/>
    <w:rsid w:val="00C11E87"/>
    <w:rsid w:val="00C12079"/>
    <w:rsid w:val="00C12403"/>
    <w:rsid w:val="00C1263A"/>
    <w:rsid w:val="00C12AD6"/>
    <w:rsid w:val="00C12B69"/>
    <w:rsid w:val="00C13225"/>
    <w:rsid w:val="00C133FC"/>
    <w:rsid w:val="00C136D3"/>
    <w:rsid w:val="00C13A4D"/>
    <w:rsid w:val="00C13FB5"/>
    <w:rsid w:val="00C1411B"/>
    <w:rsid w:val="00C14200"/>
    <w:rsid w:val="00C144E3"/>
    <w:rsid w:val="00C144F3"/>
    <w:rsid w:val="00C146B3"/>
    <w:rsid w:val="00C149D9"/>
    <w:rsid w:val="00C14D48"/>
    <w:rsid w:val="00C15355"/>
    <w:rsid w:val="00C16040"/>
    <w:rsid w:val="00C163A8"/>
    <w:rsid w:val="00C1733F"/>
    <w:rsid w:val="00C17A08"/>
    <w:rsid w:val="00C17A3B"/>
    <w:rsid w:val="00C17DB1"/>
    <w:rsid w:val="00C203BC"/>
    <w:rsid w:val="00C20C52"/>
    <w:rsid w:val="00C20F76"/>
    <w:rsid w:val="00C21BFD"/>
    <w:rsid w:val="00C227BD"/>
    <w:rsid w:val="00C22B92"/>
    <w:rsid w:val="00C2395D"/>
    <w:rsid w:val="00C239D6"/>
    <w:rsid w:val="00C246CA"/>
    <w:rsid w:val="00C24A43"/>
    <w:rsid w:val="00C24E83"/>
    <w:rsid w:val="00C2539C"/>
    <w:rsid w:val="00C25623"/>
    <w:rsid w:val="00C259F9"/>
    <w:rsid w:val="00C25A87"/>
    <w:rsid w:val="00C25BF2"/>
    <w:rsid w:val="00C25D8B"/>
    <w:rsid w:val="00C25EE1"/>
    <w:rsid w:val="00C2635F"/>
    <w:rsid w:val="00C2729D"/>
    <w:rsid w:val="00C273B0"/>
    <w:rsid w:val="00C278DD"/>
    <w:rsid w:val="00C27EAE"/>
    <w:rsid w:val="00C27F80"/>
    <w:rsid w:val="00C300B2"/>
    <w:rsid w:val="00C317C5"/>
    <w:rsid w:val="00C3192D"/>
    <w:rsid w:val="00C31AE4"/>
    <w:rsid w:val="00C31FA0"/>
    <w:rsid w:val="00C325A5"/>
    <w:rsid w:val="00C33434"/>
    <w:rsid w:val="00C33ED6"/>
    <w:rsid w:val="00C3418C"/>
    <w:rsid w:val="00C346FC"/>
    <w:rsid w:val="00C34B5F"/>
    <w:rsid w:val="00C34C0E"/>
    <w:rsid w:val="00C34F6D"/>
    <w:rsid w:val="00C3520A"/>
    <w:rsid w:val="00C35527"/>
    <w:rsid w:val="00C35777"/>
    <w:rsid w:val="00C35EDD"/>
    <w:rsid w:val="00C36045"/>
    <w:rsid w:val="00C362C0"/>
    <w:rsid w:val="00C36523"/>
    <w:rsid w:val="00C36625"/>
    <w:rsid w:val="00C36C23"/>
    <w:rsid w:val="00C371F7"/>
    <w:rsid w:val="00C37CAE"/>
    <w:rsid w:val="00C408F8"/>
    <w:rsid w:val="00C40B77"/>
    <w:rsid w:val="00C40E4D"/>
    <w:rsid w:val="00C42020"/>
    <w:rsid w:val="00C426A6"/>
    <w:rsid w:val="00C42944"/>
    <w:rsid w:val="00C429D7"/>
    <w:rsid w:val="00C42ACB"/>
    <w:rsid w:val="00C43AB2"/>
    <w:rsid w:val="00C43AD8"/>
    <w:rsid w:val="00C43EA6"/>
    <w:rsid w:val="00C445F6"/>
    <w:rsid w:val="00C44A80"/>
    <w:rsid w:val="00C44DA9"/>
    <w:rsid w:val="00C44DF1"/>
    <w:rsid w:val="00C45510"/>
    <w:rsid w:val="00C46072"/>
    <w:rsid w:val="00C460B8"/>
    <w:rsid w:val="00C469A5"/>
    <w:rsid w:val="00C470E8"/>
    <w:rsid w:val="00C47BD1"/>
    <w:rsid w:val="00C47E1D"/>
    <w:rsid w:val="00C50290"/>
    <w:rsid w:val="00C50978"/>
    <w:rsid w:val="00C516D2"/>
    <w:rsid w:val="00C519FB"/>
    <w:rsid w:val="00C51C7C"/>
    <w:rsid w:val="00C51F60"/>
    <w:rsid w:val="00C5316F"/>
    <w:rsid w:val="00C5413F"/>
    <w:rsid w:val="00C55A80"/>
    <w:rsid w:val="00C55B98"/>
    <w:rsid w:val="00C56D79"/>
    <w:rsid w:val="00C56E77"/>
    <w:rsid w:val="00C56EE8"/>
    <w:rsid w:val="00C5703A"/>
    <w:rsid w:val="00C570AA"/>
    <w:rsid w:val="00C570D2"/>
    <w:rsid w:val="00C57490"/>
    <w:rsid w:val="00C5757B"/>
    <w:rsid w:val="00C57696"/>
    <w:rsid w:val="00C579FF"/>
    <w:rsid w:val="00C613F4"/>
    <w:rsid w:val="00C615CF"/>
    <w:rsid w:val="00C61704"/>
    <w:rsid w:val="00C61B83"/>
    <w:rsid w:val="00C61C2E"/>
    <w:rsid w:val="00C62665"/>
    <w:rsid w:val="00C62A09"/>
    <w:rsid w:val="00C62E1E"/>
    <w:rsid w:val="00C63075"/>
    <w:rsid w:val="00C644F5"/>
    <w:rsid w:val="00C65512"/>
    <w:rsid w:val="00C65D57"/>
    <w:rsid w:val="00C66181"/>
    <w:rsid w:val="00C663C3"/>
    <w:rsid w:val="00C7010E"/>
    <w:rsid w:val="00C701BC"/>
    <w:rsid w:val="00C70716"/>
    <w:rsid w:val="00C71446"/>
    <w:rsid w:val="00C71BD8"/>
    <w:rsid w:val="00C71F0B"/>
    <w:rsid w:val="00C72024"/>
    <w:rsid w:val="00C723F9"/>
    <w:rsid w:val="00C72C4A"/>
    <w:rsid w:val="00C73A67"/>
    <w:rsid w:val="00C73A6F"/>
    <w:rsid w:val="00C73AC1"/>
    <w:rsid w:val="00C74568"/>
    <w:rsid w:val="00C74691"/>
    <w:rsid w:val="00C748B0"/>
    <w:rsid w:val="00C74928"/>
    <w:rsid w:val="00C74ADE"/>
    <w:rsid w:val="00C74DA6"/>
    <w:rsid w:val="00C74E3D"/>
    <w:rsid w:val="00C74EEA"/>
    <w:rsid w:val="00C75236"/>
    <w:rsid w:val="00C75449"/>
    <w:rsid w:val="00C75C3F"/>
    <w:rsid w:val="00C75DB4"/>
    <w:rsid w:val="00C766CC"/>
    <w:rsid w:val="00C76811"/>
    <w:rsid w:val="00C77356"/>
    <w:rsid w:val="00C773D6"/>
    <w:rsid w:val="00C773DB"/>
    <w:rsid w:val="00C7780C"/>
    <w:rsid w:val="00C77920"/>
    <w:rsid w:val="00C77D8E"/>
    <w:rsid w:val="00C80666"/>
    <w:rsid w:val="00C80794"/>
    <w:rsid w:val="00C80869"/>
    <w:rsid w:val="00C80CA6"/>
    <w:rsid w:val="00C814C0"/>
    <w:rsid w:val="00C81DA9"/>
    <w:rsid w:val="00C81FBD"/>
    <w:rsid w:val="00C82076"/>
    <w:rsid w:val="00C823B4"/>
    <w:rsid w:val="00C82955"/>
    <w:rsid w:val="00C82B08"/>
    <w:rsid w:val="00C83443"/>
    <w:rsid w:val="00C836AB"/>
    <w:rsid w:val="00C83769"/>
    <w:rsid w:val="00C84957"/>
    <w:rsid w:val="00C86149"/>
    <w:rsid w:val="00C86164"/>
    <w:rsid w:val="00C863C4"/>
    <w:rsid w:val="00C87801"/>
    <w:rsid w:val="00C87A1D"/>
    <w:rsid w:val="00C87B9E"/>
    <w:rsid w:val="00C90152"/>
    <w:rsid w:val="00C910BC"/>
    <w:rsid w:val="00C91B94"/>
    <w:rsid w:val="00C91C48"/>
    <w:rsid w:val="00C91F30"/>
    <w:rsid w:val="00C9207A"/>
    <w:rsid w:val="00C924C3"/>
    <w:rsid w:val="00C92B5B"/>
    <w:rsid w:val="00C92EE4"/>
    <w:rsid w:val="00C93BC7"/>
    <w:rsid w:val="00C94146"/>
    <w:rsid w:val="00C947E2"/>
    <w:rsid w:val="00C9488E"/>
    <w:rsid w:val="00C94EBD"/>
    <w:rsid w:val="00C94F56"/>
    <w:rsid w:val="00C95094"/>
    <w:rsid w:val="00C9549F"/>
    <w:rsid w:val="00C958EA"/>
    <w:rsid w:val="00C95C84"/>
    <w:rsid w:val="00C95D2E"/>
    <w:rsid w:val="00C960B4"/>
    <w:rsid w:val="00C96236"/>
    <w:rsid w:val="00C96339"/>
    <w:rsid w:val="00C96D4C"/>
    <w:rsid w:val="00C96D95"/>
    <w:rsid w:val="00C96E5D"/>
    <w:rsid w:val="00C96EFF"/>
    <w:rsid w:val="00C9712C"/>
    <w:rsid w:val="00C973D4"/>
    <w:rsid w:val="00CA0009"/>
    <w:rsid w:val="00CA0148"/>
    <w:rsid w:val="00CA0EFE"/>
    <w:rsid w:val="00CA1448"/>
    <w:rsid w:val="00CA14C2"/>
    <w:rsid w:val="00CA15B6"/>
    <w:rsid w:val="00CA1A8A"/>
    <w:rsid w:val="00CA1CD9"/>
    <w:rsid w:val="00CA1E5A"/>
    <w:rsid w:val="00CA26F4"/>
    <w:rsid w:val="00CA2834"/>
    <w:rsid w:val="00CA2A29"/>
    <w:rsid w:val="00CA32B2"/>
    <w:rsid w:val="00CA3B2F"/>
    <w:rsid w:val="00CA3C56"/>
    <w:rsid w:val="00CA41C7"/>
    <w:rsid w:val="00CA4E1D"/>
    <w:rsid w:val="00CA5009"/>
    <w:rsid w:val="00CA539F"/>
    <w:rsid w:val="00CA5B28"/>
    <w:rsid w:val="00CA5CDB"/>
    <w:rsid w:val="00CA62E8"/>
    <w:rsid w:val="00CA64BC"/>
    <w:rsid w:val="00CA6970"/>
    <w:rsid w:val="00CA6B0F"/>
    <w:rsid w:val="00CA7625"/>
    <w:rsid w:val="00CA7F35"/>
    <w:rsid w:val="00CB0A72"/>
    <w:rsid w:val="00CB0E6B"/>
    <w:rsid w:val="00CB13C6"/>
    <w:rsid w:val="00CB1813"/>
    <w:rsid w:val="00CB1D10"/>
    <w:rsid w:val="00CB2050"/>
    <w:rsid w:val="00CB20E5"/>
    <w:rsid w:val="00CB252D"/>
    <w:rsid w:val="00CB3489"/>
    <w:rsid w:val="00CB348D"/>
    <w:rsid w:val="00CB34A2"/>
    <w:rsid w:val="00CB39E0"/>
    <w:rsid w:val="00CB3A6E"/>
    <w:rsid w:val="00CB3E88"/>
    <w:rsid w:val="00CB419D"/>
    <w:rsid w:val="00CB482B"/>
    <w:rsid w:val="00CB48A5"/>
    <w:rsid w:val="00CB505C"/>
    <w:rsid w:val="00CB50DD"/>
    <w:rsid w:val="00CB5840"/>
    <w:rsid w:val="00CB6049"/>
    <w:rsid w:val="00CB69D6"/>
    <w:rsid w:val="00CB6E4F"/>
    <w:rsid w:val="00CB6E91"/>
    <w:rsid w:val="00CB76BB"/>
    <w:rsid w:val="00CB7DBA"/>
    <w:rsid w:val="00CC003C"/>
    <w:rsid w:val="00CC0BE8"/>
    <w:rsid w:val="00CC1061"/>
    <w:rsid w:val="00CC1276"/>
    <w:rsid w:val="00CC15AB"/>
    <w:rsid w:val="00CC190A"/>
    <w:rsid w:val="00CC1FBF"/>
    <w:rsid w:val="00CC2002"/>
    <w:rsid w:val="00CC2244"/>
    <w:rsid w:val="00CC2356"/>
    <w:rsid w:val="00CC2963"/>
    <w:rsid w:val="00CC2BC9"/>
    <w:rsid w:val="00CC3094"/>
    <w:rsid w:val="00CC30ED"/>
    <w:rsid w:val="00CC3582"/>
    <w:rsid w:val="00CC3891"/>
    <w:rsid w:val="00CC38B2"/>
    <w:rsid w:val="00CC3A85"/>
    <w:rsid w:val="00CC3C4A"/>
    <w:rsid w:val="00CC3DFD"/>
    <w:rsid w:val="00CC3F24"/>
    <w:rsid w:val="00CC407C"/>
    <w:rsid w:val="00CC415E"/>
    <w:rsid w:val="00CC42A7"/>
    <w:rsid w:val="00CC489E"/>
    <w:rsid w:val="00CC4BE1"/>
    <w:rsid w:val="00CC5450"/>
    <w:rsid w:val="00CC5489"/>
    <w:rsid w:val="00CC6131"/>
    <w:rsid w:val="00CC625A"/>
    <w:rsid w:val="00CC634E"/>
    <w:rsid w:val="00CC640E"/>
    <w:rsid w:val="00CC6FD4"/>
    <w:rsid w:val="00CC7263"/>
    <w:rsid w:val="00CC7D57"/>
    <w:rsid w:val="00CD0295"/>
    <w:rsid w:val="00CD061F"/>
    <w:rsid w:val="00CD1B50"/>
    <w:rsid w:val="00CD2DF5"/>
    <w:rsid w:val="00CD44AE"/>
    <w:rsid w:val="00CD47F9"/>
    <w:rsid w:val="00CD49D9"/>
    <w:rsid w:val="00CD511E"/>
    <w:rsid w:val="00CD5C7D"/>
    <w:rsid w:val="00CD5D37"/>
    <w:rsid w:val="00CD73D9"/>
    <w:rsid w:val="00CE0C40"/>
    <w:rsid w:val="00CE0C68"/>
    <w:rsid w:val="00CE0E64"/>
    <w:rsid w:val="00CE10DF"/>
    <w:rsid w:val="00CE11E6"/>
    <w:rsid w:val="00CE1AE0"/>
    <w:rsid w:val="00CE1CE8"/>
    <w:rsid w:val="00CE230E"/>
    <w:rsid w:val="00CE23A6"/>
    <w:rsid w:val="00CE2572"/>
    <w:rsid w:val="00CE25F8"/>
    <w:rsid w:val="00CE2D39"/>
    <w:rsid w:val="00CE4265"/>
    <w:rsid w:val="00CE5122"/>
    <w:rsid w:val="00CE5723"/>
    <w:rsid w:val="00CE585C"/>
    <w:rsid w:val="00CE59CE"/>
    <w:rsid w:val="00CE5A76"/>
    <w:rsid w:val="00CE5AB0"/>
    <w:rsid w:val="00CE60B4"/>
    <w:rsid w:val="00CE6132"/>
    <w:rsid w:val="00CE61F3"/>
    <w:rsid w:val="00CE6207"/>
    <w:rsid w:val="00CE625C"/>
    <w:rsid w:val="00CE6EB0"/>
    <w:rsid w:val="00CE6EF5"/>
    <w:rsid w:val="00CE7596"/>
    <w:rsid w:val="00CE7DAF"/>
    <w:rsid w:val="00CE7EB2"/>
    <w:rsid w:val="00CF090D"/>
    <w:rsid w:val="00CF0910"/>
    <w:rsid w:val="00CF0A73"/>
    <w:rsid w:val="00CF0A94"/>
    <w:rsid w:val="00CF0AF1"/>
    <w:rsid w:val="00CF103B"/>
    <w:rsid w:val="00CF24A4"/>
    <w:rsid w:val="00CF25EE"/>
    <w:rsid w:val="00CF2696"/>
    <w:rsid w:val="00CF26EB"/>
    <w:rsid w:val="00CF281D"/>
    <w:rsid w:val="00CF2823"/>
    <w:rsid w:val="00CF289A"/>
    <w:rsid w:val="00CF3BA8"/>
    <w:rsid w:val="00CF431A"/>
    <w:rsid w:val="00CF4807"/>
    <w:rsid w:val="00CF57A2"/>
    <w:rsid w:val="00CF6742"/>
    <w:rsid w:val="00CF723B"/>
    <w:rsid w:val="00CF7466"/>
    <w:rsid w:val="00CF78D5"/>
    <w:rsid w:val="00CF7D45"/>
    <w:rsid w:val="00D001D3"/>
    <w:rsid w:val="00D002E6"/>
    <w:rsid w:val="00D00430"/>
    <w:rsid w:val="00D00537"/>
    <w:rsid w:val="00D00A45"/>
    <w:rsid w:val="00D0106A"/>
    <w:rsid w:val="00D01281"/>
    <w:rsid w:val="00D01C0F"/>
    <w:rsid w:val="00D020C1"/>
    <w:rsid w:val="00D021B8"/>
    <w:rsid w:val="00D03701"/>
    <w:rsid w:val="00D03A42"/>
    <w:rsid w:val="00D03ABE"/>
    <w:rsid w:val="00D03B1F"/>
    <w:rsid w:val="00D04044"/>
    <w:rsid w:val="00D04150"/>
    <w:rsid w:val="00D0432D"/>
    <w:rsid w:val="00D0481B"/>
    <w:rsid w:val="00D048BC"/>
    <w:rsid w:val="00D04B1F"/>
    <w:rsid w:val="00D05754"/>
    <w:rsid w:val="00D05925"/>
    <w:rsid w:val="00D05A64"/>
    <w:rsid w:val="00D06420"/>
    <w:rsid w:val="00D067E6"/>
    <w:rsid w:val="00D068BA"/>
    <w:rsid w:val="00D0701F"/>
    <w:rsid w:val="00D07185"/>
    <w:rsid w:val="00D0754F"/>
    <w:rsid w:val="00D0796B"/>
    <w:rsid w:val="00D07A59"/>
    <w:rsid w:val="00D07B24"/>
    <w:rsid w:val="00D07E18"/>
    <w:rsid w:val="00D113C6"/>
    <w:rsid w:val="00D11478"/>
    <w:rsid w:val="00D11730"/>
    <w:rsid w:val="00D11A66"/>
    <w:rsid w:val="00D11AB4"/>
    <w:rsid w:val="00D1210D"/>
    <w:rsid w:val="00D124AA"/>
    <w:rsid w:val="00D12506"/>
    <w:rsid w:val="00D13592"/>
    <w:rsid w:val="00D1413B"/>
    <w:rsid w:val="00D147BB"/>
    <w:rsid w:val="00D14A03"/>
    <w:rsid w:val="00D14A1B"/>
    <w:rsid w:val="00D15531"/>
    <w:rsid w:val="00D1596B"/>
    <w:rsid w:val="00D159BF"/>
    <w:rsid w:val="00D15AA1"/>
    <w:rsid w:val="00D15CCA"/>
    <w:rsid w:val="00D15D44"/>
    <w:rsid w:val="00D1639C"/>
    <w:rsid w:val="00D16519"/>
    <w:rsid w:val="00D16730"/>
    <w:rsid w:val="00D16B97"/>
    <w:rsid w:val="00D16DD8"/>
    <w:rsid w:val="00D20CBF"/>
    <w:rsid w:val="00D2159F"/>
    <w:rsid w:val="00D215D5"/>
    <w:rsid w:val="00D21EAA"/>
    <w:rsid w:val="00D22450"/>
    <w:rsid w:val="00D22496"/>
    <w:rsid w:val="00D224A3"/>
    <w:rsid w:val="00D225AB"/>
    <w:rsid w:val="00D22710"/>
    <w:rsid w:val="00D23004"/>
    <w:rsid w:val="00D23128"/>
    <w:rsid w:val="00D2417D"/>
    <w:rsid w:val="00D244B8"/>
    <w:rsid w:val="00D25038"/>
    <w:rsid w:val="00D259F9"/>
    <w:rsid w:val="00D25CBC"/>
    <w:rsid w:val="00D25D65"/>
    <w:rsid w:val="00D261D9"/>
    <w:rsid w:val="00D2643C"/>
    <w:rsid w:val="00D2679D"/>
    <w:rsid w:val="00D26AFC"/>
    <w:rsid w:val="00D26E13"/>
    <w:rsid w:val="00D27663"/>
    <w:rsid w:val="00D2768C"/>
    <w:rsid w:val="00D27EF9"/>
    <w:rsid w:val="00D300B3"/>
    <w:rsid w:val="00D31507"/>
    <w:rsid w:val="00D318C8"/>
    <w:rsid w:val="00D31CB1"/>
    <w:rsid w:val="00D31E59"/>
    <w:rsid w:val="00D32975"/>
    <w:rsid w:val="00D33675"/>
    <w:rsid w:val="00D33B36"/>
    <w:rsid w:val="00D342B0"/>
    <w:rsid w:val="00D34C54"/>
    <w:rsid w:val="00D34C6B"/>
    <w:rsid w:val="00D35A49"/>
    <w:rsid w:val="00D35C1B"/>
    <w:rsid w:val="00D362C5"/>
    <w:rsid w:val="00D372DD"/>
    <w:rsid w:val="00D373E5"/>
    <w:rsid w:val="00D37503"/>
    <w:rsid w:val="00D37BF0"/>
    <w:rsid w:val="00D37CB4"/>
    <w:rsid w:val="00D40505"/>
    <w:rsid w:val="00D4073E"/>
    <w:rsid w:val="00D40767"/>
    <w:rsid w:val="00D40CCF"/>
    <w:rsid w:val="00D412A0"/>
    <w:rsid w:val="00D413B3"/>
    <w:rsid w:val="00D41665"/>
    <w:rsid w:val="00D42114"/>
    <w:rsid w:val="00D42148"/>
    <w:rsid w:val="00D427E8"/>
    <w:rsid w:val="00D43287"/>
    <w:rsid w:val="00D43659"/>
    <w:rsid w:val="00D43B22"/>
    <w:rsid w:val="00D43C4D"/>
    <w:rsid w:val="00D43D13"/>
    <w:rsid w:val="00D43DCF"/>
    <w:rsid w:val="00D44007"/>
    <w:rsid w:val="00D44A9B"/>
    <w:rsid w:val="00D44E98"/>
    <w:rsid w:val="00D4744F"/>
    <w:rsid w:val="00D475B5"/>
    <w:rsid w:val="00D47756"/>
    <w:rsid w:val="00D47EAB"/>
    <w:rsid w:val="00D5021D"/>
    <w:rsid w:val="00D5024B"/>
    <w:rsid w:val="00D505B7"/>
    <w:rsid w:val="00D50738"/>
    <w:rsid w:val="00D50AC2"/>
    <w:rsid w:val="00D50DBC"/>
    <w:rsid w:val="00D5103B"/>
    <w:rsid w:val="00D51519"/>
    <w:rsid w:val="00D5193F"/>
    <w:rsid w:val="00D52478"/>
    <w:rsid w:val="00D52F8B"/>
    <w:rsid w:val="00D533A5"/>
    <w:rsid w:val="00D534B7"/>
    <w:rsid w:val="00D5404B"/>
    <w:rsid w:val="00D54096"/>
    <w:rsid w:val="00D558DA"/>
    <w:rsid w:val="00D5642C"/>
    <w:rsid w:val="00D56EC4"/>
    <w:rsid w:val="00D57811"/>
    <w:rsid w:val="00D57BA5"/>
    <w:rsid w:val="00D60294"/>
    <w:rsid w:val="00D60B20"/>
    <w:rsid w:val="00D60B5F"/>
    <w:rsid w:val="00D60C6A"/>
    <w:rsid w:val="00D60F2F"/>
    <w:rsid w:val="00D60FB3"/>
    <w:rsid w:val="00D61A9B"/>
    <w:rsid w:val="00D62058"/>
    <w:rsid w:val="00D632C7"/>
    <w:rsid w:val="00D63489"/>
    <w:rsid w:val="00D63BC8"/>
    <w:rsid w:val="00D6417A"/>
    <w:rsid w:val="00D64954"/>
    <w:rsid w:val="00D6512E"/>
    <w:rsid w:val="00D65D0A"/>
    <w:rsid w:val="00D6602F"/>
    <w:rsid w:val="00D6658E"/>
    <w:rsid w:val="00D66C6D"/>
    <w:rsid w:val="00D6748C"/>
    <w:rsid w:val="00D708DA"/>
    <w:rsid w:val="00D70BA4"/>
    <w:rsid w:val="00D7112A"/>
    <w:rsid w:val="00D718AE"/>
    <w:rsid w:val="00D719BF"/>
    <w:rsid w:val="00D72031"/>
    <w:rsid w:val="00D7220A"/>
    <w:rsid w:val="00D72986"/>
    <w:rsid w:val="00D733C3"/>
    <w:rsid w:val="00D74080"/>
    <w:rsid w:val="00D740F0"/>
    <w:rsid w:val="00D74CAD"/>
    <w:rsid w:val="00D751F6"/>
    <w:rsid w:val="00D752A3"/>
    <w:rsid w:val="00D75351"/>
    <w:rsid w:val="00D75CFE"/>
    <w:rsid w:val="00D76A05"/>
    <w:rsid w:val="00D76EC9"/>
    <w:rsid w:val="00D77305"/>
    <w:rsid w:val="00D775C5"/>
    <w:rsid w:val="00D77DD2"/>
    <w:rsid w:val="00D80AB4"/>
    <w:rsid w:val="00D8117D"/>
    <w:rsid w:val="00D81639"/>
    <w:rsid w:val="00D821D3"/>
    <w:rsid w:val="00D82204"/>
    <w:rsid w:val="00D825E5"/>
    <w:rsid w:val="00D827BA"/>
    <w:rsid w:val="00D82883"/>
    <w:rsid w:val="00D82CD4"/>
    <w:rsid w:val="00D82CF3"/>
    <w:rsid w:val="00D8338E"/>
    <w:rsid w:val="00D83829"/>
    <w:rsid w:val="00D8388A"/>
    <w:rsid w:val="00D8398D"/>
    <w:rsid w:val="00D83B2D"/>
    <w:rsid w:val="00D84540"/>
    <w:rsid w:val="00D84A0A"/>
    <w:rsid w:val="00D84F8A"/>
    <w:rsid w:val="00D853AE"/>
    <w:rsid w:val="00D85879"/>
    <w:rsid w:val="00D85F7F"/>
    <w:rsid w:val="00D8608C"/>
    <w:rsid w:val="00D867D0"/>
    <w:rsid w:val="00D86855"/>
    <w:rsid w:val="00D86ED8"/>
    <w:rsid w:val="00D8749C"/>
    <w:rsid w:val="00D87B4B"/>
    <w:rsid w:val="00D90B7C"/>
    <w:rsid w:val="00D91F0C"/>
    <w:rsid w:val="00D92169"/>
    <w:rsid w:val="00D92237"/>
    <w:rsid w:val="00D92356"/>
    <w:rsid w:val="00D92399"/>
    <w:rsid w:val="00D93381"/>
    <w:rsid w:val="00D93415"/>
    <w:rsid w:val="00D9421D"/>
    <w:rsid w:val="00D9422C"/>
    <w:rsid w:val="00D95BF2"/>
    <w:rsid w:val="00D95C14"/>
    <w:rsid w:val="00D96393"/>
    <w:rsid w:val="00D96E31"/>
    <w:rsid w:val="00D97289"/>
    <w:rsid w:val="00D97A9A"/>
    <w:rsid w:val="00D97ACF"/>
    <w:rsid w:val="00D97DC1"/>
    <w:rsid w:val="00D97E60"/>
    <w:rsid w:val="00DA0126"/>
    <w:rsid w:val="00DA052D"/>
    <w:rsid w:val="00DA0B69"/>
    <w:rsid w:val="00DA0D8C"/>
    <w:rsid w:val="00DA173C"/>
    <w:rsid w:val="00DA1829"/>
    <w:rsid w:val="00DA2081"/>
    <w:rsid w:val="00DA2679"/>
    <w:rsid w:val="00DA2B33"/>
    <w:rsid w:val="00DA3157"/>
    <w:rsid w:val="00DA3835"/>
    <w:rsid w:val="00DA3C7A"/>
    <w:rsid w:val="00DA4C4C"/>
    <w:rsid w:val="00DA541B"/>
    <w:rsid w:val="00DA561D"/>
    <w:rsid w:val="00DA5BC6"/>
    <w:rsid w:val="00DA5E82"/>
    <w:rsid w:val="00DA65FF"/>
    <w:rsid w:val="00DA71BF"/>
    <w:rsid w:val="00DA79C9"/>
    <w:rsid w:val="00DA7FAE"/>
    <w:rsid w:val="00DB05D9"/>
    <w:rsid w:val="00DB0A73"/>
    <w:rsid w:val="00DB1150"/>
    <w:rsid w:val="00DB129D"/>
    <w:rsid w:val="00DB1363"/>
    <w:rsid w:val="00DB1776"/>
    <w:rsid w:val="00DB19F9"/>
    <w:rsid w:val="00DB20BC"/>
    <w:rsid w:val="00DB2393"/>
    <w:rsid w:val="00DB2B16"/>
    <w:rsid w:val="00DB2E4E"/>
    <w:rsid w:val="00DB3324"/>
    <w:rsid w:val="00DB3B9E"/>
    <w:rsid w:val="00DB3EC5"/>
    <w:rsid w:val="00DB457F"/>
    <w:rsid w:val="00DB497E"/>
    <w:rsid w:val="00DB4B81"/>
    <w:rsid w:val="00DB4C39"/>
    <w:rsid w:val="00DB5FF7"/>
    <w:rsid w:val="00DB62B8"/>
    <w:rsid w:val="00DB635A"/>
    <w:rsid w:val="00DB6F36"/>
    <w:rsid w:val="00DB7205"/>
    <w:rsid w:val="00DB7BA1"/>
    <w:rsid w:val="00DB7C8F"/>
    <w:rsid w:val="00DC09CA"/>
    <w:rsid w:val="00DC263A"/>
    <w:rsid w:val="00DC27BE"/>
    <w:rsid w:val="00DC2AF4"/>
    <w:rsid w:val="00DC2CB5"/>
    <w:rsid w:val="00DC4B6C"/>
    <w:rsid w:val="00DC4D0F"/>
    <w:rsid w:val="00DC52E1"/>
    <w:rsid w:val="00DC5500"/>
    <w:rsid w:val="00DC5AC2"/>
    <w:rsid w:val="00DC5C6F"/>
    <w:rsid w:val="00DC66BA"/>
    <w:rsid w:val="00DC67BC"/>
    <w:rsid w:val="00DC7262"/>
    <w:rsid w:val="00DC7E05"/>
    <w:rsid w:val="00DD051F"/>
    <w:rsid w:val="00DD0974"/>
    <w:rsid w:val="00DD0D7F"/>
    <w:rsid w:val="00DD0DB1"/>
    <w:rsid w:val="00DD108F"/>
    <w:rsid w:val="00DD1157"/>
    <w:rsid w:val="00DD1311"/>
    <w:rsid w:val="00DD1346"/>
    <w:rsid w:val="00DD1483"/>
    <w:rsid w:val="00DD1B01"/>
    <w:rsid w:val="00DD1D55"/>
    <w:rsid w:val="00DD2023"/>
    <w:rsid w:val="00DD20DA"/>
    <w:rsid w:val="00DD2119"/>
    <w:rsid w:val="00DD2761"/>
    <w:rsid w:val="00DD2A90"/>
    <w:rsid w:val="00DD2A9F"/>
    <w:rsid w:val="00DD2D16"/>
    <w:rsid w:val="00DD32CC"/>
    <w:rsid w:val="00DD3719"/>
    <w:rsid w:val="00DD3830"/>
    <w:rsid w:val="00DD397E"/>
    <w:rsid w:val="00DD4294"/>
    <w:rsid w:val="00DD4E25"/>
    <w:rsid w:val="00DD5B7A"/>
    <w:rsid w:val="00DD5DC6"/>
    <w:rsid w:val="00DD6165"/>
    <w:rsid w:val="00DD62B9"/>
    <w:rsid w:val="00DD65BB"/>
    <w:rsid w:val="00DD6816"/>
    <w:rsid w:val="00DD6B4A"/>
    <w:rsid w:val="00DD6BA8"/>
    <w:rsid w:val="00DD6D47"/>
    <w:rsid w:val="00DD7917"/>
    <w:rsid w:val="00DD7CEF"/>
    <w:rsid w:val="00DE01CB"/>
    <w:rsid w:val="00DE0E25"/>
    <w:rsid w:val="00DE0FC6"/>
    <w:rsid w:val="00DE189A"/>
    <w:rsid w:val="00DE1E11"/>
    <w:rsid w:val="00DE26B3"/>
    <w:rsid w:val="00DE2E22"/>
    <w:rsid w:val="00DE39DE"/>
    <w:rsid w:val="00DE3B9C"/>
    <w:rsid w:val="00DE45A5"/>
    <w:rsid w:val="00DE45AB"/>
    <w:rsid w:val="00DE4615"/>
    <w:rsid w:val="00DE4B04"/>
    <w:rsid w:val="00DE5045"/>
    <w:rsid w:val="00DE50D6"/>
    <w:rsid w:val="00DE5141"/>
    <w:rsid w:val="00DE5527"/>
    <w:rsid w:val="00DE58A0"/>
    <w:rsid w:val="00DE58DB"/>
    <w:rsid w:val="00DE5B71"/>
    <w:rsid w:val="00DE6F62"/>
    <w:rsid w:val="00DE73FB"/>
    <w:rsid w:val="00DE7CB8"/>
    <w:rsid w:val="00DF14E7"/>
    <w:rsid w:val="00DF14F8"/>
    <w:rsid w:val="00DF1529"/>
    <w:rsid w:val="00DF2103"/>
    <w:rsid w:val="00DF232D"/>
    <w:rsid w:val="00DF29F7"/>
    <w:rsid w:val="00DF2D3A"/>
    <w:rsid w:val="00DF30F0"/>
    <w:rsid w:val="00DF34E4"/>
    <w:rsid w:val="00DF3AD9"/>
    <w:rsid w:val="00DF3D72"/>
    <w:rsid w:val="00DF3F83"/>
    <w:rsid w:val="00DF4C35"/>
    <w:rsid w:val="00DF570E"/>
    <w:rsid w:val="00DF5951"/>
    <w:rsid w:val="00DF5DC9"/>
    <w:rsid w:val="00DF60AA"/>
    <w:rsid w:val="00DF6198"/>
    <w:rsid w:val="00DF63A7"/>
    <w:rsid w:val="00DF64AF"/>
    <w:rsid w:val="00DF64D2"/>
    <w:rsid w:val="00DF6698"/>
    <w:rsid w:val="00DF6A61"/>
    <w:rsid w:val="00DF6E30"/>
    <w:rsid w:val="00DF7022"/>
    <w:rsid w:val="00DF719B"/>
    <w:rsid w:val="00DF7992"/>
    <w:rsid w:val="00DF79E4"/>
    <w:rsid w:val="00E00A9A"/>
    <w:rsid w:val="00E0207A"/>
    <w:rsid w:val="00E023E6"/>
    <w:rsid w:val="00E02C35"/>
    <w:rsid w:val="00E02FFE"/>
    <w:rsid w:val="00E0321D"/>
    <w:rsid w:val="00E039A5"/>
    <w:rsid w:val="00E04958"/>
    <w:rsid w:val="00E049BD"/>
    <w:rsid w:val="00E05956"/>
    <w:rsid w:val="00E06916"/>
    <w:rsid w:val="00E06991"/>
    <w:rsid w:val="00E06BC3"/>
    <w:rsid w:val="00E06D3C"/>
    <w:rsid w:val="00E075CA"/>
    <w:rsid w:val="00E101A7"/>
    <w:rsid w:val="00E104F3"/>
    <w:rsid w:val="00E10C16"/>
    <w:rsid w:val="00E1124C"/>
    <w:rsid w:val="00E119B0"/>
    <w:rsid w:val="00E11B8F"/>
    <w:rsid w:val="00E11BB1"/>
    <w:rsid w:val="00E122C9"/>
    <w:rsid w:val="00E1239A"/>
    <w:rsid w:val="00E1259A"/>
    <w:rsid w:val="00E13243"/>
    <w:rsid w:val="00E1330D"/>
    <w:rsid w:val="00E13B95"/>
    <w:rsid w:val="00E14CF0"/>
    <w:rsid w:val="00E14EEE"/>
    <w:rsid w:val="00E16198"/>
    <w:rsid w:val="00E16243"/>
    <w:rsid w:val="00E1624B"/>
    <w:rsid w:val="00E168EE"/>
    <w:rsid w:val="00E16C42"/>
    <w:rsid w:val="00E1723E"/>
    <w:rsid w:val="00E17289"/>
    <w:rsid w:val="00E17503"/>
    <w:rsid w:val="00E17EA4"/>
    <w:rsid w:val="00E17F49"/>
    <w:rsid w:val="00E2006D"/>
    <w:rsid w:val="00E20418"/>
    <w:rsid w:val="00E2096F"/>
    <w:rsid w:val="00E20E93"/>
    <w:rsid w:val="00E21107"/>
    <w:rsid w:val="00E211BF"/>
    <w:rsid w:val="00E21412"/>
    <w:rsid w:val="00E21598"/>
    <w:rsid w:val="00E22104"/>
    <w:rsid w:val="00E22454"/>
    <w:rsid w:val="00E22486"/>
    <w:rsid w:val="00E22739"/>
    <w:rsid w:val="00E227F0"/>
    <w:rsid w:val="00E22993"/>
    <w:rsid w:val="00E229A0"/>
    <w:rsid w:val="00E230CB"/>
    <w:rsid w:val="00E236E4"/>
    <w:rsid w:val="00E23E25"/>
    <w:rsid w:val="00E23F69"/>
    <w:rsid w:val="00E244B9"/>
    <w:rsid w:val="00E2469C"/>
    <w:rsid w:val="00E24CF9"/>
    <w:rsid w:val="00E24FDD"/>
    <w:rsid w:val="00E25159"/>
    <w:rsid w:val="00E253F1"/>
    <w:rsid w:val="00E25577"/>
    <w:rsid w:val="00E2583D"/>
    <w:rsid w:val="00E258AA"/>
    <w:rsid w:val="00E25AC1"/>
    <w:rsid w:val="00E26040"/>
    <w:rsid w:val="00E260AB"/>
    <w:rsid w:val="00E26398"/>
    <w:rsid w:val="00E26466"/>
    <w:rsid w:val="00E27116"/>
    <w:rsid w:val="00E27408"/>
    <w:rsid w:val="00E27FCF"/>
    <w:rsid w:val="00E31319"/>
    <w:rsid w:val="00E3160B"/>
    <w:rsid w:val="00E31D6F"/>
    <w:rsid w:val="00E31E0B"/>
    <w:rsid w:val="00E31E29"/>
    <w:rsid w:val="00E32882"/>
    <w:rsid w:val="00E32B9B"/>
    <w:rsid w:val="00E3369B"/>
    <w:rsid w:val="00E34AB7"/>
    <w:rsid w:val="00E34CDC"/>
    <w:rsid w:val="00E361E1"/>
    <w:rsid w:val="00E366C8"/>
    <w:rsid w:val="00E368B4"/>
    <w:rsid w:val="00E36EAB"/>
    <w:rsid w:val="00E37144"/>
    <w:rsid w:val="00E37375"/>
    <w:rsid w:val="00E37592"/>
    <w:rsid w:val="00E37FDF"/>
    <w:rsid w:val="00E4039F"/>
    <w:rsid w:val="00E4112E"/>
    <w:rsid w:val="00E414DC"/>
    <w:rsid w:val="00E418E6"/>
    <w:rsid w:val="00E42707"/>
    <w:rsid w:val="00E428BD"/>
    <w:rsid w:val="00E43292"/>
    <w:rsid w:val="00E4333D"/>
    <w:rsid w:val="00E4371F"/>
    <w:rsid w:val="00E444AA"/>
    <w:rsid w:val="00E44845"/>
    <w:rsid w:val="00E448E9"/>
    <w:rsid w:val="00E44FC4"/>
    <w:rsid w:val="00E46206"/>
    <w:rsid w:val="00E46F61"/>
    <w:rsid w:val="00E47413"/>
    <w:rsid w:val="00E47C30"/>
    <w:rsid w:val="00E50C0E"/>
    <w:rsid w:val="00E5168B"/>
    <w:rsid w:val="00E5212B"/>
    <w:rsid w:val="00E52466"/>
    <w:rsid w:val="00E52597"/>
    <w:rsid w:val="00E526FC"/>
    <w:rsid w:val="00E52C16"/>
    <w:rsid w:val="00E52CF6"/>
    <w:rsid w:val="00E53761"/>
    <w:rsid w:val="00E53870"/>
    <w:rsid w:val="00E538FF"/>
    <w:rsid w:val="00E539AB"/>
    <w:rsid w:val="00E54407"/>
    <w:rsid w:val="00E54DDA"/>
    <w:rsid w:val="00E54F53"/>
    <w:rsid w:val="00E55491"/>
    <w:rsid w:val="00E5628F"/>
    <w:rsid w:val="00E56DE3"/>
    <w:rsid w:val="00E57771"/>
    <w:rsid w:val="00E57C92"/>
    <w:rsid w:val="00E60622"/>
    <w:rsid w:val="00E6079D"/>
    <w:rsid w:val="00E614E8"/>
    <w:rsid w:val="00E6158C"/>
    <w:rsid w:val="00E619AC"/>
    <w:rsid w:val="00E6260F"/>
    <w:rsid w:val="00E626FE"/>
    <w:rsid w:val="00E62C82"/>
    <w:rsid w:val="00E63DBA"/>
    <w:rsid w:val="00E6417D"/>
    <w:rsid w:val="00E64BF3"/>
    <w:rsid w:val="00E65277"/>
    <w:rsid w:val="00E65E32"/>
    <w:rsid w:val="00E65E64"/>
    <w:rsid w:val="00E66E30"/>
    <w:rsid w:val="00E67379"/>
    <w:rsid w:val="00E67387"/>
    <w:rsid w:val="00E67A05"/>
    <w:rsid w:val="00E67B35"/>
    <w:rsid w:val="00E67D7E"/>
    <w:rsid w:val="00E700A7"/>
    <w:rsid w:val="00E70266"/>
    <w:rsid w:val="00E702C2"/>
    <w:rsid w:val="00E706BB"/>
    <w:rsid w:val="00E70AFA"/>
    <w:rsid w:val="00E7109D"/>
    <w:rsid w:val="00E71179"/>
    <w:rsid w:val="00E718ED"/>
    <w:rsid w:val="00E71B5C"/>
    <w:rsid w:val="00E72044"/>
    <w:rsid w:val="00E722D0"/>
    <w:rsid w:val="00E726E2"/>
    <w:rsid w:val="00E7292D"/>
    <w:rsid w:val="00E73720"/>
    <w:rsid w:val="00E73CA5"/>
    <w:rsid w:val="00E73FDD"/>
    <w:rsid w:val="00E743A4"/>
    <w:rsid w:val="00E74AAB"/>
    <w:rsid w:val="00E75248"/>
    <w:rsid w:val="00E759E6"/>
    <w:rsid w:val="00E75EC1"/>
    <w:rsid w:val="00E7608E"/>
    <w:rsid w:val="00E76192"/>
    <w:rsid w:val="00E76B1A"/>
    <w:rsid w:val="00E778FF"/>
    <w:rsid w:val="00E804F0"/>
    <w:rsid w:val="00E8090F"/>
    <w:rsid w:val="00E80C37"/>
    <w:rsid w:val="00E80C6A"/>
    <w:rsid w:val="00E81362"/>
    <w:rsid w:val="00E81485"/>
    <w:rsid w:val="00E8170D"/>
    <w:rsid w:val="00E81924"/>
    <w:rsid w:val="00E81A23"/>
    <w:rsid w:val="00E827E9"/>
    <w:rsid w:val="00E82857"/>
    <w:rsid w:val="00E82D58"/>
    <w:rsid w:val="00E8357D"/>
    <w:rsid w:val="00E84077"/>
    <w:rsid w:val="00E841F1"/>
    <w:rsid w:val="00E8430B"/>
    <w:rsid w:val="00E84BDF"/>
    <w:rsid w:val="00E850C3"/>
    <w:rsid w:val="00E8514E"/>
    <w:rsid w:val="00E86165"/>
    <w:rsid w:val="00E8627A"/>
    <w:rsid w:val="00E866D0"/>
    <w:rsid w:val="00E870F7"/>
    <w:rsid w:val="00E8722F"/>
    <w:rsid w:val="00E8739D"/>
    <w:rsid w:val="00E877AC"/>
    <w:rsid w:val="00E87854"/>
    <w:rsid w:val="00E878D3"/>
    <w:rsid w:val="00E87D62"/>
    <w:rsid w:val="00E90DE9"/>
    <w:rsid w:val="00E9110B"/>
    <w:rsid w:val="00E91363"/>
    <w:rsid w:val="00E91570"/>
    <w:rsid w:val="00E91F8B"/>
    <w:rsid w:val="00E92143"/>
    <w:rsid w:val="00E9278F"/>
    <w:rsid w:val="00E928DD"/>
    <w:rsid w:val="00E92EFB"/>
    <w:rsid w:val="00E93DFE"/>
    <w:rsid w:val="00E946D9"/>
    <w:rsid w:val="00E956A8"/>
    <w:rsid w:val="00E959A2"/>
    <w:rsid w:val="00E95FA9"/>
    <w:rsid w:val="00E95FBF"/>
    <w:rsid w:val="00E9635A"/>
    <w:rsid w:val="00E97863"/>
    <w:rsid w:val="00E97CD6"/>
    <w:rsid w:val="00EA0264"/>
    <w:rsid w:val="00EA0390"/>
    <w:rsid w:val="00EA0E37"/>
    <w:rsid w:val="00EA1474"/>
    <w:rsid w:val="00EA2918"/>
    <w:rsid w:val="00EA2C74"/>
    <w:rsid w:val="00EA355A"/>
    <w:rsid w:val="00EA3E3C"/>
    <w:rsid w:val="00EA3E48"/>
    <w:rsid w:val="00EA41B8"/>
    <w:rsid w:val="00EA4406"/>
    <w:rsid w:val="00EA4DAA"/>
    <w:rsid w:val="00EA5A14"/>
    <w:rsid w:val="00EA5BA9"/>
    <w:rsid w:val="00EA5D59"/>
    <w:rsid w:val="00EA5D5C"/>
    <w:rsid w:val="00EA656F"/>
    <w:rsid w:val="00EA65BC"/>
    <w:rsid w:val="00EA66BB"/>
    <w:rsid w:val="00EA6A17"/>
    <w:rsid w:val="00EA71C0"/>
    <w:rsid w:val="00EA72EC"/>
    <w:rsid w:val="00EA782C"/>
    <w:rsid w:val="00EA78D0"/>
    <w:rsid w:val="00EB0146"/>
    <w:rsid w:val="00EB057F"/>
    <w:rsid w:val="00EB0885"/>
    <w:rsid w:val="00EB08BC"/>
    <w:rsid w:val="00EB12DE"/>
    <w:rsid w:val="00EB16F4"/>
    <w:rsid w:val="00EB1855"/>
    <w:rsid w:val="00EB1A49"/>
    <w:rsid w:val="00EB1E77"/>
    <w:rsid w:val="00EB2405"/>
    <w:rsid w:val="00EB2BB1"/>
    <w:rsid w:val="00EB2CCE"/>
    <w:rsid w:val="00EB351D"/>
    <w:rsid w:val="00EB381C"/>
    <w:rsid w:val="00EB3A29"/>
    <w:rsid w:val="00EB4DCB"/>
    <w:rsid w:val="00EB5120"/>
    <w:rsid w:val="00EB5483"/>
    <w:rsid w:val="00EB6900"/>
    <w:rsid w:val="00EB6BAA"/>
    <w:rsid w:val="00EB6C1F"/>
    <w:rsid w:val="00EB6D2B"/>
    <w:rsid w:val="00EB70E3"/>
    <w:rsid w:val="00EB73B5"/>
    <w:rsid w:val="00EB7555"/>
    <w:rsid w:val="00EB7CAF"/>
    <w:rsid w:val="00EC00A5"/>
    <w:rsid w:val="00EC02B8"/>
    <w:rsid w:val="00EC0636"/>
    <w:rsid w:val="00EC083A"/>
    <w:rsid w:val="00EC0A63"/>
    <w:rsid w:val="00EC0BBB"/>
    <w:rsid w:val="00EC0EDB"/>
    <w:rsid w:val="00EC0F6D"/>
    <w:rsid w:val="00EC1064"/>
    <w:rsid w:val="00EC14BE"/>
    <w:rsid w:val="00EC1707"/>
    <w:rsid w:val="00EC174C"/>
    <w:rsid w:val="00EC1B27"/>
    <w:rsid w:val="00EC1ED8"/>
    <w:rsid w:val="00EC2237"/>
    <w:rsid w:val="00EC2977"/>
    <w:rsid w:val="00EC2CA3"/>
    <w:rsid w:val="00EC3176"/>
    <w:rsid w:val="00EC3DD9"/>
    <w:rsid w:val="00EC3EF4"/>
    <w:rsid w:val="00EC46E4"/>
    <w:rsid w:val="00EC4AD3"/>
    <w:rsid w:val="00EC5039"/>
    <w:rsid w:val="00EC5281"/>
    <w:rsid w:val="00EC5920"/>
    <w:rsid w:val="00EC5A65"/>
    <w:rsid w:val="00EC5F63"/>
    <w:rsid w:val="00EC61AC"/>
    <w:rsid w:val="00EC63A2"/>
    <w:rsid w:val="00ED0065"/>
    <w:rsid w:val="00ED08F3"/>
    <w:rsid w:val="00ED0C6A"/>
    <w:rsid w:val="00ED0DDE"/>
    <w:rsid w:val="00ED152D"/>
    <w:rsid w:val="00ED1949"/>
    <w:rsid w:val="00ED197C"/>
    <w:rsid w:val="00ED1EF7"/>
    <w:rsid w:val="00ED20A8"/>
    <w:rsid w:val="00ED2552"/>
    <w:rsid w:val="00ED272C"/>
    <w:rsid w:val="00ED2DDD"/>
    <w:rsid w:val="00ED38E3"/>
    <w:rsid w:val="00ED485F"/>
    <w:rsid w:val="00ED4930"/>
    <w:rsid w:val="00ED4A3A"/>
    <w:rsid w:val="00ED4CBB"/>
    <w:rsid w:val="00ED5509"/>
    <w:rsid w:val="00ED55AA"/>
    <w:rsid w:val="00ED55B7"/>
    <w:rsid w:val="00ED5FCE"/>
    <w:rsid w:val="00ED6450"/>
    <w:rsid w:val="00ED64DE"/>
    <w:rsid w:val="00ED6638"/>
    <w:rsid w:val="00ED6E79"/>
    <w:rsid w:val="00ED712A"/>
    <w:rsid w:val="00ED71A6"/>
    <w:rsid w:val="00ED7F00"/>
    <w:rsid w:val="00EE0028"/>
    <w:rsid w:val="00EE0221"/>
    <w:rsid w:val="00EE03CC"/>
    <w:rsid w:val="00EE051F"/>
    <w:rsid w:val="00EE05B7"/>
    <w:rsid w:val="00EE0C65"/>
    <w:rsid w:val="00EE0EC5"/>
    <w:rsid w:val="00EE1282"/>
    <w:rsid w:val="00EE1817"/>
    <w:rsid w:val="00EE1BB8"/>
    <w:rsid w:val="00EE1DD1"/>
    <w:rsid w:val="00EE1FC9"/>
    <w:rsid w:val="00EE2245"/>
    <w:rsid w:val="00EE25F9"/>
    <w:rsid w:val="00EE29AF"/>
    <w:rsid w:val="00EE2E01"/>
    <w:rsid w:val="00EE3463"/>
    <w:rsid w:val="00EE37EE"/>
    <w:rsid w:val="00EE39A4"/>
    <w:rsid w:val="00EE4B59"/>
    <w:rsid w:val="00EE50A8"/>
    <w:rsid w:val="00EE53B9"/>
    <w:rsid w:val="00EE6372"/>
    <w:rsid w:val="00EE6783"/>
    <w:rsid w:val="00EE6889"/>
    <w:rsid w:val="00EE7829"/>
    <w:rsid w:val="00EF0279"/>
    <w:rsid w:val="00EF0629"/>
    <w:rsid w:val="00EF09DF"/>
    <w:rsid w:val="00EF0D49"/>
    <w:rsid w:val="00EF1594"/>
    <w:rsid w:val="00EF1C23"/>
    <w:rsid w:val="00EF269C"/>
    <w:rsid w:val="00EF29C7"/>
    <w:rsid w:val="00EF3463"/>
    <w:rsid w:val="00EF36A1"/>
    <w:rsid w:val="00EF389F"/>
    <w:rsid w:val="00EF3DE4"/>
    <w:rsid w:val="00EF40A9"/>
    <w:rsid w:val="00EF4251"/>
    <w:rsid w:val="00EF4841"/>
    <w:rsid w:val="00EF4A6B"/>
    <w:rsid w:val="00EF4CAF"/>
    <w:rsid w:val="00EF4E00"/>
    <w:rsid w:val="00EF540A"/>
    <w:rsid w:val="00EF56AD"/>
    <w:rsid w:val="00EF6405"/>
    <w:rsid w:val="00EF719E"/>
    <w:rsid w:val="00EF76FE"/>
    <w:rsid w:val="00F0064D"/>
    <w:rsid w:val="00F006BC"/>
    <w:rsid w:val="00F0087F"/>
    <w:rsid w:val="00F00C37"/>
    <w:rsid w:val="00F00C86"/>
    <w:rsid w:val="00F00D52"/>
    <w:rsid w:val="00F01005"/>
    <w:rsid w:val="00F01129"/>
    <w:rsid w:val="00F0119D"/>
    <w:rsid w:val="00F01A5B"/>
    <w:rsid w:val="00F020B0"/>
    <w:rsid w:val="00F02F41"/>
    <w:rsid w:val="00F0304D"/>
    <w:rsid w:val="00F03088"/>
    <w:rsid w:val="00F0433A"/>
    <w:rsid w:val="00F044BF"/>
    <w:rsid w:val="00F04643"/>
    <w:rsid w:val="00F047EF"/>
    <w:rsid w:val="00F04CE5"/>
    <w:rsid w:val="00F0577A"/>
    <w:rsid w:val="00F0619B"/>
    <w:rsid w:val="00F062E1"/>
    <w:rsid w:val="00F06B73"/>
    <w:rsid w:val="00F06EF8"/>
    <w:rsid w:val="00F07728"/>
    <w:rsid w:val="00F10A73"/>
    <w:rsid w:val="00F11145"/>
    <w:rsid w:val="00F11700"/>
    <w:rsid w:val="00F118CF"/>
    <w:rsid w:val="00F11F45"/>
    <w:rsid w:val="00F120EC"/>
    <w:rsid w:val="00F12445"/>
    <w:rsid w:val="00F12496"/>
    <w:rsid w:val="00F12666"/>
    <w:rsid w:val="00F12DC0"/>
    <w:rsid w:val="00F139BE"/>
    <w:rsid w:val="00F147FA"/>
    <w:rsid w:val="00F1486B"/>
    <w:rsid w:val="00F14D0B"/>
    <w:rsid w:val="00F14FC6"/>
    <w:rsid w:val="00F152C9"/>
    <w:rsid w:val="00F159F8"/>
    <w:rsid w:val="00F15AA8"/>
    <w:rsid w:val="00F15D77"/>
    <w:rsid w:val="00F15F58"/>
    <w:rsid w:val="00F17663"/>
    <w:rsid w:val="00F17D5E"/>
    <w:rsid w:val="00F20369"/>
    <w:rsid w:val="00F20899"/>
    <w:rsid w:val="00F20E57"/>
    <w:rsid w:val="00F21273"/>
    <w:rsid w:val="00F217F9"/>
    <w:rsid w:val="00F21D64"/>
    <w:rsid w:val="00F21EFC"/>
    <w:rsid w:val="00F2262B"/>
    <w:rsid w:val="00F22C4F"/>
    <w:rsid w:val="00F23BFE"/>
    <w:rsid w:val="00F2456C"/>
    <w:rsid w:val="00F24C95"/>
    <w:rsid w:val="00F25138"/>
    <w:rsid w:val="00F2548E"/>
    <w:rsid w:val="00F25965"/>
    <w:rsid w:val="00F2704B"/>
    <w:rsid w:val="00F27659"/>
    <w:rsid w:val="00F302A0"/>
    <w:rsid w:val="00F3080C"/>
    <w:rsid w:val="00F31AD8"/>
    <w:rsid w:val="00F32751"/>
    <w:rsid w:val="00F3365B"/>
    <w:rsid w:val="00F339CE"/>
    <w:rsid w:val="00F33E76"/>
    <w:rsid w:val="00F342F9"/>
    <w:rsid w:val="00F345C3"/>
    <w:rsid w:val="00F3469B"/>
    <w:rsid w:val="00F348B2"/>
    <w:rsid w:val="00F35094"/>
    <w:rsid w:val="00F35125"/>
    <w:rsid w:val="00F3516E"/>
    <w:rsid w:val="00F35FBD"/>
    <w:rsid w:val="00F366A6"/>
    <w:rsid w:val="00F37764"/>
    <w:rsid w:val="00F37F91"/>
    <w:rsid w:val="00F4021E"/>
    <w:rsid w:val="00F40692"/>
    <w:rsid w:val="00F4071F"/>
    <w:rsid w:val="00F40C9F"/>
    <w:rsid w:val="00F4118B"/>
    <w:rsid w:val="00F4192A"/>
    <w:rsid w:val="00F41DFF"/>
    <w:rsid w:val="00F42179"/>
    <w:rsid w:val="00F42995"/>
    <w:rsid w:val="00F42D1A"/>
    <w:rsid w:val="00F42F4E"/>
    <w:rsid w:val="00F44379"/>
    <w:rsid w:val="00F44601"/>
    <w:rsid w:val="00F45348"/>
    <w:rsid w:val="00F45CB7"/>
    <w:rsid w:val="00F46B76"/>
    <w:rsid w:val="00F46CC4"/>
    <w:rsid w:val="00F46EFD"/>
    <w:rsid w:val="00F46F21"/>
    <w:rsid w:val="00F47996"/>
    <w:rsid w:val="00F47E58"/>
    <w:rsid w:val="00F50527"/>
    <w:rsid w:val="00F507BE"/>
    <w:rsid w:val="00F50C82"/>
    <w:rsid w:val="00F50F62"/>
    <w:rsid w:val="00F51011"/>
    <w:rsid w:val="00F5126C"/>
    <w:rsid w:val="00F518E5"/>
    <w:rsid w:val="00F52ED5"/>
    <w:rsid w:val="00F5303D"/>
    <w:rsid w:val="00F5382A"/>
    <w:rsid w:val="00F5391D"/>
    <w:rsid w:val="00F5435D"/>
    <w:rsid w:val="00F54A50"/>
    <w:rsid w:val="00F54A67"/>
    <w:rsid w:val="00F54F47"/>
    <w:rsid w:val="00F54FAA"/>
    <w:rsid w:val="00F55079"/>
    <w:rsid w:val="00F55896"/>
    <w:rsid w:val="00F55CF9"/>
    <w:rsid w:val="00F56834"/>
    <w:rsid w:val="00F56A8F"/>
    <w:rsid w:val="00F56C00"/>
    <w:rsid w:val="00F571EB"/>
    <w:rsid w:val="00F57673"/>
    <w:rsid w:val="00F579EC"/>
    <w:rsid w:val="00F617DC"/>
    <w:rsid w:val="00F61AAD"/>
    <w:rsid w:val="00F61BCF"/>
    <w:rsid w:val="00F621BD"/>
    <w:rsid w:val="00F627C0"/>
    <w:rsid w:val="00F6348D"/>
    <w:rsid w:val="00F638C4"/>
    <w:rsid w:val="00F63955"/>
    <w:rsid w:val="00F63A75"/>
    <w:rsid w:val="00F640BF"/>
    <w:rsid w:val="00F6415A"/>
    <w:rsid w:val="00F64753"/>
    <w:rsid w:val="00F64FB0"/>
    <w:rsid w:val="00F651BC"/>
    <w:rsid w:val="00F6522A"/>
    <w:rsid w:val="00F65586"/>
    <w:rsid w:val="00F67165"/>
    <w:rsid w:val="00F672DF"/>
    <w:rsid w:val="00F67894"/>
    <w:rsid w:val="00F67CCA"/>
    <w:rsid w:val="00F67FA4"/>
    <w:rsid w:val="00F70490"/>
    <w:rsid w:val="00F7071C"/>
    <w:rsid w:val="00F70B2D"/>
    <w:rsid w:val="00F70B9C"/>
    <w:rsid w:val="00F719E6"/>
    <w:rsid w:val="00F71C45"/>
    <w:rsid w:val="00F72908"/>
    <w:rsid w:val="00F72E24"/>
    <w:rsid w:val="00F74CF3"/>
    <w:rsid w:val="00F74E2A"/>
    <w:rsid w:val="00F7539A"/>
    <w:rsid w:val="00F754D5"/>
    <w:rsid w:val="00F75864"/>
    <w:rsid w:val="00F760F3"/>
    <w:rsid w:val="00F76251"/>
    <w:rsid w:val="00F7673F"/>
    <w:rsid w:val="00F76DDA"/>
    <w:rsid w:val="00F76FE8"/>
    <w:rsid w:val="00F8015F"/>
    <w:rsid w:val="00F80505"/>
    <w:rsid w:val="00F807FB"/>
    <w:rsid w:val="00F80C71"/>
    <w:rsid w:val="00F812BA"/>
    <w:rsid w:val="00F82595"/>
    <w:rsid w:val="00F829C9"/>
    <w:rsid w:val="00F8304E"/>
    <w:rsid w:val="00F83228"/>
    <w:rsid w:val="00F833A2"/>
    <w:rsid w:val="00F834C1"/>
    <w:rsid w:val="00F83727"/>
    <w:rsid w:val="00F84A82"/>
    <w:rsid w:val="00F84DDE"/>
    <w:rsid w:val="00F85593"/>
    <w:rsid w:val="00F857BB"/>
    <w:rsid w:val="00F858FA"/>
    <w:rsid w:val="00F85F5C"/>
    <w:rsid w:val="00F8685E"/>
    <w:rsid w:val="00F86861"/>
    <w:rsid w:val="00F869D6"/>
    <w:rsid w:val="00F86C32"/>
    <w:rsid w:val="00F872DC"/>
    <w:rsid w:val="00F8799A"/>
    <w:rsid w:val="00F87EA4"/>
    <w:rsid w:val="00F9062E"/>
    <w:rsid w:val="00F90636"/>
    <w:rsid w:val="00F908BE"/>
    <w:rsid w:val="00F90DEE"/>
    <w:rsid w:val="00F910B8"/>
    <w:rsid w:val="00F914B4"/>
    <w:rsid w:val="00F91D32"/>
    <w:rsid w:val="00F92785"/>
    <w:rsid w:val="00F93985"/>
    <w:rsid w:val="00F94783"/>
    <w:rsid w:val="00F9524E"/>
    <w:rsid w:val="00F95AA3"/>
    <w:rsid w:val="00F95B43"/>
    <w:rsid w:val="00F95BD7"/>
    <w:rsid w:val="00F95FEA"/>
    <w:rsid w:val="00F960AD"/>
    <w:rsid w:val="00F96489"/>
    <w:rsid w:val="00F964E8"/>
    <w:rsid w:val="00F968CB"/>
    <w:rsid w:val="00F970BA"/>
    <w:rsid w:val="00F97124"/>
    <w:rsid w:val="00F9713C"/>
    <w:rsid w:val="00F971CE"/>
    <w:rsid w:val="00F97C17"/>
    <w:rsid w:val="00F97FAF"/>
    <w:rsid w:val="00FA002A"/>
    <w:rsid w:val="00FA1420"/>
    <w:rsid w:val="00FA2553"/>
    <w:rsid w:val="00FA318E"/>
    <w:rsid w:val="00FA3375"/>
    <w:rsid w:val="00FA33C9"/>
    <w:rsid w:val="00FA3AFB"/>
    <w:rsid w:val="00FA45A1"/>
    <w:rsid w:val="00FA4AAF"/>
    <w:rsid w:val="00FA5955"/>
    <w:rsid w:val="00FA5E02"/>
    <w:rsid w:val="00FA5F04"/>
    <w:rsid w:val="00FA62A2"/>
    <w:rsid w:val="00FA69B8"/>
    <w:rsid w:val="00FA6C7B"/>
    <w:rsid w:val="00FA6CA0"/>
    <w:rsid w:val="00FA72A0"/>
    <w:rsid w:val="00FA7580"/>
    <w:rsid w:val="00FB0D0A"/>
    <w:rsid w:val="00FB1048"/>
    <w:rsid w:val="00FB146D"/>
    <w:rsid w:val="00FB1F1C"/>
    <w:rsid w:val="00FB221D"/>
    <w:rsid w:val="00FB2D29"/>
    <w:rsid w:val="00FB30A1"/>
    <w:rsid w:val="00FB31DD"/>
    <w:rsid w:val="00FB32A4"/>
    <w:rsid w:val="00FB3CF2"/>
    <w:rsid w:val="00FB3F34"/>
    <w:rsid w:val="00FB4692"/>
    <w:rsid w:val="00FB47B4"/>
    <w:rsid w:val="00FB4B8E"/>
    <w:rsid w:val="00FB4E79"/>
    <w:rsid w:val="00FB515C"/>
    <w:rsid w:val="00FB51A3"/>
    <w:rsid w:val="00FB520B"/>
    <w:rsid w:val="00FB52E0"/>
    <w:rsid w:val="00FB5342"/>
    <w:rsid w:val="00FB6462"/>
    <w:rsid w:val="00FB6BFE"/>
    <w:rsid w:val="00FB6E80"/>
    <w:rsid w:val="00FB785D"/>
    <w:rsid w:val="00FC001D"/>
    <w:rsid w:val="00FC0108"/>
    <w:rsid w:val="00FC0549"/>
    <w:rsid w:val="00FC083E"/>
    <w:rsid w:val="00FC08A3"/>
    <w:rsid w:val="00FC0AC7"/>
    <w:rsid w:val="00FC11C1"/>
    <w:rsid w:val="00FC1251"/>
    <w:rsid w:val="00FC15D4"/>
    <w:rsid w:val="00FC1AA8"/>
    <w:rsid w:val="00FC1ADC"/>
    <w:rsid w:val="00FC1D83"/>
    <w:rsid w:val="00FC2B12"/>
    <w:rsid w:val="00FC35B5"/>
    <w:rsid w:val="00FC42B7"/>
    <w:rsid w:val="00FC4B93"/>
    <w:rsid w:val="00FC5451"/>
    <w:rsid w:val="00FC5650"/>
    <w:rsid w:val="00FC5979"/>
    <w:rsid w:val="00FC69E3"/>
    <w:rsid w:val="00FC74CA"/>
    <w:rsid w:val="00FC75A5"/>
    <w:rsid w:val="00FC769C"/>
    <w:rsid w:val="00FC7899"/>
    <w:rsid w:val="00FC7D76"/>
    <w:rsid w:val="00FC7E3A"/>
    <w:rsid w:val="00FD03DA"/>
    <w:rsid w:val="00FD059E"/>
    <w:rsid w:val="00FD0CE4"/>
    <w:rsid w:val="00FD17E9"/>
    <w:rsid w:val="00FD2125"/>
    <w:rsid w:val="00FD2AC4"/>
    <w:rsid w:val="00FD46EE"/>
    <w:rsid w:val="00FD4802"/>
    <w:rsid w:val="00FD4A6F"/>
    <w:rsid w:val="00FD4B29"/>
    <w:rsid w:val="00FD4FDD"/>
    <w:rsid w:val="00FD5357"/>
    <w:rsid w:val="00FD5602"/>
    <w:rsid w:val="00FD5C75"/>
    <w:rsid w:val="00FD6C9B"/>
    <w:rsid w:val="00FD7A8D"/>
    <w:rsid w:val="00FD7DD8"/>
    <w:rsid w:val="00FD7F65"/>
    <w:rsid w:val="00FE02B2"/>
    <w:rsid w:val="00FE0565"/>
    <w:rsid w:val="00FE0F05"/>
    <w:rsid w:val="00FE1118"/>
    <w:rsid w:val="00FE122D"/>
    <w:rsid w:val="00FE1B3A"/>
    <w:rsid w:val="00FE2056"/>
    <w:rsid w:val="00FE2066"/>
    <w:rsid w:val="00FE27FA"/>
    <w:rsid w:val="00FE4015"/>
    <w:rsid w:val="00FE4611"/>
    <w:rsid w:val="00FE4661"/>
    <w:rsid w:val="00FE4AEB"/>
    <w:rsid w:val="00FE51E3"/>
    <w:rsid w:val="00FE5C1F"/>
    <w:rsid w:val="00FE6398"/>
    <w:rsid w:val="00FE661F"/>
    <w:rsid w:val="00FE68B6"/>
    <w:rsid w:val="00FE6F1B"/>
    <w:rsid w:val="00FE7611"/>
    <w:rsid w:val="00FE783A"/>
    <w:rsid w:val="00FE7D29"/>
    <w:rsid w:val="00FF026D"/>
    <w:rsid w:val="00FF0DB8"/>
    <w:rsid w:val="00FF10AB"/>
    <w:rsid w:val="00FF1111"/>
    <w:rsid w:val="00FF155B"/>
    <w:rsid w:val="00FF2166"/>
    <w:rsid w:val="00FF244B"/>
    <w:rsid w:val="00FF25CA"/>
    <w:rsid w:val="00FF260A"/>
    <w:rsid w:val="00FF3F3A"/>
    <w:rsid w:val="00FF46E3"/>
    <w:rsid w:val="00FF5474"/>
    <w:rsid w:val="00FF54D0"/>
    <w:rsid w:val="00FF5FFF"/>
    <w:rsid w:val="00FF6FF6"/>
    <w:rsid w:val="00FF7204"/>
    <w:rsid w:val="00FF7959"/>
    <w:rsid w:val="041B1F30"/>
    <w:rsid w:val="0BF92D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40278"/>
  <w15:docId w15:val="{0BB978F0-54D2-466E-B8D7-B75717B6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75A"/>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D01281"/>
    <w:pPr>
      <w:keepNext/>
      <w:keepLines/>
      <w:spacing w:before="240" w:after="0"/>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8645AD"/>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371FAA"/>
    <w:pPr>
      <w:keepNext/>
      <w:keepLines/>
      <w:spacing w:before="240" w:after="0"/>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371FAA"/>
    <w:pPr>
      <w:keepNext/>
      <w:keepLines/>
      <w:spacing w:before="40" w:after="0"/>
      <w:outlineLvl w:val="3"/>
    </w:pPr>
    <w:rPr>
      <w:rFonts w:eastAsiaTheme="majorEastAsia" w:cstheme="majorBidi"/>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281"/>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8645AD"/>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371FAA"/>
    <w:rPr>
      <w:rFonts w:ascii="Arial" w:eastAsiaTheme="majorEastAsia" w:hAnsi="Arial" w:cstheme="majorBidi"/>
      <w:b/>
      <w:bCs/>
      <w:sz w:val="20"/>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customStyle="1" w:styleId="Default">
    <w:name w:val="Default"/>
    <w:rsid w:val="00E02FF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paragraph" w:customStyle="1" w:styleId="BRIRequirement">
    <w:name w:val="BRI Requirement"/>
    <w:basedOn w:val="Normal"/>
    <w:qFormat/>
    <w:rsid w:val="00441FB4"/>
    <w:pPr>
      <w:numPr>
        <w:numId w:val="1"/>
      </w:numPr>
      <w:contextualSpacing/>
    </w:pPr>
  </w:style>
  <w:style w:type="character" w:styleId="PlaceholderText">
    <w:name w:val="Placeholder Text"/>
    <w:basedOn w:val="DefaultParagraphFont"/>
    <w:uiPriority w:val="99"/>
    <w:semiHidden/>
    <w:rsid w:val="00F0619B"/>
    <w:rPr>
      <w:color w:val="808080"/>
    </w:rPr>
  </w:style>
  <w:style w:type="paragraph" w:customStyle="1" w:styleId="CRIRequirement">
    <w:name w:val="CRI Requirement"/>
    <w:basedOn w:val="Normal"/>
    <w:qFormat/>
    <w:rsid w:val="000923A7"/>
    <w:pPr>
      <w:ind w:left="720" w:hanging="720"/>
      <w:contextualSpacing/>
    </w:pPr>
  </w:style>
  <w:style w:type="paragraph" w:customStyle="1" w:styleId="BCIRequirement">
    <w:name w:val="BCI Requirement"/>
    <w:basedOn w:val="Normal"/>
    <w:qFormat/>
    <w:rsid w:val="00D03701"/>
    <w:pPr>
      <w:ind w:left="720" w:hanging="720"/>
      <w:contextualSpacing/>
    </w:pPr>
  </w:style>
  <w:style w:type="paragraph" w:customStyle="1" w:styleId="RadioButtonBullet">
    <w:name w:val="Radio Button Bullet"/>
    <w:basedOn w:val="ListParagraph"/>
    <w:qFormat/>
    <w:rsid w:val="00D03701"/>
    <w:pPr>
      <w:numPr>
        <w:numId w:val="2"/>
      </w:numPr>
    </w:pPr>
  </w:style>
  <w:style w:type="paragraph" w:customStyle="1" w:styleId="Title-notfirst">
    <w:name w:val="Title - not first"/>
    <w:basedOn w:val="Title"/>
    <w:qFormat/>
    <w:rsid w:val="00D03701"/>
    <w:pPr>
      <w:spacing w:before="60"/>
    </w:pPr>
  </w:style>
  <w:style w:type="paragraph" w:customStyle="1" w:styleId="IndNoteBullet">
    <w:name w:val="Ind Note Bullet"/>
    <w:basedOn w:val="Default"/>
    <w:qFormat/>
    <w:rsid w:val="00D03701"/>
    <w:pPr>
      <w:numPr>
        <w:numId w:val="3"/>
      </w:numPr>
      <w:ind w:left="360"/>
    </w:pPr>
    <w:rPr>
      <w:rFonts w:asciiTheme="minorHAnsi" w:hAnsiTheme="minorHAnsi"/>
      <w:color w:val="auto"/>
      <w:sz w:val="20"/>
      <w:szCs w:val="20"/>
    </w:r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4"/>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paragraph" w:customStyle="1" w:styleId="Explanation">
    <w:name w:val="Explanation"/>
    <w:basedOn w:val="Normal"/>
    <w:qFormat/>
    <w:rsid w:val="004502CD"/>
    <w:rPr>
      <w:i/>
      <w:color w:val="5F497A" w:themeColor="accent4" w:themeShade="BF"/>
    </w:rPr>
  </w:style>
  <w:style w:type="paragraph" w:styleId="NormalWeb">
    <w:name w:val="Normal (Web)"/>
    <w:basedOn w:val="Normal"/>
    <w:uiPriority w:val="99"/>
    <w:unhideWhenUsed/>
    <w:rsid w:val="005F551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55354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8751D3"/>
  </w:style>
  <w:style w:type="paragraph" w:customStyle="1" w:styleId="panel-sub1">
    <w:name w:val="panel-sub1"/>
    <w:basedOn w:val="Normal"/>
    <w:rsid w:val="008751D3"/>
    <w:pPr>
      <w:spacing w:before="100" w:beforeAutospacing="1" w:after="100" w:afterAutospacing="1"/>
    </w:pPr>
    <w:rPr>
      <w:rFonts w:ascii="Times New Roman" w:eastAsia="Times New Roman" w:hAnsi="Times New Roman" w:cs="Times New Roman"/>
      <w:sz w:val="24"/>
      <w:szCs w:val="24"/>
    </w:rPr>
  </w:style>
  <w:style w:type="paragraph" w:customStyle="1" w:styleId="panel-paragraph">
    <w:name w:val="panel-paragraph"/>
    <w:basedOn w:val="Normal"/>
    <w:rsid w:val="00B6703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A7519F"/>
    <w:pPr>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qFormat/>
    <w:rsid w:val="00A20411"/>
    <w:pPr>
      <w:keepNext/>
      <w:spacing w:after="0"/>
    </w:pPr>
    <w:rPr>
      <w:b/>
    </w:rPr>
  </w:style>
  <w:style w:type="paragraph" w:customStyle="1" w:styleId="Italic">
    <w:name w:val="Italic"/>
    <w:basedOn w:val="Normal"/>
    <w:next w:val="Normal"/>
    <w:qFormat/>
    <w:rsid w:val="007D435F"/>
    <w:pPr>
      <w:keepNext/>
    </w:pPr>
    <w:rPr>
      <w:i/>
    </w:rPr>
  </w:style>
  <w:style w:type="paragraph" w:customStyle="1" w:styleId="indicator-section-title">
    <w:name w:val="indicator-section-title"/>
    <w:basedOn w:val="Normal"/>
    <w:rsid w:val="00C960B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C24C2"/>
    <w:pPr>
      <w:spacing w:after="0" w:line="240" w:lineRule="auto"/>
    </w:pPr>
  </w:style>
  <w:style w:type="character" w:customStyle="1" w:styleId="Heading4Char">
    <w:name w:val="Heading 4 Char"/>
    <w:basedOn w:val="DefaultParagraphFont"/>
    <w:link w:val="Heading4"/>
    <w:uiPriority w:val="9"/>
    <w:rsid w:val="00371FAA"/>
    <w:rPr>
      <w:rFonts w:ascii="Arial" w:eastAsiaTheme="majorEastAsia" w:hAnsi="Arial" w:cstheme="majorBidi"/>
      <w:b/>
      <w:iCs/>
      <w:sz w:val="20"/>
    </w:rPr>
  </w:style>
  <w:style w:type="paragraph" w:customStyle="1" w:styleId="Subhed">
    <w:name w:val="Subhed"/>
    <w:basedOn w:val="Bold"/>
    <w:qFormat/>
    <w:rsid w:val="00120808"/>
    <w:rPr>
      <w:rFonts w:cs="Arial"/>
      <w:szCs w:val="16"/>
    </w:rPr>
  </w:style>
  <w:style w:type="character" w:styleId="Strong">
    <w:name w:val="Strong"/>
    <w:basedOn w:val="DefaultParagraphFont"/>
    <w:uiPriority w:val="22"/>
    <w:qFormat/>
    <w:rsid w:val="00B8653C"/>
    <w:rPr>
      <w:b/>
      <w:bCs/>
    </w:rPr>
  </w:style>
  <w:style w:type="paragraph" w:styleId="NoSpacing">
    <w:name w:val="No Spacing"/>
    <w:uiPriority w:val="1"/>
    <w:qFormat/>
    <w:rsid w:val="00EE0028"/>
    <w:pPr>
      <w:spacing w:after="0" w:line="240" w:lineRule="auto"/>
    </w:pPr>
  </w:style>
  <w:style w:type="paragraph" w:customStyle="1" w:styleId="TableHead">
    <w:name w:val="Table Head"/>
    <w:basedOn w:val="Normal"/>
    <w:qFormat/>
    <w:rsid w:val="009569B8"/>
    <w:pPr>
      <w:jc w:val="center"/>
    </w:pPr>
    <w:rPr>
      <w:rFonts w:cs="Arial"/>
      <w:b/>
      <w:szCs w:val="16"/>
    </w:rPr>
  </w:style>
  <w:style w:type="paragraph" w:customStyle="1" w:styleId="Numbering">
    <w:name w:val="Numbering"/>
    <w:basedOn w:val="Normal"/>
    <w:qFormat/>
    <w:rsid w:val="0093562B"/>
    <w:pPr>
      <w:spacing w:before="0" w:after="0"/>
    </w:pPr>
    <w:rPr>
      <w:rFonts w:eastAsia="Times New Roman" w:cs="Arial"/>
      <w:color w:val="222222"/>
      <w:szCs w:val="16"/>
    </w:rPr>
  </w:style>
  <w:style w:type="table" w:customStyle="1" w:styleId="TableGrid1">
    <w:name w:val="Table Grid1"/>
    <w:basedOn w:val="TableNormal"/>
    <w:next w:val="TableGrid"/>
    <w:uiPriority w:val="59"/>
    <w:rsid w:val="000B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E0EEF"/>
    <w:rPr>
      <w:i/>
      <w:iCs/>
    </w:rPr>
  </w:style>
  <w:style w:type="paragraph" w:customStyle="1" w:styleId="msonormal0">
    <w:name w:val="msonormal"/>
    <w:basedOn w:val="Normal"/>
    <w:rsid w:val="00BE0EEF"/>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BE0EEF"/>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BE0EEF"/>
    <w:rPr>
      <w:rFonts w:ascii="Carlito" w:eastAsia="Carlito" w:hAnsi="Carlito" w:cs="Carlito"/>
    </w:rPr>
  </w:style>
  <w:style w:type="paragraph" w:customStyle="1" w:styleId="TableParagraph">
    <w:name w:val="Table Paragraph"/>
    <w:basedOn w:val="Normal"/>
    <w:uiPriority w:val="1"/>
    <w:qFormat/>
    <w:rsid w:val="00BE0EEF"/>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BE0EEF"/>
    <w:rPr>
      <w:color w:val="800080"/>
      <w:u w:val="single"/>
    </w:rPr>
  </w:style>
  <w:style w:type="table" w:styleId="LightGrid-Accent1">
    <w:name w:val="Light Grid Accent 1"/>
    <w:basedOn w:val="TableNormal"/>
    <w:uiPriority w:val="62"/>
    <w:rsid w:val="00BE0E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BE0E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E0E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480A1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EndnoteText">
    <w:name w:val="endnote text"/>
    <w:basedOn w:val="Normal"/>
    <w:link w:val="EndnoteTextChar"/>
    <w:uiPriority w:val="99"/>
    <w:semiHidden/>
    <w:unhideWhenUsed/>
    <w:rsid w:val="00A47134"/>
    <w:pPr>
      <w:spacing w:before="0" w:after="0"/>
    </w:pPr>
    <w:rPr>
      <w:sz w:val="20"/>
      <w:szCs w:val="20"/>
    </w:rPr>
  </w:style>
  <w:style w:type="character" w:customStyle="1" w:styleId="EndnoteTextChar">
    <w:name w:val="Endnote Text Char"/>
    <w:basedOn w:val="DefaultParagraphFont"/>
    <w:link w:val="EndnoteText"/>
    <w:uiPriority w:val="99"/>
    <w:semiHidden/>
    <w:rsid w:val="00A47134"/>
    <w:rPr>
      <w:rFonts w:ascii="Arial" w:hAnsi="Arial"/>
      <w:sz w:val="20"/>
      <w:szCs w:val="20"/>
    </w:rPr>
  </w:style>
  <w:style w:type="character" w:styleId="EndnoteReference">
    <w:name w:val="endnote reference"/>
    <w:basedOn w:val="DefaultParagraphFont"/>
    <w:uiPriority w:val="99"/>
    <w:semiHidden/>
    <w:unhideWhenUsed/>
    <w:rsid w:val="00A47134"/>
    <w:rPr>
      <w:vertAlign w:val="superscript"/>
    </w:rPr>
  </w:style>
  <w:style w:type="character" w:styleId="UnresolvedMention">
    <w:name w:val="Unresolved Mention"/>
    <w:basedOn w:val="DefaultParagraphFont"/>
    <w:uiPriority w:val="99"/>
    <w:semiHidden/>
    <w:unhideWhenUsed/>
    <w:rsid w:val="00501909"/>
    <w:rPr>
      <w:color w:val="605E5C"/>
      <w:shd w:val="clear" w:color="auto" w:fill="E1DFDD"/>
    </w:rPr>
  </w:style>
  <w:style w:type="character" w:customStyle="1" w:styleId="ui-provider">
    <w:name w:val="ui-provider"/>
    <w:basedOn w:val="DefaultParagraphFont"/>
    <w:rsid w:val="006F0B24"/>
  </w:style>
  <w:style w:type="character" w:customStyle="1" w:styleId="normaltextrun">
    <w:name w:val="normaltextrun"/>
    <w:basedOn w:val="DefaultParagraphFont"/>
    <w:rsid w:val="003749F7"/>
  </w:style>
  <w:style w:type="character" w:styleId="Mention">
    <w:name w:val="Mention"/>
    <w:basedOn w:val="DefaultParagraphFont"/>
    <w:uiPriority w:val="99"/>
    <w:unhideWhenUsed/>
    <w:rsid w:val="007C68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878">
      <w:bodyDiv w:val="1"/>
      <w:marLeft w:val="0"/>
      <w:marRight w:val="0"/>
      <w:marTop w:val="0"/>
      <w:marBottom w:val="0"/>
      <w:divBdr>
        <w:top w:val="none" w:sz="0" w:space="0" w:color="auto"/>
        <w:left w:val="none" w:sz="0" w:space="0" w:color="auto"/>
        <w:bottom w:val="none" w:sz="0" w:space="0" w:color="auto"/>
        <w:right w:val="none" w:sz="0" w:space="0" w:color="auto"/>
      </w:divBdr>
    </w:div>
    <w:div w:id="33582676">
      <w:bodyDiv w:val="1"/>
      <w:marLeft w:val="0"/>
      <w:marRight w:val="0"/>
      <w:marTop w:val="0"/>
      <w:marBottom w:val="0"/>
      <w:divBdr>
        <w:top w:val="none" w:sz="0" w:space="0" w:color="auto"/>
        <w:left w:val="none" w:sz="0" w:space="0" w:color="auto"/>
        <w:bottom w:val="none" w:sz="0" w:space="0" w:color="auto"/>
        <w:right w:val="none" w:sz="0" w:space="0" w:color="auto"/>
      </w:divBdr>
    </w:div>
    <w:div w:id="66614295">
      <w:bodyDiv w:val="1"/>
      <w:marLeft w:val="0"/>
      <w:marRight w:val="0"/>
      <w:marTop w:val="0"/>
      <w:marBottom w:val="0"/>
      <w:divBdr>
        <w:top w:val="none" w:sz="0" w:space="0" w:color="auto"/>
        <w:left w:val="none" w:sz="0" w:space="0" w:color="auto"/>
        <w:bottom w:val="none" w:sz="0" w:space="0" w:color="auto"/>
        <w:right w:val="none" w:sz="0" w:space="0" w:color="auto"/>
      </w:divBdr>
      <w:divsChild>
        <w:div w:id="1664039907">
          <w:marLeft w:val="0"/>
          <w:marRight w:val="0"/>
          <w:marTop w:val="0"/>
          <w:marBottom w:val="0"/>
          <w:divBdr>
            <w:top w:val="none" w:sz="0" w:space="0" w:color="auto"/>
            <w:left w:val="none" w:sz="0" w:space="0" w:color="auto"/>
            <w:bottom w:val="none" w:sz="0" w:space="0" w:color="auto"/>
            <w:right w:val="none" w:sz="0" w:space="0" w:color="auto"/>
          </w:divBdr>
        </w:div>
      </w:divsChild>
    </w:div>
    <w:div w:id="73865556">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7917847">
      <w:bodyDiv w:val="1"/>
      <w:marLeft w:val="0"/>
      <w:marRight w:val="0"/>
      <w:marTop w:val="0"/>
      <w:marBottom w:val="0"/>
      <w:divBdr>
        <w:top w:val="none" w:sz="0" w:space="0" w:color="auto"/>
        <w:left w:val="none" w:sz="0" w:space="0" w:color="auto"/>
        <w:bottom w:val="none" w:sz="0" w:space="0" w:color="auto"/>
        <w:right w:val="none" w:sz="0" w:space="0" w:color="auto"/>
      </w:divBdr>
    </w:div>
    <w:div w:id="220336243">
      <w:bodyDiv w:val="1"/>
      <w:marLeft w:val="0"/>
      <w:marRight w:val="0"/>
      <w:marTop w:val="0"/>
      <w:marBottom w:val="0"/>
      <w:divBdr>
        <w:top w:val="none" w:sz="0" w:space="0" w:color="auto"/>
        <w:left w:val="none" w:sz="0" w:space="0" w:color="auto"/>
        <w:bottom w:val="none" w:sz="0" w:space="0" w:color="auto"/>
        <w:right w:val="none" w:sz="0" w:space="0" w:color="auto"/>
      </w:divBdr>
    </w:div>
    <w:div w:id="227694473">
      <w:bodyDiv w:val="1"/>
      <w:marLeft w:val="0"/>
      <w:marRight w:val="0"/>
      <w:marTop w:val="0"/>
      <w:marBottom w:val="0"/>
      <w:divBdr>
        <w:top w:val="none" w:sz="0" w:space="0" w:color="auto"/>
        <w:left w:val="none" w:sz="0" w:space="0" w:color="auto"/>
        <w:bottom w:val="none" w:sz="0" w:space="0" w:color="auto"/>
        <w:right w:val="none" w:sz="0" w:space="0" w:color="auto"/>
      </w:divBdr>
    </w:div>
    <w:div w:id="246109840">
      <w:bodyDiv w:val="1"/>
      <w:marLeft w:val="0"/>
      <w:marRight w:val="0"/>
      <w:marTop w:val="0"/>
      <w:marBottom w:val="0"/>
      <w:divBdr>
        <w:top w:val="none" w:sz="0" w:space="0" w:color="auto"/>
        <w:left w:val="none" w:sz="0" w:space="0" w:color="auto"/>
        <w:bottom w:val="none" w:sz="0" w:space="0" w:color="auto"/>
        <w:right w:val="none" w:sz="0" w:space="0" w:color="auto"/>
      </w:divBdr>
    </w:div>
    <w:div w:id="257836862">
      <w:bodyDiv w:val="1"/>
      <w:marLeft w:val="0"/>
      <w:marRight w:val="0"/>
      <w:marTop w:val="0"/>
      <w:marBottom w:val="0"/>
      <w:divBdr>
        <w:top w:val="none" w:sz="0" w:space="0" w:color="auto"/>
        <w:left w:val="none" w:sz="0" w:space="0" w:color="auto"/>
        <w:bottom w:val="none" w:sz="0" w:space="0" w:color="auto"/>
        <w:right w:val="none" w:sz="0" w:space="0" w:color="auto"/>
      </w:divBdr>
    </w:div>
    <w:div w:id="264505258">
      <w:bodyDiv w:val="1"/>
      <w:marLeft w:val="0"/>
      <w:marRight w:val="0"/>
      <w:marTop w:val="0"/>
      <w:marBottom w:val="0"/>
      <w:divBdr>
        <w:top w:val="none" w:sz="0" w:space="0" w:color="auto"/>
        <w:left w:val="none" w:sz="0" w:space="0" w:color="auto"/>
        <w:bottom w:val="none" w:sz="0" w:space="0" w:color="auto"/>
        <w:right w:val="none" w:sz="0" w:space="0" w:color="auto"/>
      </w:divBdr>
      <w:divsChild>
        <w:div w:id="1898078886">
          <w:marLeft w:val="0"/>
          <w:marRight w:val="0"/>
          <w:marTop w:val="0"/>
          <w:marBottom w:val="150"/>
          <w:divBdr>
            <w:top w:val="none" w:sz="0" w:space="0" w:color="auto"/>
            <w:left w:val="none" w:sz="0" w:space="0" w:color="auto"/>
            <w:bottom w:val="none" w:sz="0" w:space="0" w:color="auto"/>
            <w:right w:val="none" w:sz="0" w:space="0" w:color="auto"/>
          </w:divBdr>
        </w:div>
        <w:div w:id="2020041191">
          <w:marLeft w:val="0"/>
          <w:marRight w:val="0"/>
          <w:marTop w:val="0"/>
          <w:marBottom w:val="150"/>
          <w:divBdr>
            <w:top w:val="none" w:sz="0" w:space="0" w:color="auto"/>
            <w:left w:val="none" w:sz="0" w:space="0" w:color="auto"/>
            <w:bottom w:val="none" w:sz="0" w:space="0" w:color="auto"/>
            <w:right w:val="none" w:sz="0" w:space="0" w:color="auto"/>
          </w:divBdr>
        </w:div>
      </w:divsChild>
    </w:div>
    <w:div w:id="269122146">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31032465">
      <w:bodyDiv w:val="1"/>
      <w:marLeft w:val="0"/>
      <w:marRight w:val="0"/>
      <w:marTop w:val="0"/>
      <w:marBottom w:val="0"/>
      <w:divBdr>
        <w:top w:val="none" w:sz="0" w:space="0" w:color="auto"/>
        <w:left w:val="none" w:sz="0" w:space="0" w:color="auto"/>
        <w:bottom w:val="none" w:sz="0" w:space="0" w:color="auto"/>
        <w:right w:val="none" w:sz="0" w:space="0" w:color="auto"/>
      </w:divBdr>
    </w:div>
    <w:div w:id="343824430">
      <w:bodyDiv w:val="1"/>
      <w:marLeft w:val="0"/>
      <w:marRight w:val="0"/>
      <w:marTop w:val="0"/>
      <w:marBottom w:val="0"/>
      <w:divBdr>
        <w:top w:val="none" w:sz="0" w:space="0" w:color="auto"/>
        <w:left w:val="none" w:sz="0" w:space="0" w:color="auto"/>
        <w:bottom w:val="none" w:sz="0" w:space="0" w:color="auto"/>
        <w:right w:val="none" w:sz="0" w:space="0" w:color="auto"/>
      </w:divBdr>
      <w:divsChild>
        <w:div w:id="289673781">
          <w:marLeft w:val="0"/>
          <w:marRight w:val="0"/>
          <w:marTop w:val="0"/>
          <w:marBottom w:val="210"/>
          <w:divBdr>
            <w:top w:val="none" w:sz="0" w:space="0" w:color="auto"/>
            <w:left w:val="none" w:sz="0" w:space="0" w:color="auto"/>
            <w:bottom w:val="none" w:sz="0" w:space="0" w:color="auto"/>
            <w:right w:val="none" w:sz="0" w:space="0" w:color="auto"/>
          </w:divBdr>
        </w:div>
        <w:div w:id="296957980">
          <w:marLeft w:val="0"/>
          <w:marRight w:val="0"/>
          <w:marTop w:val="0"/>
          <w:marBottom w:val="210"/>
          <w:divBdr>
            <w:top w:val="none" w:sz="0" w:space="0" w:color="auto"/>
            <w:left w:val="none" w:sz="0" w:space="0" w:color="auto"/>
            <w:bottom w:val="none" w:sz="0" w:space="0" w:color="auto"/>
            <w:right w:val="none" w:sz="0" w:space="0" w:color="auto"/>
          </w:divBdr>
        </w:div>
        <w:div w:id="308442762">
          <w:marLeft w:val="0"/>
          <w:marRight w:val="0"/>
          <w:marTop w:val="0"/>
          <w:marBottom w:val="210"/>
          <w:divBdr>
            <w:top w:val="none" w:sz="0" w:space="0" w:color="auto"/>
            <w:left w:val="none" w:sz="0" w:space="0" w:color="auto"/>
            <w:bottom w:val="none" w:sz="0" w:space="0" w:color="auto"/>
            <w:right w:val="none" w:sz="0" w:space="0" w:color="auto"/>
          </w:divBdr>
        </w:div>
        <w:div w:id="1092167359">
          <w:marLeft w:val="0"/>
          <w:marRight w:val="0"/>
          <w:marTop w:val="0"/>
          <w:marBottom w:val="210"/>
          <w:divBdr>
            <w:top w:val="none" w:sz="0" w:space="0" w:color="auto"/>
            <w:left w:val="none" w:sz="0" w:space="0" w:color="auto"/>
            <w:bottom w:val="none" w:sz="0" w:space="0" w:color="auto"/>
            <w:right w:val="none" w:sz="0" w:space="0" w:color="auto"/>
          </w:divBdr>
        </w:div>
      </w:divsChild>
    </w:div>
    <w:div w:id="353579608">
      <w:bodyDiv w:val="1"/>
      <w:marLeft w:val="0"/>
      <w:marRight w:val="0"/>
      <w:marTop w:val="0"/>
      <w:marBottom w:val="0"/>
      <w:divBdr>
        <w:top w:val="none" w:sz="0" w:space="0" w:color="auto"/>
        <w:left w:val="none" w:sz="0" w:space="0" w:color="auto"/>
        <w:bottom w:val="none" w:sz="0" w:space="0" w:color="auto"/>
        <w:right w:val="none" w:sz="0" w:space="0" w:color="auto"/>
      </w:divBdr>
    </w:div>
    <w:div w:id="380713603">
      <w:bodyDiv w:val="1"/>
      <w:marLeft w:val="0"/>
      <w:marRight w:val="0"/>
      <w:marTop w:val="0"/>
      <w:marBottom w:val="0"/>
      <w:divBdr>
        <w:top w:val="none" w:sz="0" w:space="0" w:color="auto"/>
        <w:left w:val="none" w:sz="0" w:space="0" w:color="auto"/>
        <w:bottom w:val="none" w:sz="0" w:space="0" w:color="auto"/>
        <w:right w:val="none" w:sz="0" w:space="0" w:color="auto"/>
      </w:divBdr>
    </w:div>
    <w:div w:id="393163176">
      <w:bodyDiv w:val="1"/>
      <w:marLeft w:val="0"/>
      <w:marRight w:val="0"/>
      <w:marTop w:val="0"/>
      <w:marBottom w:val="0"/>
      <w:divBdr>
        <w:top w:val="none" w:sz="0" w:space="0" w:color="auto"/>
        <w:left w:val="none" w:sz="0" w:space="0" w:color="auto"/>
        <w:bottom w:val="none" w:sz="0" w:space="0" w:color="auto"/>
        <w:right w:val="none" w:sz="0" w:space="0" w:color="auto"/>
      </w:divBdr>
    </w:div>
    <w:div w:id="407192773">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28965040">
      <w:bodyDiv w:val="1"/>
      <w:marLeft w:val="0"/>
      <w:marRight w:val="0"/>
      <w:marTop w:val="0"/>
      <w:marBottom w:val="0"/>
      <w:divBdr>
        <w:top w:val="none" w:sz="0" w:space="0" w:color="auto"/>
        <w:left w:val="none" w:sz="0" w:space="0" w:color="auto"/>
        <w:bottom w:val="none" w:sz="0" w:space="0" w:color="auto"/>
        <w:right w:val="none" w:sz="0" w:space="0" w:color="auto"/>
      </w:divBdr>
      <w:divsChild>
        <w:div w:id="28116490">
          <w:marLeft w:val="0"/>
          <w:marRight w:val="0"/>
          <w:marTop w:val="0"/>
          <w:marBottom w:val="150"/>
          <w:divBdr>
            <w:top w:val="none" w:sz="0" w:space="0" w:color="auto"/>
            <w:left w:val="none" w:sz="0" w:space="0" w:color="auto"/>
            <w:bottom w:val="none" w:sz="0" w:space="0" w:color="auto"/>
            <w:right w:val="none" w:sz="0" w:space="0" w:color="auto"/>
          </w:divBdr>
        </w:div>
        <w:div w:id="774641537">
          <w:marLeft w:val="0"/>
          <w:marRight w:val="0"/>
          <w:marTop w:val="0"/>
          <w:marBottom w:val="150"/>
          <w:divBdr>
            <w:top w:val="none" w:sz="0" w:space="0" w:color="auto"/>
            <w:left w:val="none" w:sz="0" w:space="0" w:color="auto"/>
            <w:bottom w:val="none" w:sz="0" w:space="0" w:color="auto"/>
            <w:right w:val="none" w:sz="0" w:space="0" w:color="auto"/>
          </w:divBdr>
        </w:div>
        <w:div w:id="817460730">
          <w:marLeft w:val="0"/>
          <w:marRight w:val="0"/>
          <w:marTop w:val="0"/>
          <w:marBottom w:val="600"/>
          <w:divBdr>
            <w:top w:val="none" w:sz="0" w:space="0" w:color="auto"/>
            <w:left w:val="none" w:sz="0" w:space="0" w:color="auto"/>
            <w:bottom w:val="none" w:sz="0" w:space="0" w:color="auto"/>
            <w:right w:val="none" w:sz="0" w:space="0" w:color="auto"/>
          </w:divBdr>
        </w:div>
      </w:divsChild>
    </w:div>
    <w:div w:id="452943263">
      <w:bodyDiv w:val="1"/>
      <w:marLeft w:val="0"/>
      <w:marRight w:val="0"/>
      <w:marTop w:val="0"/>
      <w:marBottom w:val="0"/>
      <w:divBdr>
        <w:top w:val="none" w:sz="0" w:space="0" w:color="auto"/>
        <w:left w:val="none" w:sz="0" w:space="0" w:color="auto"/>
        <w:bottom w:val="none" w:sz="0" w:space="0" w:color="auto"/>
        <w:right w:val="none" w:sz="0" w:space="0" w:color="auto"/>
      </w:divBdr>
    </w:div>
    <w:div w:id="462816014">
      <w:bodyDiv w:val="1"/>
      <w:marLeft w:val="0"/>
      <w:marRight w:val="0"/>
      <w:marTop w:val="0"/>
      <w:marBottom w:val="0"/>
      <w:divBdr>
        <w:top w:val="none" w:sz="0" w:space="0" w:color="auto"/>
        <w:left w:val="none" w:sz="0" w:space="0" w:color="auto"/>
        <w:bottom w:val="none" w:sz="0" w:space="0" w:color="auto"/>
        <w:right w:val="none" w:sz="0" w:space="0" w:color="auto"/>
      </w:divBdr>
    </w:div>
    <w:div w:id="471408565">
      <w:bodyDiv w:val="1"/>
      <w:marLeft w:val="0"/>
      <w:marRight w:val="0"/>
      <w:marTop w:val="0"/>
      <w:marBottom w:val="0"/>
      <w:divBdr>
        <w:top w:val="none" w:sz="0" w:space="0" w:color="auto"/>
        <w:left w:val="none" w:sz="0" w:space="0" w:color="auto"/>
        <w:bottom w:val="none" w:sz="0" w:space="0" w:color="auto"/>
        <w:right w:val="none" w:sz="0" w:space="0" w:color="auto"/>
      </w:divBdr>
    </w:div>
    <w:div w:id="490412300">
      <w:bodyDiv w:val="1"/>
      <w:marLeft w:val="0"/>
      <w:marRight w:val="0"/>
      <w:marTop w:val="0"/>
      <w:marBottom w:val="0"/>
      <w:divBdr>
        <w:top w:val="none" w:sz="0" w:space="0" w:color="auto"/>
        <w:left w:val="none" w:sz="0" w:space="0" w:color="auto"/>
        <w:bottom w:val="none" w:sz="0" w:space="0" w:color="auto"/>
        <w:right w:val="none" w:sz="0" w:space="0" w:color="auto"/>
      </w:divBdr>
    </w:div>
    <w:div w:id="500513603">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44684300">
      <w:bodyDiv w:val="1"/>
      <w:marLeft w:val="0"/>
      <w:marRight w:val="0"/>
      <w:marTop w:val="0"/>
      <w:marBottom w:val="0"/>
      <w:divBdr>
        <w:top w:val="none" w:sz="0" w:space="0" w:color="auto"/>
        <w:left w:val="none" w:sz="0" w:space="0" w:color="auto"/>
        <w:bottom w:val="none" w:sz="0" w:space="0" w:color="auto"/>
        <w:right w:val="none" w:sz="0" w:space="0" w:color="auto"/>
      </w:divBdr>
    </w:div>
    <w:div w:id="546917993">
      <w:bodyDiv w:val="1"/>
      <w:marLeft w:val="0"/>
      <w:marRight w:val="0"/>
      <w:marTop w:val="0"/>
      <w:marBottom w:val="0"/>
      <w:divBdr>
        <w:top w:val="none" w:sz="0" w:space="0" w:color="auto"/>
        <w:left w:val="none" w:sz="0" w:space="0" w:color="auto"/>
        <w:bottom w:val="none" w:sz="0" w:space="0" w:color="auto"/>
        <w:right w:val="none" w:sz="0" w:space="0" w:color="auto"/>
      </w:divBdr>
      <w:divsChild>
        <w:div w:id="138767312">
          <w:marLeft w:val="0"/>
          <w:marRight w:val="0"/>
          <w:marTop w:val="0"/>
          <w:marBottom w:val="150"/>
          <w:divBdr>
            <w:top w:val="none" w:sz="0" w:space="0" w:color="auto"/>
            <w:left w:val="none" w:sz="0" w:space="0" w:color="auto"/>
            <w:bottom w:val="none" w:sz="0" w:space="0" w:color="auto"/>
            <w:right w:val="none" w:sz="0" w:space="0" w:color="auto"/>
          </w:divBdr>
        </w:div>
        <w:div w:id="809245715">
          <w:marLeft w:val="0"/>
          <w:marRight w:val="0"/>
          <w:marTop w:val="0"/>
          <w:marBottom w:val="150"/>
          <w:divBdr>
            <w:top w:val="none" w:sz="0" w:space="0" w:color="auto"/>
            <w:left w:val="none" w:sz="0" w:space="0" w:color="auto"/>
            <w:bottom w:val="none" w:sz="0" w:space="0" w:color="auto"/>
            <w:right w:val="none" w:sz="0" w:space="0" w:color="auto"/>
          </w:divBdr>
        </w:div>
      </w:divsChild>
    </w:div>
    <w:div w:id="585847008">
      <w:bodyDiv w:val="1"/>
      <w:marLeft w:val="0"/>
      <w:marRight w:val="0"/>
      <w:marTop w:val="0"/>
      <w:marBottom w:val="0"/>
      <w:divBdr>
        <w:top w:val="none" w:sz="0" w:space="0" w:color="auto"/>
        <w:left w:val="none" w:sz="0" w:space="0" w:color="auto"/>
        <w:bottom w:val="none" w:sz="0" w:space="0" w:color="auto"/>
        <w:right w:val="none" w:sz="0" w:space="0" w:color="auto"/>
      </w:divBdr>
    </w:div>
    <w:div w:id="589579102">
      <w:bodyDiv w:val="1"/>
      <w:marLeft w:val="0"/>
      <w:marRight w:val="0"/>
      <w:marTop w:val="0"/>
      <w:marBottom w:val="0"/>
      <w:divBdr>
        <w:top w:val="none" w:sz="0" w:space="0" w:color="auto"/>
        <w:left w:val="none" w:sz="0" w:space="0" w:color="auto"/>
        <w:bottom w:val="none" w:sz="0" w:space="0" w:color="auto"/>
        <w:right w:val="none" w:sz="0" w:space="0" w:color="auto"/>
      </w:divBdr>
    </w:div>
    <w:div w:id="599142207">
      <w:bodyDiv w:val="1"/>
      <w:marLeft w:val="0"/>
      <w:marRight w:val="0"/>
      <w:marTop w:val="0"/>
      <w:marBottom w:val="0"/>
      <w:divBdr>
        <w:top w:val="none" w:sz="0" w:space="0" w:color="auto"/>
        <w:left w:val="none" w:sz="0" w:space="0" w:color="auto"/>
        <w:bottom w:val="none" w:sz="0" w:space="0" w:color="auto"/>
        <w:right w:val="none" w:sz="0" w:space="0" w:color="auto"/>
      </w:divBdr>
    </w:div>
    <w:div w:id="601256913">
      <w:bodyDiv w:val="1"/>
      <w:marLeft w:val="0"/>
      <w:marRight w:val="0"/>
      <w:marTop w:val="0"/>
      <w:marBottom w:val="0"/>
      <w:divBdr>
        <w:top w:val="none" w:sz="0" w:space="0" w:color="auto"/>
        <w:left w:val="none" w:sz="0" w:space="0" w:color="auto"/>
        <w:bottom w:val="none" w:sz="0" w:space="0" w:color="auto"/>
        <w:right w:val="none" w:sz="0" w:space="0" w:color="auto"/>
      </w:divBdr>
    </w:div>
    <w:div w:id="625159589">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720909749">
      <w:bodyDiv w:val="1"/>
      <w:marLeft w:val="0"/>
      <w:marRight w:val="0"/>
      <w:marTop w:val="0"/>
      <w:marBottom w:val="0"/>
      <w:divBdr>
        <w:top w:val="none" w:sz="0" w:space="0" w:color="auto"/>
        <w:left w:val="none" w:sz="0" w:space="0" w:color="auto"/>
        <w:bottom w:val="none" w:sz="0" w:space="0" w:color="auto"/>
        <w:right w:val="none" w:sz="0" w:space="0" w:color="auto"/>
      </w:divBdr>
    </w:div>
    <w:div w:id="754941418">
      <w:bodyDiv w:val="1"/>
      <w:marLeft w:val="0"/>
      <w:marRight w:val="0"/>
      <w:marTop w:val="0"/>
      <w:marBottom w:val="0"/>
      <w:divBdr>
        <w:top w:val="none" w:sz="0" w:space="0" w:color="auto"/>
        <w:left w:val="none" w:sz="0" w:space="0" w:color="auto"/>
        <w:bottom w:val="none" w:sz="0" w:space="0" w:color="auto"/>
        <w:right w:val="none" w:sz="0" w:space="0" w:color="auto"/>
      </w:divBdr>
    </w:div>
    <w:div w:id="770859703">
      <w:bodyDiv w:val="1"/>
      <w:marLeft w:val="0"/>
      <w:marRight w:val="0"/>
      <w:marTop w:val="0"/>
      <w:marBottom w:val="0"/>
      <w:divBdr>
        <w:top w:val="none" w:sz="0" w:space="0" w:color="auto"/>
        <w:left w:val="none" w:sz="0" w:space="0" w:color="auto"/>
        <w:bottom w:val="none" w:sz="0" w:space="0" w:color="auto"/>
        <w:right w:val="none" w:sz="0" w:space="0" w:color="auto"/>
      </w:divBdr>
    </w:div>
    <w:div w:id="871263046">
      <w:bodyDiv w:val="1"/>
      <w:marLeft w:val="0"/>
      <w:marRight w:val="0"/>
      <w:marTop w:val="0"/>
      <w:marBottom w:val="0"/>
      <w:divBdr>
        <w:top w:val="none" w:sz="0" w:space="0" w:color="auto"/>
        <w:left w:val="none" w:sz="0" w:space="0" w:color="auto"/>
        <w:bottom w:val="none" w:sz="0" w:space="0" w:color="auto"/>
        <w:right w:val="none" w:sz="0" w:space="0" w:color="auto"/>
      </w:divBdr>
    </w:div>
    <w:div w:id="875460430">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919487728">
      <w:bodyDiv w:val="1"/>
      <w:marLeft w:val="0"/>
      <w:marRight w:val="0"/>
      <w:marTop w:val="0"/>
      <w:marBottom w:val="0"/>
      <w:divBdr>
        <w:top w:val="none" w:sz="0" w:space="0" w:color="auto"/>
        <w:left w:val="none" w:sz="0" w:space="0" w:color="auto"/>
        <w:bottom w:val="none" w:sz="0" w:space="0" w:color="auto"/>
        <w:right w:val="none" w:sz="0" w:space="0" w:color="auto"/>
      </w:divBdr>
    </w:div>
    <w:div w:id="922296269">
      <w:bodyDiv w:val="1"/>
      <w:marLeft w:val="0"/>
      <w:marRight w:val="0"/>
      <w:marTop w:val="0"/>
      <w:marBottom w:val="0"/>
      <w:divBdr>
        <w:top w:val="none" w:sz="0" w:space="0" w:color="auto"/>
        <w:left w:val="none" w:sz="0" w:space="0" w:color="auto"/>
        <w:bottom w:val="none" w:sz="0" w:space="0" w:color="auto"/>
        <w:right w:val="none" w:sz="0" w:space="0" w:color="auto"/>
      </w:divBdr>
    </w:div>
    <w:div w:id="948194938">
      <w:bodyDiv w:val="1"/>
      <w:marLeft w:val="0"/>
      <w:marRight w:val="0"/>
      <w:marTop w:val="0"/>
      <w:marBottom w:val="0"/>
      <w:divBdr>
        <w:top w:val="none" w:sz="0" w:space="0" w:color="auto"/>
        <w:left w:val="none" w:sz="0" w:space="0" w:color="auto"/>
        <w:bottom w:val="none" w:sz="0" w:space="0" w:color="auto"/>
        <w:right w:val="none" w:sz="0" w:space="0" w:color="auto"/>
      </w:divBdr>
    </w:div>
    <w:div w:id="982778362">
      <w:bodyDiv w:val="1"/>
      <w:marLeft w:val="0"/>
      <w:marRight w:val="0"/>
      <w:marTop w:val="0"/>
      <w:marBottom w:val="0"/>
      <w:divBdr>
        <w:top w:val="none" w:sz="0" w:space="0" w:color="auto"/>
        <w:left w:val="none" w:sz="0" w:space="0" w:color="auto"/>
        <w:bottom w:val="none" w:sz="0" w:space="0" w:color="auto"/>
        <w:right w:val="none" w:sz="0" w:space="0" w:color="auto"/>
      </w:divBdr>
      <w:divsChild>
        <w:div w:id="676611782">
          <w:marLeft w:val="0"/>
          <w:marRight w:val="0"/>
          <w:marTop w:val="0"/>
          <w:marBottom w:val="210"/>
          <w:divBdr>
            <w:top w:val="none" w:sz="0" w:space="0" w:color="auto"/>
            <w:left w:val="none" w:sz="0" w:space="0" w:color="auto"/>
            <w:bottom w:val="none" w:sz="0" w:space="0" w:color="auto"/>
            <w:right w:val="none" w:sz="0" w:space="0" w:color="auto"/>
          </w:divBdr>
        </w:div>
        <w:div w:id="805707046">
          <w:marLeft w:val="0"/>
          <w:marRight w:val="0"/>
          <w:marTop w:val="0"/>
          <w:marBottom w:val="210"/>
          <w:divBdr>
            <w:top w:val="none" w:sz="0" w:space="0" w:color="auto"/>
            <w:left w:val="none" w:sz="0" w:space="0" w:color="auto"/>
            <w:bottom w:val="none" w:sz="0" w:space="0" w:color="auto"/>
            <w:right w:val="none" w:sz="0" w:space="0" w:color="auto"/>
          </w:divBdr>
        </w:div>
        <w:div w:id="1207450279">
          <w:marLeft w:val="0"/>
          <w:marRight w:val="0"/>
          <w:marTop w:val="0"/>
          <w:marBottom w:val="210"/>
          <w:divBdr>
            <w:top w:val="none" w:sz="0" w:space="0" w:color="auto"/>
            <w:left w:val="none" w:sz="0" w:space="0" w:color="auto"/>
            <w:bottom w:val="none" w:sz="0" w:space="0" w:color="auto"/>
            <w:right w:val="none" w:sz="0" w:space="0" w:color="auto"/>
          </w:divBdr>
        </w:div>
      </w:divsChild>
    </w:div>
    <w:div w:id="986087305">
      <w:bodyDiv w:val="1"/>
      <w:marLeft w:val="0"/>
      <w:marRight w:val="0"/>
      <w:marTop w:val="0"/>
      <w:marBottom w:val="0"/>
      <w:divBdr>
        <w:top w:val="none" w:sz="0" w:space="0" w:color="auto"/>
        <w:left w:val="none" w:sz="0" w:space="0" w:color="auto"/>
        <w:bottom w:val="none" w:sz="0" w:space="0" w:color="auto"/>
        <w:right w:val="none" w:sz="0" w:space="0" w:color="auto"/>
      </w:divBdr>
      <w:divsChild>
        <w:div w:id="185751529">
          <w:marLeft w:val="0"/>
          <w:marRight w:val="0"/>
          <w:marTop w:val="75"/>
          <w:marBottom w:val="225"/>
          <w:divBdr>
            <w:top w:val="none" w:sz="0" w:space="0" w:color="auto"/>
            <w:left w:val="none" w:sz="0" w:space="0" w:color="auto"/>
            <w:bottom w:val="none" w:sz="0" w:space="0" w:color="auto"/>
            <w:right w:val="none" w:sz="0" w:space="0" w:color="auto"/>
          </w:divBdr>
        </w:div>
        <w:div w:id="751465934">
          <w:marLeft w:val="0"/>
          <w:marRight w:val="0"/>
          <w:marTop w:val="75"/>
          <w:marBottom w:val="75"/>
          <w:divBdr>
            <w:top w:val="none" w:sz="0" w:space="0" w:color="auto"/>
            <w:left w:val="none" w:sz="0" w:space="0" w:color="auto"/>
            <w:bottom w:val="none" w:sz="0" w:space="0" w:color="auto"/>
            <w:right w:val="none" w:sz="0" w:space="0" w:color="auto"/>
          </w:divBdr>
        </w:div>
      </w:divsChild>
    </w:div>
    <w:div w:id="990327768">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12027449">
      <w:bodyDiv w:val="1"/>
      <w:marLeft w:val="0"/>
      <w:marRight w:val="0"/>
      <w:marTop w:val="0"/>
      <w:marBottom w:val="0"/>
      <w:divBdr>
        <w:top w:val="none" w:sz="0" w:space="0" w:color="auto"/>
        <w:left w:val="none" w:sz="0" w:space="0" w:color="auto"/>
        <w:bottom w:val="none" w:sz="0" w:space="0" w:color="auto"/>
        <w:right w:val="none" w:sz="0" w:space="0" w:color="auto"/>
      </w:divBdr>
      <w:divsChild>
        <w:div w:id="94712170">
          <w:marLeft w:val="0"/>
          <w:marRight w:val="0"/>
          <w:marTop w:val="0"/>
          <w:marBottom w:val="150"/>
          <w:divBdr>
            <w:top w:val="none" w:sz="0" w:space="0" w:color="auto"/>
            <w:left w:val="none" w:sz="0" w:space="0" w:color="auto"/>
            <w:bottom w:val="none" w:sz="0" w:space="0" w:color="auto"/>
            <w:right w:val="none" w:sz="0" w:space="0" w:color="auto"/>
          </w:divBdr>
        </w:div>
        <w:div w:id="1955480511">
          <w:marLeft w:val="0"/>
          <w:marRight w:val="0"/>
          <w:marTop w:val="0"/>
          <w:marBottom w:val="150"/>
          <w:divBdr>
            <w:top w:val="none" w:sz="0" w:space="0" w:color="auto"/>
            <w:left w:val="none" w:sz="0" w:space="0" w:color="auto"/>
            <w:bottom w:val="none" w:sz="0" w:space="0" w:color="auto"/>
            <w:right w:val="none" w:sz="0" w:space="0" w:color="auto"/>
          </w:divBdr>
        </w:div>
      </w:divsChild>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089742121">
      <w:bodyDiv w:val="1"/>
      <w:marLeft w:val="0"/>
      <w:marRight w:val="0"/>
      <w:marTop w:val="0"/>
      <w:marBottom w:val="0"/>
      <w:divBdr>
        <w:top w:val="none" w:sz="0" w:space="0" w:color="auto"/>
        <w:left w:val="none" w:sz="0" w:space="0" w:color="auto"/>
        <w:bottom w:val="none" w:sz="0" w:space="0" w:color="auto"/>
        <w:right w:val="none" w:sz="0" w:space="0" w:color="auto"/>
      </w:divBdr>
    </w:div>
    <w:div w:id="1104957471">
      <w:bodyDiv w:val="1"/>
      <w:marLeft w:val="0"/>
      <w:marRight w:val="0"/>
      <w:marTop w:val="0"/>
      <w:marBottom w:val="0"/>
      <w:divBdr>
        <w:top w:val="none" w:sz="0" w:space="0" w:color="auto"/>
        <w:left w:val="none" w:sz="0" w:space="0" w:color="auto"/>
        <w:bottom w:val="none" w:sz="0" w:space="0" w:color="auto"/>
        <w:right w:val="none" w:sz="0" w:space="0" w:color="auto"/>
      </w:divBdr>
      <w:divsChild>
        <w:div w:id="362757015">
          <w:marLeft w:val="0"/>
          <w:marRight w:val="0"/>
          <w:marTop w:val="0"/>
          <w:marBottom w:val="150"/>
          <w:divBdr>
            <w:top w:val="none" w:sz="0" w:space="0" w:color="auto"/>
            <w:left w:val="none" w:sz="0" w:space="0" w:color="auto"/>
            <w:bottom w:val="none" w:sz="0" w:space="0" w:color="auto"/>
            <w:right w:val="none" w:sz="0" w:space="0" w:color="auto"/>
          </w:divBdr>
        </w:div>
        <w:div w:id="843126751">
          <w:marLeft w:val="0"/>
          <w:marRight w:val="0"/>
          <w:marTop w:val="0"/>
          <w:marBottom w:val="150"/>
          <w:divBdr>
            <w:top w:val="none" w:sz="0" w:space="0" w:color="auto"/>
            <w:left w:val="none" w:sz="0" w:space="0" w:color="auto"/>
            <w:bottom w:val="none" w:sz="0" w:space="0" w:color="auto"/>
            <w:right w:val="none" w:sz="0" w:space="0" w:color="auto"/>
          </w:divBdr>
        </w:div>
      </w:divsChild>
    </w:div>
    <w:div w:id="1105730462">
      <w:bodyDiv w:val="1"/>
      <w:marLeft w:val="0"/>
      <w:marRight w:val="0"/>
      <w:marTop w:val="0"/>
      <w:marBottom w:val="0"/>
      <w:divBdr>
        <w:top w:val="none" w:sz="0" w:space="0" w:color="auto"/>
        <w:left w:val="none" w:sz="0" w:space="0" w:color="auto"/>
        <w:bottom w:val="none" w:sz="0" w:space="0" w:color="auto"/>
        <w:right w:val="none" w:sz="0" w:space="0" w:color="auto"/>
      </w:divBdr>
    </w:div>
    <w:div w:id="1111977471">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55343312">
      <w:bodyDiv w:val="1"/>
      <w:marLeft w:val="0"/>
      <w:marRight w:val="0"/>
      <w:marTop w:val="0"/>
      <w:marBottom w:val="0"/>
      <w:divBdr>
        <w:top w:val="none" w:sz="0" w:space="0" w:color="auto"/>
        <w:left w:val="none" w:sz="0" w:space="0" w:color="auto"/>
        <w:bottom w:val="none" w:sz="0" w:space="0" w:color="auto"/>
        <w:right w:val="none" w:sz="0" w:space="0" w:color="auto"/>
      </w:divBdr>
    </w:div>
    <w:div w:id="1169979268">
      <w:bodyDiv w:val="1"/>
      <w:marLeft w:val="0"/>
      <w:marRight w:val="0"/>
      <w:marTop w:val="0"/>
      <w:marBottom w:val="0"/>
      <w:divBdr>
        <w:top w:val="none" w:sz="0" w:space="0" w:color="auto"/>
        <w:left w:val="none" w:sz="0" w:space="0" w:color="auto"/>
        <w:bottom w:val="none" w:sz="0" w:space="0" w:color="auto"/>
        <w:right w:val="none" w:sz="0" w:space="0" w:color="auto"/>
      </w:divBdr>
    </w:div>
    <w:div w:id="1218905054">
      <w:bodyDiv w:val="1"/>
      <w:marLeft w:val="0"/>
      <w:marRight w:val="0"/>
      <w:marTop w:val="0"/>
      <w:marBottom w:val="0"/>
      <w:divBdr>
        <w:top w:val="none" w:sz="0" w:space="0" w:color="auto"/>
        <w:left w:val="none" w:sz="0" w:space="0" w:color="auto"/>
        <w:bottom w:val="none" w:sz="0" w:space="0" w:color="auto"/>
        <w:right w:val="none" w:sz="0" w:space="0" w:color="auto"/>
      </w:divBdr>
    </w:div>
    <w:div w:id="1226722209">
      <w:bodyDiv w:val="1"/>
      <w:marLeft w:val="0"/>
      <w:marRight w:val="0"/>
      <w:marTop w:val="0"/>
      <w:marBottom w:val="0"/>
      <w:divBdr>
        <w:top w:val="none" w:sz="0" w:space="0" w:color="auto"/>
        <w:left w:val="none" w:sz="0" w:space="0" w:color="auto"/>
        <w:bottom w:val="none" w:sz="0" w:space="0" w:color="auto"/>
        <w:right w:val="none" w:sz="0" w:space="0" w:color="auto"/>
      </w:divBdr>
    </w:div>
    <w:div w:id="1233541336">
      <w:bodyDiv w:val="1"/>
      <w:marLeft w:val="0"/>
      <w:marRight w:val="0"/>
      <w:marTop w:val="0"/>
      <w:marBottom w:val="0"/>
      <w:divBdr>
        <w:top w:val="none" w:sz="0" w:space="0" w:color="auto"/>
        <w:left w:val="none" w:sz="0" w:space="0" w:color="auto"/>
        <w:bottom w:val="none" w:sz="0" w:space="0" w:color="auto"/>
        <w:right w:val="none" w:sz="0" w:space="0" w:color="auto"/>
      </w:divBdr>
      <w:divsChild>
        <w:div w:id="42338744">
          <w:marLeft w:val="0"/>
          <w:marRight w:val="0"/>
          <w:marTop w:val="0"/>
          <w:marBottom w:val="150"/>
          <w:divBdr>
            <w:top w:val="none" w:sz="0" w:space="0" w:color="auto"/>
            <w:left w:val="none" w:sz="0" w:space="0" w:color="auto"/>
            <w:bottom w:val="none" w:sz="0" w:space="0" w:color="auto"/>
            <w:right w:val="none" w:sz="0" w:space="0" w:color="auto"/>
          </w:divBdr>
        </w:div>
        <w:div w:id="1351757042">
          <w:marLeft w:val="0"/>
          <w:marRight w:val="0"/>
          <w:marTop w:val="0"/>
          <w:marBottom w:val="150"/>
          <w:divBdr>
            <w:top w:val="none" w:sz="0" w:space="0" w:color="auto"/>
            <w:left w:val="none" w:sz="0" w:space="0" w:color="auto"/>
            <w:bottom w:val="none" w:sz="0" w:space="0" w:color="auto"/>
            <w:right w:val="none" w:sz="0" w:space="0" w:color="auto"/>
          </w:divBdr>
        </w:div>
      </w:divsChild>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59414140">
      <w:bodyDiv w:val="1"/>
      <w:marLeft w:val="0"/>
      <w:marRight w:val="0"/>
      <w:marTop w:val="0"/>
      <w:marBottom w:val="0"/>
      <w:divBdr>
        <w:top w:val="none" w:sz="0" w:space="0" w:color="auto"/>
        <w:left w:val="none" w:sz="0" w:space="0" w:color="auto"/>
        <w:bottom w:val="none" w:sz="0" w:space="0" w:color="auto"/>
        <w:right w:val="none" w:sz="0" w:space="0" w:color="auto"/>
      </w:divBdr>
    </w:div>
    <w:div w:id="1281301325">
      <w:bodyDiv w:val="1"/>
      <w:marLeft w:val="0"/>
      <w:marRight w:val="0"/>
      <w:marTop w:val="0"/>
      <w:marBottom w:val="0"/>
      <w:divBdr>
        <w:top w:val="none" w:sz="0" w:space="0" w:color="auto"/>
        <w:left w:val="none" w:sz="0" w:space="0" w:color="auto"/>
        <w:bottom w:val="none" w:sz="0" w:space="0" w:color="auto"/>
        <w:right w:val="none" w:sz="0" w:space="0" w:color="auto"/>
      </w:divBdr>
      <w:divsChild>
        <w:div w:id="1879319867">
          <w:marLeft w:val="0"/>
          <w:marRight w:val="0"/>
          <w:marTop w:val="0"/>
          <w:marBottom w:val="0"/>
          <w:divBdr>
            <w:top w:val="none" w:sz="0" w:space="0" w:color="auto"/>
            <w:left w:val="none" w:sz="0" w:space="0" w:color="auto"/>
            <w:bottom w:val="none" w:sz="0" w:space="0" w:color="auto"/>
            <w:right w:val="none" w:sz="0" w:space="0" w:color="auto"/>
          </w:divBdr>
        </w:div>
      </w:divsChild>
    </w:div>
    <w:div w:id="1281302524">
      <w:bodyDiv w:val="1"/>
      <w:marLeft w:val="0"/>
      <w:marRight w:val="0"/>
      <w:marTop w:val="0"/>
      <w:marBottom w:val="0"/>
      <w:divBdr>
        <w:top w:val="none" w:sz="0" w:space="0" w:color="auto"/>
        <w:left w:val="none" w:sz="0" w:space="0" w:color="auto"/>
        <w:bottom w:val="none" w:sz="0" w:space="0" w:color="auto"/>
        <w:right w:val="none" w:sz="0" w:space="0" w:color="auto"/>
      </w:divBdr>
    </w:div>
    <w:div w:id="1309869885">
      <w:bodyDiv w:val="1"/>
      <w:marLeft w:val="0"/>
      <w:marRight w:val="0"/>
      <w:marTop w:val="0"/>
      <w:marBottom w:val="0"/>
      <w:divBdr>
        <w:top w:val="none" w:sz="0" w:space="0" w:color="auto"/>
        <w:left w:val="none" w:sz="0" w:space="0" w:color="auto"/>
        <w:bottom w:val="none" w:sz="0" w:space="0" w:color="auto"/>
        <w:right w:val="none" w:sz="0" w:space="0" w:color="auto"/>
      </w:divBdr>
    </w:div>
    <w:div w:id="1321539046">
      <w:bodyDiv w:val="1"/>
      <w:marLeft w:val="0"/>
      <w:marRight w:val="0"/>
      <w:marTop w:val="0"/>
      <w:marBottom w:val="0"/>
      <w:divBdr>
        <w:top w:val="none" w:sz="0" w:space="0" w:color="auto"/>
        <w:left w:val="none" w:sz="0" w:space="0" w:color="auto"/>
        <w:bottom w:val="none" w:sz="0" w:space="0" w:color="auto"/>
        <w:right w:val="none" w:sz="0" w:space="0" w:color="auto"/>
      </w:divBdr>
      <w:divsChild>
        <w:div w:id="969017410">
          <w:marLeft w:val="0"/>
          <w:marRight w:val="0"/>
          <w:marTop w:val="0"/>
          <w:marBottom w:val="150"/>
          <w:divBdr>
            <w:top w:val="none" w:sz="0" w:space="0" w:color="auto"/>
            <w:left w:val="none" w:sz="0" w:space="0" w:color="auto"/>
            <w:bottom w:val="none" w:sz="0" w:space="0" w:color="auto"/>
            <w:right w:val="none" w:sz="0" w:space="0" w:color="auto"/>
          </w:divBdr>
        </w:div>
        <w:div w:id="2121759734">
          <w:marLeft w:val="0"/>
          <w:marRight w:val="0"/>
          <w:marTop w:val="0"/>
          <w:marBottom w:val="150"/>
          <w:divBdr>
            <w:top w:val="none" w:sz="0" w:space="0" w:color="auto"/>
            <w:left w:val="none" w:sz="0" w:space="0" w:color="auto"/>
            <w:bottom w:val="none" w:sz="0" w:space="0" w:color="auto"/>
            <w:right w:val="none" w:sz="0" w:space="0" w:color="auto"/>
          </w:divBdr>
        </w:div>
      </w:divsChild>
    </w:div>
    <w:div w:id="1406562115">
      <w:bodyDiv w:val="1"/>
      <w:marLeft w:val="0"/>
      <w:marRight w:val="0"/>
      <w:marTop w:val="0"/>
      <w:marBottom w:val="0"/>
      <w:divBdr>
        <w:top w:val="none" w:sz="0" w:space="0" w:color="auto"/>
        <w:left w:val="none" w:sz="0" w:space="0" w:color="auto"/>
        <w:bottom w:val="none" w:sz="0" w:space="0" w:color="auto"/>
        <w:right w:val="none" w:sz="0" w:space="0" w:color="auto"/>
      </w:divBdr>
    </w:div>
    <w:div w:id="1408459067">
      <w:bodyDiv w:val="1"/>
      <w:marLeft w:val="0"/>
      <w:marRight w:val="0"/>
      <w:marTop w:val="0"/>
      <w:marBottom w:val="0"/>
      <w:divBdr>
        <w:top w:val="none" w:sz="0" w:space="0" w:color="auto"/>
        <w:left w:val="none" w:sz="0" w:space="0" w:color="auto"/>
        <w:bottom w:val="none" w:sz="0" w:space="0" w:color="auto"/>
        <w:right w:val="none" w:sz="0" w:space="0" w:color="auto"/>
      </w:divBdr>
    </w:div>
    <w:div w:id="1415055054">
      <w:bodyDiv w:val="1"/>
      <w:marLeft w:val="0"/>
      <w:marRight w:val="0"/>
      <w:marTop w:val="0"/>
      <w:marBottom w:val="0"/>
      <w:divBdr>
        <w:top w:val="none" w:sz="0" w:space="0" w:color="auto"/>
        <w:left w:val="none" w:sz="0" w:space="0" w:color="auto"/>
        <w:bottom w:val="none" w:sz="0" w:space="0" w:color="auto"/>
        <w:right w:val="none" w:sz="0" w:space="0" w:color="auto"/>
      </w:divBdr>
    </w:div>
    <w:div w:id="1428115145">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35783463">
      <w:bodyDiv w:val="1"/>
      <w:marLeft w:val="0"/>
      <w:marRight w:val="0"/>
      <w:marTop w:val="0"/>
      <w:marBottom w:val="0"/>
      <w:divBdr>
        <w:top w:val="none" w:sz="0" w:space="0" w:color="auto"/>
        <w:left w:val="none" w:sz="0" w:space="0" w:color="auto"/>
        <w:bottom w:val="none" w:sz="0" w:space="0" w:color="auto"/>
        <w:right w:val="none" w:sz="0" w:space="0" w:color="auto"/>
      </w:divBdr>
    </w:div>
    <w:div w:id="1462117970">
      <w:bodyDiv w:val="1"/>
      <w:marLeft w:val="0"/>
      <w:marRight w:val="0"/>
      <w:marTop w:val="0"/>
      <w:marBottom w:val="0"/>
      <w:divBdr>
        <w:top w:val="none" w:sz="0" w:space="0" w:color="auto"/>
        <w:left w:val="none" w:sz="0" w:space="0" w:color="auto"/>
        <w:bottom w:val="none" w:sz="0" w:space="0" w:color="auto"/>
        <w:right w:val="none" w:sz="0" w:space="0" w:color="auto"/>
      </w:divBdr>
    </w:div>
    <w:div w:id="1532642496">
      <w:bodyDiv w:val="1"/>
      <w:marLeft w:val="0"/>
      <w:marRight w:val="0"/>
      <w:marTop w:val="0"/>
      <w:marBottom w:val="0"/>
      <w:divBdr>
        <w:top w:val="none" w:sz="0" w:space="0" w:color="auto"/>
        <w:left w:val="none" w:sz="0" w:space="0" w:color="auto"/>
        <w:bottom w:val="none" w:sz="0" w:space="0" w:color="auto"/>
        <w:right w:val="none" w:sz="0" w:space="0" w:color="auto"/>
      </w:divBdr>
    </w:div>
    <w:div w:id="1558131726">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78662953">
      <w:bodyDiv w:val="1"/>
      <w:marLeft w:val="0"/>
      <w:marRight w:val="0"/>
      <w:marTop w:val="0"/>
      <w:marBottom w:val="0"/>
      <w:divBdr>
        <w:top w:val="none" w:sz="0" w:space="0" w:color="auto"/>
        <w:left w:val="none" w:sz="0" w:space="0" w:color="auto"/>
        <w:bottom w:val="none" w:sz="0" w:space="0" w:color="auto"/>
        <w:right w:val="none" w:sz="0" w:space="0" w:color="auto"/>
      </w:divBdr>
    </w:div>
    <w:div w:id="1593704839">
      <w:bodyDiv w:val="1"/>
      <w:marLeft w:val="0"/>
      <w:marRight w:val="0"/>
      <w:marTop w:val="0"/>
      <w:marBottom w:val="0"/>
      <w:divBdr>
        <w:top w:val="none" w:sz="0" w:space="0" w:color="auto"/>
        <w:left w:val="none" w:sz="0" w:space="0" w:color="auto"/>
        <w:bottom w:val="none" w:sz="0" w:space="0" w:color="auto"/>
        <w:right w:val="none" w:sz="0" w:space="0" w:color="auto"/>
      </w:divBdr>
    </w:div>
    <w:div w:id="1676111689">
      <w:bodyDiv w:val="1"/>
      <w:marLeft w:val="0"/>
      <w:marRight w:val="0"/>
      <w:marTop w:val="0"/>
      <w:marBottom w:val="0"/>
      <w:divBdr>
        <w:top w:val="none" w:sz="0" w:space="0" w:color="auto"/>
        <w:left w:val="none" w:sz="0" w:space="0" w:color="auto"/>
        <w:bottom w:val="none" w:sz="0" w:space="0" w:color="auto"/>
        <w:right w:val="none" w:sz="0" w:space="0" w:color="auto"/>
      </w:divBdr>
    </w:div>
    <w:div w:id="1686595240">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957171809">
      <w:bodyDiv w:val="1"/>
      <w:marLeft w:val="0"/>
      <w:marRight w:val="0"/>
      <w:marTop w:val="0"/>
      <w:marBottom w:val="0"/>
      <w:divBdr>
        <w:top w:val="none" w:sz="0" w:space="0" w:color="auto"/>
        <w:left w:val="none" w:sz="0" w:space="0" w:color="auto"/>
        <w:bottom w:val="none" w:sz="0" w:space="0" w:color="auto"/>
        <w:right w:val="none" w:sz="0" w:space="0" w:color="auto"/>
      </w:divBdr>
    </w:div>
    <w:div w:id="1966697167">
      <w:bodyDiv w:val="1"/>
      <w:marLeft w:val="0"/>
      <w:marRight w:val="0"/>
      <w:marTop w:val="0"/>
      <w:marBottom w:val="0"/>
      <w:divBdr>
        <w:top w:val="none" w:sz="0" w:space="0" w:color="auto"/>
        <w:left w:val="none" w:sz="0" w:space="0" w:color="auto"/>
        <w:bottom w:val="none" w:sz="0" w:space="0" w:color="auto"/>
        <w:right w:val="none" w:sz="0" w:space="0" w:color="auto"/>
      </w:divBdr>
    </w:div>
    <w:div w:id="1995135284">
      <w:bodyDiv w:val="1"/>
      <w:marLeft w:val="0"/>
      <w:marRight w:val="0"/>
      <w:marTop w:val="0"/>
      <w:marBottom w:val="0"/>
      <w:divBdr>
        <w:top w:val="none" w:sz="0" w:space="0" w:color="auto"/>
        <w:left w:val="none" w:sz="0" w:space="0" w:color="auto"/>
        <w:bottom w:val="none" w:sz="0" w:space="0" w:color="auto"/>
        <w:right w:val="none" w:sz="0" w:space="0" w:color="auto"/>
      </w:divBdr>
    </w:div>
    <w:div w:id="2004157455">
      <w:bodyDiv w:val="1"/>
      <w:marLeft w:val="0"/>
      <w:marRight w:val="0"/>
      <w:marTop w:val="0"/>
      <w:marBottom w:val="0"/>
      <w:divBdr>
        <w:top w:val="none" w:sz="0" w:space="0" w:color="auto"/>
        <w:left w:val="none" w:sz="0" w:space="0" w:color="auto"/>
        <w:bottom w:val="none" w:sz="0" w:space="0" w:color="auto"/>
        <w:right w:val="none" w:sz="0" w:space="0" w:color="auto"/>
      </w:divBdr>
    </w:div>
    <w:div w:id="2016878801">
      <w:bodyDiv w:val="1"/>
      <w:marLeft w:val="0"/>
      <w:marRight w:val="0"/>
      <w:marTop w:val="0"/>
      <w:marBottom w:val="0"/>
      <w:divBdr>
        <w:top w:val="none" w:sz="0" w:space="0" w:color="auto"/>
        <w:left w:val="none" w:sz="0" w:space="0" w:color="auto"/>
        <w:bottom w:val="none" w:sz="0" w:space="0" w:color="auto"/>
        <w:right w:val="none" w:sz="0" w:space="0" w:color="auto"/>
      </w:divBdr>
    </w:div>
    <w:div w:id="2038578029">
      <w:bodyDiv w:val="1"/>
      <w:marLeft w:val="0"/>
      <w:marRight w:val="0"/>
      <w:marTop w:val="0"/>
      <w:marBottom w:val="0"/>
      <w:divBdr>
        <w:top w:val="none" w:sz="0" w:space="0" w:color="auto"/>
        <w:left w:val="none" w:sz="0" w:space="0" w:color="auto"/>
        <w:bottom w:val="none" w:sz="0" w:space="0" w:color="auto"/>
        <w:right w:val="none" w:sz="0" w:space="0" w:color="auto"/>
      </w:divBdr>
    </w:div>
    <w:div w:id="2058122113">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81563270">
      <w:bodyDiv w:val="1"/>
      <w:marLeft w:val="0"/>
      <w:marRight w:val="0"/>
      <w:marTop w:val="0"/>
      <w:marBottom w:val="0"/>
      <w:divBdr>
        <w:top w:val="none" w:sz="0" w:space="0" w:color="auto"/>
        <w:left w:val="none" w:sz="0" w:space="0" w:color="auto"/>
        <w:bottom w:val="none" w:sz="0" w:space="0" w:color="auto"/>
        <w:right w:val="none" w:sz="0" w:space="0" w:color="auto"/>
      </w:divBdr>
    </w:div>
    <w:div w:id="2087679097">
      <w:bodyDiv w:val="1"/>
      <w:marLeft w:val="0"/>
      <w:marRight w:val="0"/>
      <w:marTop w:val="0"/>
      <w:marBottom w:val="0"/>
      <w:divBdr>
        <w:top w:val="none" w:sz="0" w:space="0" w:color="auto"/>
        <w:left w:val="none" w:sz="0" w:space="0" w:color="auto"/>
        <w:bottom w:val="none" w:sz="0" w:space="0" w:color="auto"/>
        <w:right w:val="none" w:sz="0" w:space="0" w:color="auto"/>
      </w:divBdr>
      <w:divsChild>
        <w:div w:id="1618758744">
          <w:marLeft w:val="0"/>
          <w:marRight w:val="0"/>
          <w:marTop w:val="0"/>
          <w:marBottom w:val="150"/>
          <w:divBdr>
            <w:top w:val="none" w:sz="0" w:space="0" w:color="auto"/>
            <w:left w:val="none" w:sz="0" w:space="0" w:color="auto"/>
            <w:bottom w:val="none" w:sz="0" w:space="0" w:color="auto"/>
            <w:right w:val="none" w:sz="0" w:space="0" w:color="auto"/>
          </w:divBdr>
        </w:div>
        <w:div w:id="1634751897">
          <w:marLeft w:val="0"/>
          <w:marRight w:val="0"/>
          <w:marTop w:val="0"/>
          <w:marBottom w:val="150"/>
          <w:divBdr>
            <w:top w:val="none" w:sz="0" w:space="0" w:color="auto"/>
            <w:left w:val="none" w:sz="0" w:space="0" w:color="auto"/>
            <w:bottom w:val="none" w:sz="0" w:space="0" w:color="auto"/>
            <w:right w:val="none" w:sz="0" w:space="0" w:color="auto"/>
          </w:divBdr>
        </w:div>
      </w:divsChild>
    </w:div>
    <w:div w:id="2115979369">
      <w:bodyDiv w:val="1"/>
      <w:marLeft w:val="0"/>
      <w:marRight w:val="0"/>
      <w:marTop w:val="0"/>
      <w:marBottom w:val="0"/>
      <w:divBdr>
        <w:top w:val="none" w:sz="0" w:space="0" w:color="auto"/>
        <w:left w:val="none" w:sz="0" w:space="0" w:color="auto"/>
        <w:bottom w:val="none" w:sz="0" w:space="0" w:color="auto"/>
        <w:right w:val="none" w:sz="0" w:space="0" w:color="auto"/>
      </w:divBdr>
    </w:div>
    <w:div w:id="2130708161">
      <w:bodyDiv w:val="1"/>
      <w:marLeft w:val="0"/>
      <w:marRight w:val="0"/>
      <w:marTop w:val="0"/>
      <w:marBottom w:val="0"/>
      <w:divBdr>
        <w:top w:val="none" w:sz="0" w:space="0" w:color="auto"/>
        <w:left w:val="none" w:sz="0" w:space="0" w:color="auto"/>
        <w:bottom w:val="none" w:sz="0" w:space="0" w:color="auto"/>
        <w:right w:val="none" w:sz="0" w:space="0" w:color="auto"/>
      </w:divBdr>
      <w:divsChild>
        <w:div w:id="1966891675">
          <w:marLeft w:val="0"/>
          <w:marRight w:val="0"/>
          <w:marTop w:val="0"/>
          <w:marBottom w:val="150"/>
          <w:divBdr>
            <w:top w:val="none" w:sz="0" w:space="0" w:color="auto"/>
            <w:left w:val="none" w:sz="0" w:space="0" w:color="auto"/>
            <w:bottom w:val="none" w:sz="0" w:space="0" w:color="auto"/>
            <w:right w:val="none" w:sz="0" w:space="0" w:color="auto"/>
          </w:divBdr>
        </w:div>
        <w:div w:id="2013677850">
          <w:marLeft w:val="0"/>
          <w:marRight w:val="0"/>
          <w:marTop w:val="0"/>
          <w:marBottom w:val="150"/>
          <w:divBdr>
            <w:top w:val="none" w:sz="0" w:space="0" w:color="auto"/>
            <w:left w:val="none" w:sz="0" w:space="0" w:color="auto"/>
            <w:bottom w:val="none" w:sz="0" w:space="0" w:color="auto"/>
            <w:right w:val="none" w:sz="0" w:space="0" w:color="auto"/>
          </w:divBdr>
        </w:div>
      </w:divsChild>
    </w:div>
    <w:div w:id="2131050161">
      <w:bodyDiv w:val="1"/>
      <w:marLeft w:val="0"/>
      <w:marRight w:val="0"/>
      <w:marTop w:val="0"/>
      <w:marBottom w:val="0"/>
      <w:divBdr>
        <w:top w:val="none" w:sz="0" w:space="0" w:color="auto"/>
        <w:left w:val="none" w:sz="0" w:space="0" w:color="auto"/>
        <w:bottom w:val="none" w:sz="0" w:space="0" w:color="auto"/>
        <w:right w:val="none" w:sz="0" w:space="0" w:color="auto"/>
      </w:divBdr>
    </w:div>
    <w:div w:id="21444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36bac4-6705-4a36-974b-7c07450fedf2" xsi:nil="true"/>
    <lcf76f155ced4ddcb4097134ff3c332f xmlns="292db1e8-b3d0-4356-8ef3-2a6d7ed77883">
      <Terms xmlns="http://schemas.microsoft.com/office/infopath/2007/PartnerControls"/>
    </lcf76f155ced4ddcb4097134ff3c332f>
    <Document_x0020_Purpose xmlns="292db1e8-b3d0-4356-8ef3-2a6d7ed77883" xsi:nil="true"/>
    <_ip_UnifiedCompliancePolicyUIAction xmlns="http://schemas.microsoft.com/sharepoint/v3" xsi:nil="true"/>
    <RoutingTargetFolder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4f36bac4-6705-4a36-974b-7c07450fedf2"/>
    <ds:schemaRef ds:uri="292db1e8-b3d0-4356-8ef3-2a6d7ed77883"/>
    <ds:schemaRef ds:uri="http://schemas.microsoft.com/sharepoint/v3"/>
  </ds:schemaRefs>
</ds:datastoreItem>
</file>

<file path=customXml/itemProps2.xml><?xml version="1.0" encoding="utf-8"?>
<ds:datastoreItem xmlns:ds="http://schemas.openxmlformats.org/officeDocument/2006/customXml" ds:itemID="{3DB16239-2E83-4543-A07E-6AFF5384A3D6}">
  <ds:schemaRefs>
    <ds:schemaRef ds:uri="http://schemas.openxmlformats.org/officeDocument/2006/bibliography"/>
  </ds:schemaRefs>
</ds:datastoreItem>
</file>

<file path=customXml/itemProps3.xml><?xml version="1.0" encoding="utf-8"?>
<ds:datastoreItem xmlns:ds="http://schemas.openxmlformats.org/officeDocument/2006/customXml" ds:itemID="{EEA77593-5C24-4EF6-9A4F-F7C3F73B4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1BCB8-03D0-4290-935D-F6B299B61C87}">
  <ds:schemaRefs>
    <ds:schemaRef ds:uri="http://schemas.microsoft.com/sharepoint/v3/contenttype/forms"/>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1</TotalTime>
  <Pages>99</Pages>
  <Words>64062</Words>
  <Characters>365157</Characters>
  <Application>Microsoft Office Word</Application>
  <DocSecurity>0</DocSecurity>
  <Lines>3042</Lines>
  <Paragraphs>856</Paragraphs>
  <ScaleCrop>false</ScaleCrop>
  <HeadingPairs>
    <vt:vector size="2" baseType="variant">
      <vt:variant>
        <vt:lpstr>Title</vt:lpstr>
      </vt:variant>
      <vt:variant>
        <vt:i4>1</vt:i4>
      </vt:variant>
    </vt:vector>
  </HeadingPairs>
  <TitlesOfParts>
    <vt:vector size="1" baseType="lpstr">
      <vt:lpstr>2025 SPP/APR and State Determination Letters, Part B</vt:lpstr>
    </vt:vector>
  </TitlesOfParts>
  <Company>Microsoft</Company>
  <LinksUpToDate>false</LinksUpToDate>
  <CharactersWithSpaces>428363</CharactersWithSpaces>
  <SharedDoc>false</SharedDoc>
  <HLinks>
    <vt:vector size="54" baseType="variant">
      <vt:variant>
        <vt:i4>852039</vt:i4>
      </vt:variant>
      <vt:variant>
        <vt:i4>24</vt:i4>
      </vt:variant>
      <vt:variant>
        <vt:i4>0</vt:i4>
      </vt:variant>
      <vt:variant>
        <vt:i4>5</vt:i4>
      </vt:variant>
      <vt:variant>
        <vt:lpwstr>https://compcenternetwork.org/states</vt:lpwstr>
      </vt:variant>
      <vt:variant>
        <vt:lpwstr/>
      </vt:variant>
      <vt:variant>
        <vt:i4>7471146</vt:i4>
      </vt:variant>
      <vt:variant>
        <vt:i4>21</vt:i4>
      </vt:variant>
      <vt:variant>
        <vt:i4>0</vt:i4>
      </vt:variant>
      <vt:variant>
        <vt:i4>5</vt:i4>
      </vt:variant>
      <vt:variant>
        <vt:lpwstr>https://sites.ed.gov/idea/topic-areas/</vt:lpwstr>
      </vt:variant>
      <vt:variant>
        <vt:lpwstr/>
      </vt:variant>
      <vt:variant>
        <vt:i4>3670114</vt:i4>
      </vt:variant>
      <vt:variant>
        <vt:i4>18</vt:i4>
      </vt:variant>
      <vt:variant>
        <vt:i4>0</vt:i4>
      </vt:variant>
      <vt:variant>
        <vt:i4>5</vt:i4>
      </vt:variant>
      <vt:variant>
        <vt:lpwstr>https://osepideasthatwork.org/resources-grantees/program-areas/monitoring-and-state-improvement-planning-msip?tab=pa-resources</vt:lpwstr>
      </vt:variant>
      <vt:variant>
        <vt:lpwstr/>
      </vt:variant>
      <vt:variant>
        <vt:i4>4980757</vt:i4>
      </vt:variant>
      <vt:variant>
        <vt:i4>15</vt:i4>
      </vt:variant>
      <vt:variant>
        <vt:i4>0</vt:i4>
      </vt:variant>
      <vt:variant>
        <vt:i4>5</vt:i4>
      </vt:variant>
      <vt:variant>
        <vt:lpwstr>https://sites.ed.gov/idea/how-the-department-made-determinations/</vt:lpwstr>
      </vt:variant>
      <vt:variant>
        <vt:lpwstr/>
      </vt:variant>
      <vt:variant>
        <vt:i4>2621501</vt:i4>
      </vt:variant>
      <vt:variant>
        <vt:i4>12</vt:i4>
      </vt:variant>
      <vt:variant>
        <vt:i4>0</vt:i4>
      </vt:variant>
      <vt:variant>
        <vt:i4>5</vt:i4>
      </vt:variant>
      <vt:variant>
        <vt:lpwstr>https://emaps.ed.gov/suite/</vt:lpwstr>
      </vt:variant>
      <vt:variant>
        <vt:lpwstr/>
      </vt:variant>
      <vt:variant>
        <vt:i4>4980757</vt:i4>
      </vt:variant>
      <vt:variant>
        <vt:i4>9</vt:i4>
      </vt:variant>
      <vt:variant>
        <vt:i4>0</vt:i4>
      </vt:variant>
      <vt:variant>
        <vt:i4>5</vt:i4>
      </vt:variant>
      <vt:variant>
        <vt:lpwstr>https://sites.ed.gov/idea/how-the-department-made-determinations/</vt:lpwstr>
      </vt:variant>
      <vt:variant>
        <vt:lpwstr/>
      </vt:variant>
      <vt:variant>
        <vt:i4>2687072</vt:i4>
      </vt:variant>
      <vt:variant>
        <vt:i4>6</vt:i4>
      </vt:variant>
      <vt:variant>
        <vt:i4>0</vt:i4>
      </vt:variant>
      <vt:variant>
        <vt:i4>5</vt:i4>
      </vt:variant>
      <vt:variant>
        <vt:lpwstr>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vt:lpwstr>
      </vt:variant>
      <vt:variant>
        <vt:lpwstr/>
      </vt:variant>
      <vt:variant>
        <vt:i4>4128885</vt:i4>
      </vt:variant>
      <vt:variant>
        <vt:i4>3</vt:i4>
      </vt:variant>
      <vt:variant>
        <vt:i4>0</vt:i4>
      </vt:variant>
      <vt:variant>
        <vt:i4>5</vt:i4>
      </vt:variant>
      <vt:variant>
        <vt:lpwstr>https://sites.ed.gov/idea/files/2024_Part-B_SPP-APR_Measurement_Table.pdf</vt:lpwstr>
      </vt:variant>
      <vt:variant>
        <vt:lpwstr/>
      </vt: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SPP/APR and State Determination Letters, Part B</dc:title>
  <dc:subject>IDEA State Performance Plan/Annual Performance Report (SPP/APR)</dc:subject>
  <dc:creator>U.S. Department of Education, OSERS, OSEP</dc:creator>
  <cp:keywords>Part B, 2025, IDEA, State Performance Plan, Annual Performance Report, SPP, APR, Determination Letter, Results Driven Accountability, RDA</cp:keywords>
  <cp:lastModifiedBy>Jonathan Shank</cp:lastModifiedBy>
  <cp:revision>2</cp:revision>
  <cp:lastPrinted>2014-08-19T22:56:00Z</cp:lastPrinted>
  <dcterms:created xsi:type="dcterms:W3CDTF">2025-07-14T15:55:00Z</dcterms:created>
  <dcterms:modified xsi:type="dcterms:W3CDTF">2025-07-14T15:55:00Z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d1961a7b-789a-475e-aff2-ded90ef3b8b9</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41383400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B/Part B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y fmtid="{D5CDD505-2E9C-101B-9397-08002B2CF9AE}" pid="18" name="MSIP_Label_4ad35bab-6e18-4b1b-82b4-d81f4f36a979_Enabled">
    <vt:lpwstr>true</vt:lpwstr>
  </property>
  <property fmtid="{D5CDD505-2E9C-101B-9397-08002B2CF9AE}" pid="19" name="MSIP_Label_4ad35bab-6e18-4b1b-82b4-d81f4f36a979_SetDate">
    <vt:lpwstr>2023-03-14T00:12:18Z</vt:lpwstr>
  </property>
  <property fmtid="{D5CDD505-2E9C-101B-9397-08002B2CF9AE}" pid="20" name="MSIP_Label_4ad35bab-6e18-4b1b-82b4-d81f4f36a979_Method">
    <vt:lpwstr>Standard</vt:lpwstr>
  </property>
  <property fmtid="{D5CDD505-2E9C-101B-9397-08002B2CF9AE}" pid="21" name="MSIP_Label_4ad35bab-6e18-4b1b-82b4-d81f4f36a979_Name">
    <vt:lpwstr>Public</vt:lpwstr>
  </property>
  <property fmtid="{D5CDD505-2E9C-101B-9397-08002B2CF9AE}" pid="22" name="MSIP_Label_4ad35bab-6e18-4b1b-82b4-d81f4f36a979_SiteId">
    <vt:lpwstr>7a41925e-f697-4f7c-bec3-0470887ac752</vt:lpwstr>
  </property>
  <property fmtid="{D5CDD505-2E9C-101B-9397-08002B2CF9AE}" pid="23" name="MSIP_Label_4ad35bab-6e18-4b1b-82b4-d81f4f36a979_ActionId">
    <vt:lpwstr>212e3d3a-8d9d-47e5-ba89-5887e937e98c</vt:lpwstr>
  </property>
  <property fmtid="{D5CDD505-2E9C-101B-9397-08002B2CF9AE}" pid="24" name="MSIP_Label_4ad35bab-6e18-4b1b-82b4-d81f4f36a979_ContentBits">
    <vt:lpwstr>0</vt:lpwstr>
  </property>
  <property fmtid="{D5CDD505-2E9C-101B-9397-08002B2CF9AE}" pid="25" name="MSIP_Label_460f4a70-4b6c-4bd4-a002-31edb9c00abe_Enabled">
    <vt:lpwstr>true</vt:lpwstr>
  </property>
  <property fmtid="{D5CDD505-2E9C-101B-9397-08002B2CF9AE}" pid="26" name="MSIP_Label_460f4a70-4b6c-4bd4-a002-31edb9c00abe_SetDate">
    <vt:lpwstr>2025-07-14T15:55:54Z</vt:lpwstr>
  </property>
  <property fmtid="{D5CDD505-2E9C-101B-9397-08002B2CF9AE}" pid="27" name="MSIP_Label_460f4a70-4b6c-4bd4-a002-31edb9c00abe_Method">
    <vt:lpwstr>Standard</vt:lpwstr>
  </property>
  <property fmtid="{D5CDD505-2E9C-101B-9397-08002B2CF9AE}" pid="28" name="MSIP_Label_460f4a70-4b6c-4bd4-a002-31edb9c00abe_Name">
    <vt:lpwstr>General</vt:lpwstr>
  </property>
  <property fmtid="{D5CDD505-2E9C-101B-9397-08002B2CF9AE}" pid="29" name="MSIP_Label_460f4a70-4b6c-4bd4-a002-31edb9c00abe_SiteId">
    <vt:lpwstr>e019b04b-330c-467a-8bae-09fb17374d6a</vt:lpwstr>
  </property>
  <property fmtid="{D5CDD505-2E9C-101B-9397-08002B2CF9AE}" pid="30" name="MSIP_Label_460f4a70-4b6c-4bd4-a002-31edb9c00abe_ActionId">
    <vt:lpwstr>1f1090df-9e70-4781-b545-2850a346469b</vt:lpwstr>
  </property>
  <property fmtid="{D5CDD505-2E9C-101B-9397-08002B2CF9AE}" pid="31" name="MSIP_Label_460f4a70-4b6c-4bd4-a002-31edb9c00abe_ContentBits">
    <vt:lpwstr>0</vt:lpwstr>
  </property>
  <property fmtid="{D5CDD505-2E9C-101B-9397-08002B2CF9AE}" pid="32" name="MSIP_Label_460f4a70-4b6c-4bd4-a002-31edb9c00abe_Tag">
    <vt:lpwstr>10, 3, 0, 1</vt:lpwstr>
  </property>
</Properties>
</file>