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3DA9A" w14:textId="77777777" w:rsidR="007B35BE" w:rsidRPr="00781112" w:rsidRDefault="007B35BE" w:rsidP="0033429D">
      <w:pPr>
        <w:autoSpaceDE w:val="0"/>
        <w:autoSpaceDN w:val="0"/>
        <w:adjustRightInd w:val="0"/>
        <w:spacing w:before="1800"/>
        <w:jc w:val="center"/>
        <w:rPr>
          <w:rFonts w:cs="Arial"/>
          <w:b/>
          <w:bCs/>
          <w:smallCaps/>
          <w:color w:val="000000" w:themeColor="text1"/>
          <w:sz w:val="32"/>
          <w:szCs w:val="32"/>
        </w:rPr>
      </w:pPr>
      <w:bookmarkStart w:id="0" w:name="_Hlk121691473"/>
      <w:bookmarkStart w:id="1" w:name="_Toc382082357"/>
      <w:bookmarkStart w:id="2" w:name="_Toc392159258"/>
      <w:bookmarkStart w:id="3" w:name="_Hlk110866287"/>
      <w:bookmarkEnd w:id="0"/>
      <w:r w:rsidRPr="00781112">
        <w:rPr>
          <w:rFonts w:cs="Arial"/>
          <w:b/>
          <w:bCs/>
          <w:smallCaps/>
          <w:color w:val="000000" w:themeColor="text1"/>
          <w:sz w:val="32"/>
          <w:szCs w:val="32"/>
        </w:rPr>
        <w:t>State Performance Plan / Annual Performance Report: Part B</w:t>
      </w:r>
    </w:p>
    <w:p w14:paraId="648646BF" w14:textId="77777777"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b/>
          <w:bCs/>
          <w:color w:val="000000" w:themeColor="text1"/>
          <w:sz w:val="24"/>
          <w:szCs w:val="24"/>
        </w:rPr>
        <w:t>for STATE FORMULA GRANT PROGRAMS under the Individuals with Disabilities Education Act</w:t>
      </w:r>
    </w:p>
    <w:p w14:paraId="0E54F085" w14:textId="77777777" w:rsidR="007B35BE" w:rsidRPr="00781112" w:rsidRDefault="007B35BE" w:rsidP="007B35BE">
      <w:pPr>
        <w:autoSpaceDE w:val="0"/>
        <w:autoSpaceDN w:val="0"/>
        <w:adjustRightInd w:val="0"/>
        <w:spacing w:before="360"/>
        <w:jc w:val="center"/>
        <w:rPr>
          <w:rFonts w:cs="Arial"/>
          <w:b/>
          <w:bCs/>
          <w:color w:val="000000" w:themeColor="text1"/>
          <w:sz w:val="28"/>
          <w:szCs w:val="28"/>
        </w:rPr>
      </w:pPr>
      <w:r w:rsidRPr="00781112">
        <w:rPr>
          <w:rFonts w:cs="Arial"/>
          <w:b/>
          <w:bCs/>
          <w:color w:val="000000" w:themeColor="text1"/>
          <w:sz w:val="24"/>
          <w:szCs w:val="24"/>
        </w:rPr>
        <w:t xml:space="preserve">For reporting on </w:t>
      </w:r>
      <w:r w:rsidRPr="00781112">
        <w:rPr>
          <w:rFonts w:cs="Arial"/>
          <w:b/>
          <w:bCs/>
          <w:color w:val="000000" w:themeColor="text1"/>
          <w:sz w:val="24"/>
          <w:szCs w:val="24"/>
        </w:rPr>
        <w:br/>
      </w:r>
      <w:r w:rsidRPr="00781112">
        <w:rPr>
          <w:rFonts w:cs="Arial"/>
          <w:b/>
          <w:bCs/>
          <w:color w:val="000000" w:themeColor="text1"/>
          <w:sz w:val="28"/>
          <w:szCs w:val="28"/>
        </w:rPr>
        <w:t xml:space="preserve">FFY </w:t>
      </w:r>
      <w:r w:rsidR="0039210B">
        <w:rPr>
          <w:rFonts w:cs="Arial"/>
          <w:b/>
          <w:bCs/>
          <w:color w:val="000000" w:themeColor="text1"/>
          <w:sz w:val="28"/>
          <w:szCs w:val="28"/>
        </w:rPr>
        <w:t>2024</w:t>
      </w:r>
    </w:p>
    <w:p w14:paraId="6B9BDDB4" w14:textId="77777777" w:rsidR="007B35BE" w:rsidRPr="00781112" w:rsidRDefault="007B35BE" w:rsidP="007B35BE">
      <w:pPr>
        <w:autoSpaceDE w:val="0"/>
        <w:autoSpaceDN w:val="0"/>
        <w:adjustRightInd w:val="0"/>
        <w:spacing w:before="360"/>
        <w:jc w:val="center"/>
        <w:rPr>
          <w:rFonts w:cs="Arial"/>
          <w:b/>
          <w:bCs/>
          <w:color w:val="000000" w:themeColor="text1"/>
          <w:sz w:val="32"/>
          <w:szCs w:val="32"/>
        </w:rPr>
      </w:pPr>
      <w:r w:rsidRPr="00781112">
        <w:rPr>
          <w:rFonts w:cs="Arial"/>
          <w:b/>
          <w:bCs/>
          <w:color w:val="000000" w:themeColor="text1"/>
          <w:sz w:val="32"/>
          <w:szCs w:val="32"/>
        </w:rPr>
        <w:t>West Virginia</w:t>
      </w:r>
    </w:p>
    <w:p w14:paraId="559535DB" w14:textId="77777777"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noProof/>
          <w:color w:val="000000" w:themeColor="text1"/>
          <w:sz w:val="24"/>
          <w:szCs w:val="24"/>
        </w:rPr>
        <w:drawing>
          <wp:inline distT="0" distB="0" distL="0" distR="0" wp14:anchorId="135639EF" wp14:editId="6DF93301">
            <wp:extent cx="2281963" cy="2286000"/>
            <wp:effectExtent l="0" t="0" r="4445" b="0"/>
            <wp:docPr id="2"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S. Department of Education sea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1963" cy="2286000"/>
                    </a:xfrm>
                    <a:prstGeom prst="rect">
                      <a:avLst/>
                    </a:prstGeom>
                  </pic:spPr>
                </pic:pic>
              </a:graphicData>
            </a:graphic>
          </wp:inline>
        </w:drawing>
      </w:r>
    </w:p>
    <w:p w14:paraId="583FE8F3" w14:textId="77777777"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b/>
          <w:bCs/>
          <w:color w:val="000000" w:themeColor="text1"/>
          <w:sz w:val="24"/>
          <w:szCs w:val="24"/>
        </w:rPr>
        <w:t>PART B DUE February 2, 2026</w:t>
      </w:r>
    </w:p>
    <w:p w14:paraId="26D89CAD" w14:textId="77777777" w:rsidR="007B35BE" w:rsidRPr="00781112" w:rsidRDefault="007B35BE" w:rsidP="007B35BE">
      <w:pPr>
        <w:autoSpaceDE w:val="0"/>
        <w:autoSpaceDN w:val="0"/>
        <w:adjustRightInd w:val="0"/>
        <w:spacing w:before="360"/>
        <w:jc w:val="center"/>
        <w:rPr>
          <w:rFonts w:cs="Arial"/>
          <w:b/>
          <w:bCs/>
          <w:color w:val="000000" w:themeColor="text1"/>
          <w:sz w:val="18"/>
          <w:szCs w:val="18"/>
        </w:rPr>
      </w:pPr>
      <w:r w:rsidRPr="00781112">
        <w:rPr>
          <w:rFonts w:cs="Arial"/>
          <w:b/>
          <w:bCs/>
          <w:color w:val="000000" w:themeColor="text1"/>
          <w:sz w:val="18"/>
          <w:szCs w:val="18"/>
        </w:rPr>
        <w:t>U.S. DEPARTMENT OF EDUCATION</w:t>
      </w:r>
    </w:p>
    <w:p w14:paraId="5EFF6FFD" w14:textId="77777777" w:rsidR="007B35BE" w:rsidRPr="00781112" w:rsidRDefault="007B35BE" w:rsidP="007B35BE">
      <w:pPr>
        <w:jc w:val="center"/>
        <w:rPr>
          <w:rFonts w:cs="Arial"/>
          <w:b/>
          <w:bCs/>
          <w:color w:val="000000" w:themeColor="text1"/>
          <w:sz w:val="18"/>
          <w:szCs w:val="18"/>
        </w:rPr>
      </w:pPr>
      <w:r w:rsidRPr="00781112">
        <w:rPr>
          <w:rFonts w:cs="Arial"/>
          <w:b/>
          <w:bCs/>
          <w:color w:val="000000" w:themeColor="text1"/>
          <w:sz w:val="18"/>
          <w:szCs w:val="18"/>
        </w:rPr>
        <w:t>WASHINGTON, DC 20202</w:t>
      </w:r>
    </w:p>
    <w:p w14:paraId="08782045" w14:textId="77777777" w:rsidR="00AB39FB" w:rsidRPr="00781112" w:rsidRDefault="00AB39FB">
      <w:pPr>
        <w:spacing w:before="0" w:after="200" w:line="276" w:lineRule="auto"/>
        <w:rPr>
          <w:rFonts w:cs="Arial"/>
          <w:b/>
          <w:bCs/>
          <w:color w:val="000000" w:themeColor="text1"/>
          <w:sz w:val="18"/>
          <w:szCs w:val="18"/>
        </w:rPr>
      </w:pPr>
      <w:r w:rsidRPr="00781112">
        <w:rPr>
          <w:rFonts w:cs="Arial"/>
          <w:b/>
          <w:bCs/>
          <w:color w:val="000000" w:themeColor="text1"/>
          <w:sz w:val="18"/>
          <w:szCs w:val="18"/>
        </w:rPr>
        <w:br w:type="page"/>
      </w:r>
    </w:p>
    <w:p w14:paraId="037AA500" w14:textId="77777777" w:rsidR="00AB39FB" w:rsidRPr="00781112" w:rsidRDefault="00AB39FB" w:rsidP="007B35BE">
      <w:pPr>
        <w:jc w:val="center"/>
        <w:rPr>
          <w:rFonts w:cs="Arial"/>
          <w:b/>
          <w:bCs/>
          <w:color w:val="000000" w:themeColor="text1"/>
          <w:sz w:val="18"/>
          <w:szCs w:val="18"/>
        </w:rPr>
      </w:pPr>
    </w:p>
    <w:p w14:paraId="1318B1BE" w14:textId="77777777" w:rsidR="00AF5649" w:rsidRPr="00781112" w:rsidRDefault="00AF5649" w:rsidP="007D435F">
      <w:pPr>
        <w:pStyle w:val="Heading1"/>
        <w:rPr>
          <w:rFonts w:cs="Arial"/>
          <w:color w:val="000000" w:themeColor="text1"/>
          <w:szCs w:val="20"/>
        </w:rPr>
      </w:pPr>
      <w:r w:rsidRPr="00781112">
        <w:rPr>
          <w:rFonts w:cs="Arial"/>
          <w:color w:val="000000" w:themeColor="text1"/>
          <w:szCs w:val="20"/>
        </w:rPr>
        <w:t>Introduction</w:t>
      </w:r>
    </w:p>
    <w:p w14:paraId="3567771A" w14:textId="77777777" w:rsidR="007742F1" w:rsidRPr="002C274F" w:rsidRDefault="007742F1" w:rsidP="002C274F">
      <w:pPr>
        <w:rPr>
          <w:rFonts w:asciiTheme="majorHAnsi" w:hAnsiTheme="majorHAnsi"/>
          <w:b/>
          <w:bCs/>
          <w:sz w:val="20"/>
          <w:szCs w:val="20"/>
        </w:rPr>
      </w:pPr>
      <w:r w:rsidRPr="002C274F">
        <w:rPr>
          <w:b/>
          <w:bCs/>
          <w:sz w:val="20"/>
          <w:szCs w:val="20"/>
        </w:rPr>
        <w:t>Instructions</w:t>
      </w:r>
    </w:p>
    <w:p w14:paraId="5D50F94F" w14:textId="77777777" w:rsidR="00AA4DAF" w:rsidRPr="00781112" w:rsidRDefault="00AA4DAF" w:rsidP="00A84FF8">
      <w:pPr>
        <w:rPr>
          <w:rFonts w:cs="Arial"/>
          <w:color w:val="000000" w:themeColor="text1"/>
          <w:szCs w:val="16"/>
        </w:rPr>
      </w:pPr>
      <w:r w:rsidRPr="00781112">
        <w:rPr>
          <w:rFonts w:cs="Arial"/>
          <w:color w:val="000000" w:themeColor="text1"/>
          <w:szCs w:val="16"/>
          <w:shd w:val="clear" w:color="auto" w:fill="FFFFFF"/>
        </w:rPr>
        <w:t>Provide sufficient detail to ensure that the Secretary and the public are informed of and understand the State’s systems designed to drive improved results for students with disabilities and to ensure that the State Educational Agency (SEA) and Local Educational Agencies (LEAs) meet the requirements of IDEA Part B. This introduction must include descriptions of the State’s General Supervision System, Technical Assistance System, Professional Development System, Stakeholder Involvement, and Reporting to the Public.</w:t>
      </w:r>
    </w:p>
    <w:p w14:paraId="067935E0" w14:textId="77777777" w:rsidR="007742F1" w:rsidRPr="00781112" w:rsidRDefault="00684B51" w:rsidP="008645AD">
      <w:pPr>
        <w:pStyle w:val="Heading2"/>
      </w:pPr>
      <w:r w:rsidRPr="00781112">
        <w:t xml:space="preserve">Intro - </w:t>
      </w:r>
      <w:r w:rsidR="007742F1" w:rsidRPr="00781112">
        <w:t>Indicator Data</w:t>
      </w:r>
    </w:p>
    <w:p w14:paraId="7314949C" w14:textId="77777777" w:rsidR="00AF5649" w:rsidRPr="00781112" w:rsidRDefault="00AF5649" w:rsidP="004369B2">
      <w:pPr>
        <w:rPr>
          <w:color w:val="000000" w:themeColor="text1"/>
        </w:rPr>
      </w:pPr>
      <w:r w:rsidRPr="00781112">
        <w:rPr>
          <w:b/>
          <w:color w:val="000000" w:themeColor="text1"/>
        </w:rPr>
        <w:t xml:space="preserve">Executive Summary </w:t>
      </w:r>
    </w:p>
    <w:p w14:paraId="77961463" w14:textId="77777777" w:rsidR="000C24C2" w:rsidRPr="00781112" w:rsidRDefault="002B7490" w:rsidP="00AF5649">
      <w:pPr>
        <w:rPr>
          <w:rFonts w:cs="Arial"/>
          <w:color w:val="000000" w:themeColor="text1"/>
          <w:szCs w:val="16"/>
        </w:rPr>
      </w:pPr>
      <w:r w:rsidRPr="00781112">
        <w:rPr>
          <w:rFonts w:cs="Arial"/>
          <w:color w:val="000000" w:themeColor="text1"/>
          <w:szCs w:val="16"/>
        </w:rPr>
        <w:t xml:space="preserve">The West Virginia Department of Education (WVDE) respectfully submits West Virginia’s (WV) FFY 2024 Part B State Performance Plan (SPP)/Annual Performance Report (APR), describing the State’s implementation of Part B of the Individuals with Disabilities Education Act (IDEA). This report summarizes the State’s efforts to ensure the provision of special education and related services consistent with IDEA requirements. The WVDE Division of Federal Programs and Support, Office of Special Education (WVDE/OSE), carries out the State’s general supervision responsibilities through implementation and enforcement of WVBE Policy 2419, Regulations for the Education of Students with Exceptionalities. [https://wvde.state.wv.us/policies/] </w:t>
      </w:r>
    </w:p>
    <w:p w14:paraId="53991393" w14:textId="77777777" w:rsidR="00CA787A" w:rsidRDefault="00CA787A"/>
    <w:p w14:paraId="3290C0C0" w14:textId="77777777" w:rsidR="00CA787A" w:rsidRDefault="003169E9">
      <w:r>
        <w:rPr>
          <w:color w:val="000000"/>
        </w:rPr>
        <w:t>The WVDE/OSE is committed to continuous improvement in compliance with IDEA, as well as educational and post-secondary outcomes for students with disabilities (SWD) across the State. Each statewide initiative, communication, and intervention led by WVDE/OSE is designed to support this commitment and advance the State’s performance on Part B requirements. By establishing measurable targets for each SPP/APR results indicator, WVDE/OSE maintains an organized framework for measuring progress at multiple levels, from individual students to statewide outcomes.</w:t>
      </w:r>
    </w:p>
    <w:p w14:paraId="763F5120" w14:textId="77777777" w:rsidR="00CA787A" w:rsidRDefault="00CA787A"/>
    <w:p w14:paraId="76182E7C" w14:textId="77777777" w:rsidR="00CA787A" w:rsidRDefault="003169E9">
      <w:r>
        <w:rPr>
          <w:color w:val="000000"/>
        </w:rPr>
        <w:t>The WVDE/OSE serves as a committed partner and statewide resource to support the provision of a free appropriate public education (FAPE) to all SWDs, working collaboratively with parents, LEAs, schools, educators, administrators, and community partners to ensure implementation of IDEA. Comprehensive technical assistance and support are provided statewide to promote the use of effective practices and to strengthen educational outcomes for SWDs and their families.</w:t>
      </w:r>
    </w:p>
    <w:p w14:paraId="18BC409D" w14:textId="77777777" w:rsidR="00CA787A" w:rsidRDefault="00CA787A"/>
    <w:p w14:paraId="09077A5D" w14:textId="77777777" w:rsidR="00CA787A" w:rsidRDefault="003169E9">
      <w:r>
        <w:rPr>
          <w:color w:val="000000"/>
        </w:rPr>
        <w:t>Data sources for this report include the West Virginia Education Information System (WVEIS), the State’s monitoring activities, other state data systems, and documentation submitted by LEAs. The WVDE/OSE routinely disseminates these data and engages stakeholder groups to obtain input, gather feedback, review progress toward SPP/APR targets, and inform the development of strategies for continuous improvement.</w:t>
      </w:r>
    </w:p>
    <w:p w14:paraId="7EEE0584" w14:textId="77777777" w:rsidR="00757D21" w:rsidRPr="00781112" w:rsidRDefault="00757D21" w:rsidP="002536C1">
      <w:pPr>
        <w:rPr>
          <w:b/>
          <w:bCs/>
        </w:rPr>
      </w:pPr>
      <w:r w:rsidRPr="00781112">
        <w:rPr>
          <w:b/>
          <w:bCs/>
        </w:rPr>
        <w:t>Additional information related to data collection and reporting</w:t>
      </w:r>
    </w:p>
    <w:p w14:paraId="0C56A0F4" w14:textId="77777777" w:rsidR="00757D21" w:rsidRPr="00781112" w:rsidRDefault="00757D21">
      <w:pPr>
        <w:rPr>
          <w:b/>
          <w:color w:val="000000" w:themeColor="text1"/>
        </w:rPr>
      </w:pPr>
      <w:r w:rsidRPr="00781112">
        <w:rPr>
          <w:color w:val="000000" w:themeColor="text1"/>
        </w:rPr>
        <w:t>The data reported in this SPP/APR are primarily from SY 2024-25, reflecting the most recent performance of the state’s special education programs. However, data from SY 2023-24 are reported for Indicators 1, 2, 4A, 4B, and 18 due to specific federal requirements associated with these indicators.</w:t>
      </w:r>
    </w:p>
    <w:p w14:paraId="726957D3" w14:textId="77777777" w:rsidR="00C01339" w:rsidRPr="00781112" w:rsidRDefault="00AF5649">
      <w:pPr>
        <w:rPr>
          <w:b/>
          <w:color w:val="000000" w:themeColor="text1"/>
        </w:rPr>
      </w:pPr>
      <w:r w:rsidRPr="00781112">
        <w:rPr>
          <w:b/>
          <w:color w:val="000000" w:themeColor="text1"/>
        </w:rPr>
        <w:t xml:space="preserve">Number of Districts in your State/Territory during reporting year </w:t>
      </w:r>
    </w:p>
    <w:p w14:paraId="4E5B39C7" w14:textId="77777777" w:rsidR="00AF5649" w:rsidRPr="00781112" w:rsidRDefault="002B7490" w:rsidP="004369B2">
      <w:pPr>
        <w:rPr>
          <w:color w:val="000000" w:themeColor="text1"/>
        </w:rPr>
      </w:pPr>
      <w:r w:rsidRPr="00781112">
        <w:rPr>
          <w:color w:val="000000" w:themeColor="text1"/>
        </w:rPr>
        <w:t>63</w:t>
      </w:r>
    </w:p>
    <w:p w14:paraId="1CC47883" w14:textId="77777777" w:rsidR="00AF5649" w:rsidRPr="00781112" w:rsidRDefault="00AF5649" w:rsidP="004369B2">
      <w:pPr>
        <w:rPr>
          <w:color w:val="000000" w:themeColor="text1"/>
        </w:rPr>
      </w:pPr>
      <w:r w:rsidRPr="00781112">
        <w:rPr>
          <w:b/>
          <w:color w:val="000000" w:themeColor="text1"/>
        </w:rPr>
        <w:t>General Supervision System:</w:t>
      </w:r>
    </w:p>
    <w:p w14:paraId="384FFEAD" w14:textId="77777777" w:rsidR="00731910" w:rsidRPr="00781112" w:rsidRDefault="004A7084" w:rsidP="00AF5649">
      <w:pPr>
        <w:rPr>
          <w:rFonts w:cs="Arial"/>
          <w:b/>
          <w:color w:val="000000" w:themeColor="text1"/>
          <w:szCs w:val="16"/>
        </w:rPr>
      </w:pPr>
      <w:r w:rsidRPr="00BA3DBE">
        <w:rPr>
          <w:b/>
          <w:bCs/>
        </w:rPr>
        <w:t xml:space="preserve">The systems that are in place to ensure that the IDEA Part B requirements are met (e.g., integrated monitoring activities; data on processes and results; the SPP/APR; fiscal management; policies, procedures, and practices resulting in effective implementation; and improvement, correction, incentives, and sanctions). </w:t>
      </w:r>
      <w:r w:rsidR="00256572" w:rsidRPr="006A35F9">
        <w:rPr>
          <w:b/>
          <w:bCs/>
          <w:szCs w:val="16"/>
        </w:rPr>
        <w:t>Include a description of all the mechanisms the State uses to identify and verify correction of noncompliance and improve results. This should include, but not be limited to, State monitoring, State database/data system, dispute resolution, fiscal management systems as well as other mechanisms through which the State is able to determine compliance and/or issue written findings of noncompliance. The State should include the following elements:</w:t>
      </w:r>
    </w:p>
    <w:p w14:paraId="6FE9F874" w14:textId="77777777" w:rsidR="00256572" w:rsidRPr="00680744" w:rsidRDefault="00256572" w:rsidP="00680744">
      <w:pPr>
        <w:rPr>
          <w:b/>
          <w:bCs/>
        </w:rPr>
      </w:pPr>
      <w:r w:rsidRPr="00680744">
        <w:rPr>
          <w:b/>
          <w:bCs/>
        </w:rPr>
        <w:t>Describe the process the State uses to select LEAs for monitoring, the schedule, and number of LEAs monitored per year.</w:t>
      </w:r>
    </w:p>
    <w:p w14:paraId="7DED7086" w14:textId="77777777" w:rsidR="00256572" w:rsidRPr="00A964C2" w:rsidRDefault="00256572" w:rsidP="00680744">
      <w:pPr>
        <w:rPr>
          <w:bCs/>
        </w:rPr>
      </w:pPr>
      <w:r w:rsidRPr="00A964C2">
        <w:rPr>
          <w:bCs/>
        </w:rPr>
        <w:t>LEA MONITORING: SELECTION, SCHEDULE, AND NUMBER</w:t>
      </w:r>
    </w:p>
    <w:p w14:paraId="1902C496" w14:textId="77777777" w:rsidR="00CA787A" w:rsidRDefault="003169E9">
      <w:r>
        <w:t>—The WVDE/OSE uses a systematic approach to select LEAs for on-site monitoring. Each LEA is monitored at least once every four years, with monitoring conducted as necessary to support continuous compliance and performance improvement. The cyclical monitoring schedule is developed by special education monitoring staff and is based on the population of students with disabilities (SWDs) in each LEA and how long each LEA has been in operation. Geographic considerations are incorporated into scheduling decisions to ensure efficient use of state resources. For instance, LEAs located in close proximity may be scheduled for monitoring during the same week, thereby reducing travel costs and maximizing monitoring efficiency. Public charter schools are provided with support before they enter the monitoring rotation in the year following their initial operation. The state currently conducts on-site monitoring of 14 to 18 LEAs annually.</w:t>
      </w:r>
    </w:p>
    <w:p w14:paraId="1A3C645E" w14:textId="77777777" w:rsidR="00CA787A" w:rsidRDefault="003169E9">
      <w:r>
        <w:t>—The state's secondary transition file review monitoring follows a comparable cyclical framework, with every LEA monitored once every four years.</w:t>
      </w:r>
    </w:p>
    <w:p w14:paraId="19E334A1" w14:textId="77777777" w:rsidR="00CA787A" w:rsidRDefault="00CA787A"/>
    <w:p w14:paraId="3C66CD18" w14:textId="77777777" w:rsidR="00CA787A" w:rsidRDefault="003169E9">
      <w:r>
        <w:t xml:space="preserve">INTEGRATED MONITORING </w:t>
      </w:r>
    </w:p>
    <w:p w14:paraId="4ED6EBEF" w14:textId="77777777" w:rsidR="00CA787A" w:rsidRDefault="003169E9">
      <w:r>
        <w:t>—The cyclical monitoring process begins with a desk audit, during which WVDE/OSE reviews selected student records and LEA documentation related to special education, including IEPs, discipline records, staffing information, parent surveys, and local policies. This initial review provides an overview of the LEA’s special education practices and implementation of IDEA requirements. Prior to the on-site visit, WVDE/OSE conducts a virtual entrance conference in which the LEA presents progress on its Targeted Systemic Improvement Plan (TSIP), developed in response to at least one area of weakness identified through the Annual Desk Audit (ADA).</w:t>
      </w:r>
    </w:p>
    <w:p w14:paraId="2625FDFA" w14:textId="77777777" w:rsidR="00CA787A" w:rsidRDefault="003169E9">
      <w:r>
        <w:t>—During the subsequent on-site review, WVDE/OSE collects qualitative and quantitative information through interviews and focus groups with educators, administrators, and students. Classroom observations have been expanded to further emphasize the quality of instruction and its impact on SWDs, with teachers required to make lesson plans and accommodation logs available in either paper or electronic format to ensure the provision of specially designed instruction to meet the individualized needs of each student. This comprehensive approach is used to examine instructional practices, student engagement, and accessibility, and to identify any emerging or existing concerns that may negatively impact student outcomes. Camera procedures are reviewed during on-site visits to ensure alignment with W. Va. Code §18-20-11. Additionally, Pre-K monitoring has been fully integrated into the cyclical process through concurrent file reviews and on-site visits by the Section 619 Coordinator, reducing the number of visits to each LEA and minimizing disruptions to instruction.</w:t>
      </w:r>
    </w:p>
    <w:p w14:paraId="1A8D249B" w14:textId="77777777" w:rsidR="00CA787A" w:rsidRDefault="003169E9">
      <w:r>
        <w:lastRenderedPageBreak/>
        <w:t>—Following the on-site review, the WVDE/OSE issues a comprehensive monitoring report that identifies any required corrections for any individual or systemic findings of noncompliance. To strengthen LEA capacity to complete corrections within one year, the compliance monitoring team provides all LEAs with a Cyclical Corrections Tracking Sheet (CCTS), along with the monitoring report, which serves as a user-friendly, read-only, real-time tool for tracking progress on required corrections. LEAs also receive a slide deck that outlines their specific systemic findings and the actions needed to correct them, which can be used as technical assistance with staff. To align with OSEP QA 23-01, the timeline for issuing the LEA Compliance Monitoring Report has been adjusted to within three months of the on-site visit. In addition, the transition file review and financial review have been separated from the cyclical monitoring process to strengthen those two areas of oversight, and an administrative finding, “AF10: Timely and Accurate,” has been added to reinforce expectations for data quality and timeliness.</w:t>
      </w:r>
    </w:p>
    <w:p w14:paraId="33C21E68" w14:textId="77777777" w:rsidR="00CA787A" w:rsidRDefault="00CA787A"/>
    <w:p w14:paraId="39155C4A" w14:textId="77777777" w:rsidR="00CA787A" w:rsidRDefault="003169E9">
      <w:r>
        <w:t xml:space="preserve">FISCAL MANAGEMENT </w:t>
      </w:r>
    </w:p>
    <w:p w14:paraId="03825AED" w14:textId="77777777" w:rsidR="00CA787A" w:rsidRDefault="003169E9">
      <w:r>
        <w:t>—WVDE maintains comprehensive procedures to oversee and monitor IDEA funds, ensuring they are used effectively and appropriately to support special education. The process begins with providing clear and thorough guidance on the application process, reviewing and approving LEA funding applications through the Grants and Planning System (GPS), followed by issuing grant awards that clearly define allowable uses and required assurances. Any budget revisions are processed through WVEIS Budget Revision Requests, and WVDE conducts periodic reviews of LEA financial reports to verify that expenditures align with approved budgets. Expenditure levels are tracked closely, and subgrantees receive notifications to promote timely spending. LEAs complete self-assessments, which are supplemented by SEA monitoring based on a risk assessment of each subrecipient. A risk-based matrix drives differentiated monitoring to ensure compliance and strong fiscal management, ultimately supporting improved outcomes for SWDs.</w:t>
      </w:r>
    </w:p>
    <w:p w14:paraId="3AE6F9FC" w14:textId="77777777" w:rsidR="00CA787A" w:rsidRDefault="00CA787A"/>
    <w:p w14:paraId="4A1101C0" w14:textId="77777777" w:rsidR="00CA787A" w:rsidRDefault="003169E9">
      <w:r>
        <w:t>SUSTAINING COMPLIANCE &amp; IMPROVEMENT</w:t>
      </w:r>
    </w:p>
    <w:p w14:paraId="097D0E5A" w14:textId="77777777" w:rsidR="00CA787A" w:rsidRDefault="003169E9">
      <w:r>
        <w:t xml:space="preserve">—The system of graduated and progressive sanctions WVDE/OSE uses to ensure the correction of identified noncompliance and to address areas in need of improvement are described in a later section of this Introduction. </w:t>
      </w:r>
    </w:p>
    <w:p w14:paraId="1D9C3FE1" w14:textId="77777777" w:rsidR="00CA787A" w:rsidRDefault="00CA787A"/>
    <w:p w14:paraId="0E4B6286" w14:textId="77777777" w:rsidR="00CA787A" w:rsidRDefault="003169E9">
      <w:r>
        <w:t>IMPLEMENTATION OF POLICIES &amp; PROCEDURES</w:t>
      </w:r>
    </w:p>
    <w:p w14:paraId="7D0F629A" w14:textId="77777777" w:rsidR="00CA787A" w:rsidRDefault="003169E9">
      <w:r>
        <w:t xml:space="preserve">—West Virginia’s special education policies and procedures ensure compliance with 34 CFR §§300.101–300.176, supporting both state and local implementation of IDEA. Agencies responsible for delivering special education and related services, including LEAs, private schools, correctional facilities, and out-of-state placements, must follow these policies and federal regulations. The West Virginia Board of Education (WVBE) implements Part B of IDEA through WVBE Policy 2419, which incorporates the West Virginia Procedures Manual for the Education of Students with Exceptionalities. This policy establishes the requirements LEAs must meet to receive federal IDEA funds. The WVDE develops policies and procedures with input from a broad stakeholder group, including the IDEA Part B State Advisory Panel, known as the West Virginia Advisory Council for the Education of Exceptional Children (WVACEEC). This council, funded through IDEA </w:t>
      </w:r>
      <w:proofErr w:type="gramStart"/>
      <w:r>
        <w:t>set-aside</w:t>
      </w:r>
      <w:proofErr w:type="gramEnd"/>
      <w:r>
        <w:t xml:space="preserve"> grant funds, advises the SEA on special education issues. Members are appointed by the state superintendent and represent diverse stakeholders, including parents, individuals with disabilities, educators, administrators, representatives from other state agencies, higher education, advocacy organizations, and general education partners at the WVDE.</w:t>
      </w:r>
    </w:p>
    <w:p w14:paraId="5246A96D" w14:textId="77777777" w:rsidR="00CA787A" w:rsidRDefault="00CA787A"/>
    <w:p w14:paraId="7BDEA19F" w14:textId="77777777" w:rsidR="00CA787A" w:rsidRDefault="003169E9">
      <w:r>
        <w:t>DATA ON PROCESSES AND RESULTS &amp; SPP/APR</w:t>
      </w:r>
    </w:p>
    <w:p w14:paraId="26EB479A" w14:textId="77777777" w:rsidR="00CA787A" w:rsidRDefault="003169E9">
      <w:r>
        <w:t>(Described in a later section of this Introduction.)</w:t>
      </w:r>
    </w:p>
    <w:p w14:paraId="2B2695B8" w14:textId="77777777" w:rsidR="00CA787A" w:rsidRDefault="00CA787A"/>
    <w:p w14:paraId="024A8538" w14:textId="77777777" w:rsidR="00CA787A" w:rsidRDefault="003169E9">
      <w:r>
        <w:t>TECHNICAL ASSISTANCE &amp; PROFESSIONAL DEVELOPMENT</w:t>
      </w:r>
    </w:p>
    <w:p w14:paraId="7FE572DB" w14:textId="77777777" w:rsidR="00CA787A" w:rsidRDefault="003169E9">
      <w:r>
        <w:t>(Described in a later section of this Introduction.)</w:t>
      </w:r>
    </w:p>
    <w:p w14:paraId="207440A3" w14:textId="77777777" w:rsidR="00CA787A" w:rsidRDefault="00CA787A"/>
    <w:p w14:paraId="26E0682F" w14:textId="77777777" w:rsidR="00CA787A" w:rsidRDefault="003169E9">
      <w:r>
        <w:t>DISPUTE RESOLUTION</w:t>
      </w:r>
    </w:p>
    <w:p w14:paraId="0A09AB0B" w14:textId="77777777" w:rsidR="00CA787A" w:rsidRDefault="003169E9">
      <w:r>
        <w:t>To address disagreements related to special education, WVDE/OSE provides the full range of dispute resolution options required by IDEA. These processes help parents/guardians, adult students, and LEAs reach solutions that comply with state and federal requirements.</w:t>
      </w:r>
    </w:p>
    <w:p w14:paraId="2FF381EA" w14:textId="77777777" w:rsidR="00CA787A" w:rsidRDefault="003169E9">
      <w:r>
        <w:t>—For early conflict prevention, WVDE/OSE offers facilitated IEP team meetings, using trained, impartial facilitators to guide IEP discussions and ensure all team members’ input is considered as the team works toward consensus.</w:t>
      </w:r>
    </w:p>
    <w:p w14:paraId="2BCBBB56" w14:textId="77777777" w:rsidR="00CA787A" w:rsidRDefault="003169E9">
      <w:r>
        <w:t>—Formal written state complaints address alleged LEA violations, with the option for early resolution through voluntary local conferences.</w:t>
      </w:r>
    </w:p>
    <w:p w14:paraId="41DE971A" w14:textId="77777777" w:rsidR="00CA787A" w:rsidRDefault="003169E9">
      <w:r>
        <w:t>—Mediation, led by a neutral mediator, provides a confidential, non-adversarial opportunity to resolve IDEA-related disputes.</w:t>
      </w:r>
    </w:p>
    <w:p w14:paraId="13579784" w14:textId="77777777" w:rsidR="00CA787A" w:rsidRDefault="003169E9">
      <w:r>
        <w:t>—Due process complaints offer a formal mechanism for addressing issues related to identification, evaluation, placement, or the provision of FAPE. These hearings are conducted by impartial hearing officers and result in binding decisions, with appeal rights available in state or federal court.</w:t>
      </w:r>
    </w:p>
    <w:p w14:paraId="225C58FB" w14:textId="77777777" w:rsidR="00256572" w:rsidRPr="00680744" w:rsidRDefault="00256572" w:rsidP="00680744">
      <w:pPr>
        <w:rPr>
          <w:b/>
          <w:bCs/>
        </w:rPr>
      </w:pPr>
      <w:r w:rsidRPr="00680744">
        <w:rPr>
          <w:b/>
          <w:bCs/>
        </w:rPr>
        <w:t>Describe how student files are chosen, including the number of student files that are selected, as part of the State’s process for determining an LEA’s compliance with IDEA requirements and verifying the LEA’s correction of any identified noncompliance.</w:t>
      </w:r>
    </w:p>
    <w:p w14:paraId="4BCE473C" w14:textId="77777777" w:rsidR="00256572" w:rsidRPr="00A964C2" w:rsidRDefault="00256572" w:rsidP="00680744">
      <w:pPr>
        <w:rPr>
          <w:bCs/>
        </w:rPr>
      </w:pPr>
      <w:r w:rsidRPr="00A964C2">
        <w:rPr>
          <w:bCs/>
        </w:rPr>
        <w:t>MONITORING &amp; ACCOUNTABILITY</w:t>
      </w:r>
    </w:p>
    <w:p w14:paraId="438FAF86" w14:textId="77777777" w:rsidR="00CA787A" w:rsidRDefault="003169E9">
      <w:r>
        <w:t>—WVDE/OSE’s process for determining an LEA’s compliance with IDEA requirements involves a systematic review of student files. The special education monitoring team conducts these reviews by randomly selecting student files based on the size of SWD enrollment, as outlined in the WVDE/OSE’s IDEA Part B Programmatic Monitoring Procedures manual (accessed through the “IDEA Part B Programmatic Monitoring Procedures (2023) [PDF]” hyperlink located at [https://wvde.us/academics/special-education/accountability-compliance/compliance-monitoring]).</w:t>
      </w:r>
    </w:p>
    <w:p w14:paraId="7A4D82A4" w14:textId="77777777" w:rsidR="00CA787A" w:rsidRDefault="003169E9">
      <w:r>
        <w:t>—Student files are chosen as part of the WVDE/OSE’s process for determining an LEA’s compliance with IDEA requirements and verifying the correction of any identified noncompliance. The special education monitoring team randomly selects student files for review to ensure an unbiased evaluation. The IEPs reviewed are the most current as of the date of the notification letter sent to the LEA. LEAs must upload specific documentation for each selected IEP, including meeting notices, signed attendance pages, signed prior written notices, eligibility committee documentation, and any other relevant documents. This process ensures a comprehensive and fair assessment of the LEA’s compliance with IDEA requirements and supports verification of the correction of any identified noncompliance.</w:t>
      </w:r>
    </w:p>
    <w:p w14:paraId="0A99BB0D" w14:textId="77777777" w:rsidR="00CA787A" w:rsidRDefault="00CA787A"/>
    <w:p w14:paraId="46A9A3BC" w14:textId="77777777" w:rsidR="00CA787A" w:rsidRDefault="003169E9">
      <w:r>
        <w:t>The number of student files selected for review is determined by the size of the student enrollment in the LEA.</w:t>
      </w:r>
    </w:p>
    <w:p w14:paraId="74FB3E1B" w14:textId="77777777" w:rsidR="00CA787A" w:rsidRDefault="003169E9">
      <w:r>
        <w:t>For LEAs with an enrollment of:</w:t>
      </w:r>
    </w:p>
    <w:p w14:paraId="658A97B4" w14:textId="77777777" w:rsidR="00CA787A" w:rsidRDefault="003169E9">
      <w:r>
        <w:t>— 0-1500 SWDs: 15 general IEP files, up to 10 discipline files, and 5 summary of performance (SOP) files are reviewed.</w:t>
      </w:r>
    </w:p>
    <w:p w14:paraId="10EAC503" w14:textId="77777777" w:rsidR="00CA787A" w:rsidRDefault="003169E9">
      <w:r>
        <w:t>— 1501-3000 SWDs: 20 general IEP files, up to 10 discipline files, and 5 SOP files are reviewed</w:t>
      </w:r>
    </w:p>
    <w:p w14:paraId="1994B7CB" w14:textId="77777777" w:rsidR="00CA787A" w:rsidRDefault="003169E9">
      <w:r>
        <w:t>— 3001-4500 SWDs: 25 general IEP files, up to 10 discipline files, and 5 SOP files are reviewed.</w:t>
      </w:r>
    </w:p>
    <w:p w14:paraId="795BA6F5" w14:textId="77777777" w:rsidR="00CA787A" w:rsidRDefault="00CA787A"/>
    <w:p w14:paraId="4C20F865" w14:textId="77777777" w:rsidR="00CA787A" w:rsidRDefault="003169E9">
      <w:r>
        <w:t>INDICATORS 4A &amp; 4B</w:t>
      </w:r>
    </w:p>
    <w:p w14:paraId="27E60A0B" w14:textId="77777777" w:rsidR="00CA787A" w:rsidRDefault="003169E9">
      <w:r>
        <w:t>—Following the identification of one or more LEAs with significant discrepancies in the rates of suspensions or expulsions of students with disabilities (SWDs) for more than 10 days in a school year, including by race/ethnicity for Indicator 4B, WVDE/OSE conducts an on-site review. This review examines the LEA’s policies, procedures, and practices related to the development and implementation of IEPs, the use of Positive Behavioral Interventions and Supports (PBIS), and the provision of procedural safeguards.</w:t>
      </w:r>
    </w:p>
    <w:p w14:paraId="3F1C092F" w14:textId="77777777" w:rsidR="00CA787A" w:rsidRDefault="003169E9">
      <w:r>
        <w:t>—For the selection of student files, up to ten files per LEA are selected for Indicator 4A. For Indicator 4B, up to ten files per race/ethnicity category identified with a significant discrepancy are selected; if an LEA has fewer than ten students in the Indicator 4B numerator for a given race/ethnicity category, all available cases are reviewed. The selected files provide a reasonable sample from diverse school settings to ensure a comprehensive review. Each file is reviewed using a dedicated checklist to determine compliance with applicable IDEA requirements.</w:t>
      </w:r>
    </w:p>
    <w:p w14:paraId="31992AF7" w14:textId="77777777" w:rsidR="00CA787A" w:rsidRDefault="00CA787A"/>
    <w:p w14:paraId="5C1205DE" w14:textId="77777777" w:rsidR="00CA787A" w:rsidRDefault="003169E9">
      <w:r>
        <w:t>INDICATORS 9 &amp; 10</w:t>
      </w:r>
    </w:p>
    <w:p w14:paraId="3A780212" w14:textId="77777777" w:rsidR="00CA787A" w:rsidRDefault="003169E9">
      <w:r>
        <w:t>—Following the identification of disproportionate representation in special education or in a specific disability category for one or more racial/ethnic groups in one or more LEAs, WVDE/OSE conducts a comprehensive file review to examine the LEA's implementation of WVBE Policy 2419: Regulations for the Education of Students with Exceptionalities. The review focuses on pre-referral processes, intervention practices, multidisciplinary evaluation procedures, and eligibility determinations to identify potential factors that may have contributed to the disproportionate representation.</w:t>
      </w:r>
    </w:p>
    <w:p w14:paraId="28F44003" w14:textId="77777777" w:rsidR="00CA787A" w:rsidRDefault="003169E9">
      <w:r>
        <w:t>—For the selection of student files, up to ten student files are reviewed following a predefined protocol to ensure a representative sample from diverse school settings. Files with recent eligibility committee determinations, whether initial or reevaluation, are prioritized. Redundancy is avoided by excluding files reviewed in a previous self-assessment cycle.</w:t>
      </w:r>
    </w:p>
    <w:p w14:paraId="3D4873E7" w14:textId="77777777" w:rsidR="00CA787A" w:rsidRDefault="00CA787A"/>
    <w:p w14:paraId="1F934354" w14:textId="77777777" w:rsidR="00CA787A" w:rsidRDefault="003169E9">
      <w:r>
        <w:t>INDICATOR 11</w:t>
      </w:r>
    </w:p>
    <w:p w14:paraId="6F8AC242" w14:textId="77777777" w:rsidR="00CA787A" w:rsidRDefault="003169E9">
      <w:r>
        <w:t>—The data for Indicator 11 are sourced from a state database that includes information for the entire reporting year. The Initial Evaluation (INI.EVAL) application within WVEIS summarizes live Child Find data for each LEA and includes several types of custom reports that the SEA and LEA can use for continuous monitoring and review. Each LEA reviews initial evaluation data for all referrals and submits three progress reports through the INI.EVAL application in December, March, and June of each school year. Each LEA also reviews and submits a final report for the previous school year that contains student-level data for initial evaluation consents received from July 1st through June 30th. This final report is submitted for the appropriate SPP/APR reporting period.</w:t>
      </w:r>
    </w:p>
    <w:p w14:paraId="394B4886" w14:textId="77777777" w:rsidR="00CA787A" w:rsidRDefault="00CA787A"/>
    <w:p w14:paraId="182A21E9" w14:textId="77777777" w:rsidR="00CA787A" w:rsidRDefault="003169E9">
      <w:r>
        <w:t>INDICATOR 12</w:t>
      </w:r>
    </w:p>
    <w:p w14:paraId="2363AA55" w14:textId="77777777" w:rsidR="00CA787A" w:rsidRDefault="003169E9">
      <w:r>
        <w:t>—The data for this indicator are sourced from a state database that includes information for the entire reporting year. The lead agency for Part C, West Virginia Birth to Three (WVBTT), collaborates with WVDE to ensure compliance with Part C to Part B transition requirements. LEAs maintain referral dates, eligibility status, and IEP dates in WVEIS. Data are extracted at least annually and analyzed for compliance. Child Notification Forms are sent to each LEA based on the child's initial WVBTT eligibility determination date, with notifications sent up to six months before the child turns three. LEA representatives work with families to discuss potential services and complete eligibility determinations and IEP development as appropriate. An online Child Notification Form allows LEAs to enter outcomes and transmit data directly to WVDE for verification and follow-up.</w:t>
      </w:r>
    </w:p>
    <w:p w14:paraId="418A4BAE" w14:textId="77777777" w:rsidR="00CA787A" w:rsidRDefault="00CA787A"/>
    <w:p w14:paraId="71863304" w14:textId="77777777" w:rsidR="00CA787A" w:rsidRDefault="003169E9">
      <w:r>
        <w:t>INDICATOR 13</w:t>
      </w:r>
    </w:p>
    <w:p w14:paraId="4460145E" w14:textId="77777777" w:rsidR="00CA787A" w:rsidRDefault="003169E9">
      <w:r>
        <w:t xml:space="preserve">—WVDE/OSE collects data for this indicator through state monitoring, which may include cyclical, differentiated, risk-based, focused, and special circumstance monitoring. In addition, LEAs may also be identified for noncompliance through the general supervision system. The most common source of data is the state monitoring process, which ensures that every LEA receives a review of secondary transition plans at least once every four years (i.e., equal to a monitoring cohort). Using the statewide online IEP system, WVDE/OSE reviews randomly selected IEP/secondary transition plans for students ages 14-21. The review follows a checklist to verify compliance with secondary transition requirements, including measurable postsecondary goals, transition services, courses of study, and annual goals related to the student's transition needs. The number of student files is calculated using an adjusted sample size formula based on the total number of secondary transition age students in each of the four-year monitoring cohorts. </w:t>
      </w:r>
    </w:p>
    <w:p w14:paraId="34FA33FD" w14:textId="77777777" w:rsidR="00CA787A" w:rsidRDefault="00CA787A"/>
    <w:p w14:paraId="7DA94294" w14:textId="77777777" w:rsidR="00CA787A" w:rsidRDefault="003169E9">
      <w:r>
        <w:t xml:space="preserve">VERIFYING CORRECTION OF IDENTIFIED NONCOMPLIANCE </w:t>
      </w:r>
    </w:p>
    <w:p w14:paraId="616C2784" w14:textId="77777777" w:rsidR="00CA787A" w:rsidRDefault="003169E9">
      <w:r>
        <w:t>—The WVDE/OSE confirms that the LEA is effectively implementing the specific regulatory requirements, achieving 100% compliance with the relevant IDEA requirements (i.e., systemic compliance). This is evaluated through a review of updated data, including data collected through integrated monitoring activities or the West Virginia Education Information System (WVEIS), the State’s student information system. The evidence required to demonstrate an LEA’s correct implementation of the regulatory requirements varies depending on the regulation(s) or compliance indicator(s) in consideration. Readers are encouraged to view the relevant sections for each compliance indicator in the SPP/APR for details on how this is conducted.</w:t>
      </w:r>
    </w:p>
    <w:p w14:paraId="0D34E79F" w14:textId="77777777" w:rsidR="00CA787A" w:rsidRDefault="003169E9">
      <w:r>
        <w:t>—In cases of student-specific noncompliance, the WVDE/OSE ensures that each individual case is corrected (not a subset or sample) by reviewing previously noncompliant files, records, data files, or any data source used to identify the original noncompliance, except for situations in which the student is no longer under the jurisdiction of the LEA. Additionally, no outstanding corrective action should exist under a State complaint or due process hearing decision for any student beyond the one year correction timeline.</w:t>
      </w:r>
    </w:p>
    <w:p w14:paraId="41A66B1F" w14:textId="77777777" w:rsidR="00256572" w:rsidRPr="00680744" w:rsidRDefault="00256572" w:rsidP="00680744">
      <w:pPr>
        <w:rPr>
          <w:b/>
          <w:bCs/>
        </w:rPr>
      </w:pPr>
      <w:r w:rsidRPr="00680744">
        <w:rPr>
          <w:b/>
          <w:bCs/>
        </w:rPr>
        <w:t xml:space="preserve">Describe the data system(s) the State uses to collect monitoring and SPP/APR data, and the period from which records are reviewed.  </w:t>
      </w:r>
    </w:p>
    <w:p w14:paraId="28684C1F" w14:textId="77777777" w:rsidR="00256572" w:rsidRPr="00A964C2" w:rsidRDefault="00256572" w:rsidP="00680744">
      <w:pPr>
        <w:rPr>
          <w:bCs/>
        </w:rPr>
      </w:pPr>
      <w:r w:rsidRPr="00A964C2">
        <w:rPr>
          <w:bCs/>
        </w:rPr>
        <w:t>DATA SYSTEMS</w:t>
      </w:r>
    </w:p>
    <w:p w14:paraId="443CFC28" w14:textId="77777777" w:rsidR="00CA787A" w:rsidRDefault="003169E9">
      <w:r>
        <w:t xml:space="preserve">—The West Virginia Education Information System (WVEIS) is West Virginia’s state longitudinal data system. Secure WVEIS servers store education records and information from the time the data are entered by school personnel. Data tools such as </w:t>
      </w:r>
      <w:proofErr w:type="spellStart"/>
      <w:r>
        <w:t>ZoomWV</w:t>
      </w:r>
      <w:proofErr w:type="spellEnd"/>
      <w:r>
        <w:t xml:space="preserve"> use the information already stored in WVEIS and make it available in secure, aggregate public reports. All data are certified for validity and accuracy before they are made available through </w:t>
      </w:r>
      <w:proofErr w:type="spellStart"/>
      <w:r>
        <w:t>ZoomWV</w:t>
      </w:r>
      <w:proofErr w:type="spellEnd"/>
      <w:r>
        <w:t>.</w:t>
      </w:r>
    </w:p>
    <w:p w14:paraId="72A25B87" w14:textId="77777777" w:rsidR="00CA787A" w:rsidRDefault="003169E9">
      <w:r>
        <w:t>—Data for Indicators 1, 2, 4A, 4B, 5, 6, 9, 10, 11, 12, and 13 are obtained from WVEIS. In addition to data obtained through WVEIS, data for other monitoring events (e.g., cyclical monitoring) include student file reviews, desk reviews, and on-site monitoring activities and are tracked through a separate monitoring reporting and correction system.</w:t>
      </w:r>
    </w:p>
    <w:p w14:paraId="599E3171" w14:textId="77777777" w:rsidR="00CA787A" w:rsidRDefault="00CA787A"/>
    <w:p w14:paraId="24DBAF5E" w14:textId="77777777" w:rsidR="00CA787A" w:rsidRDefault="003169E9">
      <w:r>
        <w:t>WVDE/OSE uses an Annual Desk Audit (ADA) to collect monitoring and SPP/APR data at the LEA level. This electronic, data-driven system links monitoring, determinations, and improvement planning. The ADA addresses both performance and compliance indicators, with state targets defined by the SPP/APR. LEAs not meeting these targets must develop a targeted systemic improvement plan (TSIP).</w:t>
      </w:r>
    </w:p>
    <w:p w14:paraId="1AE37188" w14:textId="77777777" w:rsidR="00CA787A" w:rsidRDefault="00CA787A"/>
    <w:p w14:paraId="228733B8" w14:textId="77777777" w:rsidR="00CA787A" w:rsidRDefault="003169E9">
      <w:r>
        <w:lastRenderedPageBreak/>
        <w:t>The Early Learning Reporting System (ELRS) is the online platform where all Universal Pre-K program and child assessment data are maintained, including preschool special education and the Child Outcome Summary (COS) process. The program data include school and classroom data, annual WV Universal Pre-K Health and Safety Checklist results, county collaborative early childhood core team information, and COS data. Child assessment data include child assessment checkpoints and COS forms for special education reporting requirements. Through data input, ELRS provides output reports for individual child support and instruction, and for classroom, school, and program continuous quality improvement planning.</w:t>
      </w:r>
    </w:p>
    <w:p w14:paraId="37D7CDFF" w14:textId="77777777" w:rsidR="00CA787A" w:rsidRDefault="003169E9">
      <w:r>
        <w:t>—Data for Indicator 7 are obtained from the ELRS.</w:t>
      </w:r>
    </w:p>
    <w:p w14:paraId="6D06734B" w14:textId="77777777" w:rsidR="00CA787A" w:rsidRDefault="00CA787A"/>
    <w:p w14:paraId="2B820546" w14:textId="77777777" w:rsidR="00CA787A" w:rsidRDefault="003169E9">
      <w:r>
        <w:t>WVDE/Office of Assessment collaborates with test vendors to provide the WV general summative assessment for grades three through eight, the alternate summative assessment for grades three through eight and 11, and the SAT School Day assessment for 11th grade. WVDE and the vendors securely share data electronically. At the end of the assessment window, WVDE integrates assessment data into WVEIS. The vendor’s tools and WVEIS provide schools and LEA administrators with the ability to track students’ progress longitudinally.</w:t>
      </w:r>
    </w:p>
    <w:p w14:paraId="3611202D" w14:textId="77777777" w:rsidR="00CA787A" w:rsidRDefault="00CA787A"/>
    <w:p w14:paraId="4A0C3EB5" w14:textId="77777777" w:rsidR="00CA787A" w:rsidRDefault="003169E9">
      <w:r>
        <w:t>WVDE/OSE uses a comprehensive data system to collect data related to Indicator 8: Parent Involvement. This system involves conducting a Parent Involvement Survey over three-year cycles, targeting parents or guardians of students within designated cohorts. The WVDE/OSE and the Vendor securely share data electronically as Excel documents, and reports are provided as Word or PDF documents. The data collection period for each cohort compares the current year's data to the same cohort's data from three years prior. This process ensures a thorough assessment of parent involvement in special education services across the state.</w:t>
      </w:r>
    </w:p>
    <w:p w14:paraId="52CE6FDB" w14:textId="77777777" w:rsidR="00CA787A" w:rsidRDefault="00CA787A"/>
    <w:p w14:paraId="54A6170C" w14:textId="77777777" w:rsidR="00CA787A" w:rsidRDefault="003169E9">
      <w:r>
        <w:t>For Indicator 14, the WVEIS database is used to gather the certified special education exit list for each LEA. This list of eligible survey respondents is sent to the LEAs and stored in their secured folders on Microsoft Teams. Responses to the survey are entered online at [wvde.us/</w:t>
      </w:r>
      <w:proofErr w:type="gramStart"/>
      <w:r>
        <w:t>special-education</w:t>
      </w:r>
      <w:proofErr w:type="gramEnd"/>
      <w:r>
        <w:t>/surveys] and stored in a secure database. Responses are downloaded for analysis using a secure weblink. LEAs can track response rates using a specialized application in WVEIS.</w:t>
      </w:r>
    </w:p>
    <w:p w14:paraId="02CF162F" w14:textId="77777777" w:rsidR="00CA787A" w:rsidRDefault="00CA787A"/>
    <w:p w14:paraId="5D92AEFD" w14:textId="77777777" w:rsidR="00CA787A" w:rsidRDefault="003169E9">
      <w:r>
        <w:t>WVDE/OSE uses the Office of Special Programs (OSP) Data Management System to collect and track dispute resolution data used for federal reporting. This system handles various types of dispute resolution activities, including:</w:t>
      </w:r>
    </w:p>
    <w:p w14:paraId="5F4FF64E" w14:textId="77777777" w:rsidR="00CA787A" w:rsidRDefault="003169E9">
      <w:r>
        <w:t>—Formal Written State Complaints: Documenting and managing complaints filed by parents, guardians, or other stakeholders regarding special education processes</w:t>
      </w:r>
    </w:p>
    <w:p w14:paraId="19A8E960" w14:textId="77777777" w:rsidR="00CA787A" w:rsidRDefault="003169E9">
      <w:r>
        <w:t>—Due Process Complaints: Tracking the procedural steps and outcomes of due process complaints and hearings, which are formal legal proceedings used to resolve disputes between parents and schools.</w:t>
      </w:r>
    </w:p>
    <w:p w14:paraId="000DD5F4" w14:textId="77777777" w:rsidR="00CA787A" w:rsidRDefault="003169E9">
      <w:r>
        <w:t>—Mediation Requests: Recording and monitoring requests for mediation, a voluntary process where a neutral third party helps resolve disputes between parents and schools.</w:t>
      </w:r>
    </w:p>
    <w:p w14:paraId="2DD5AF75" w14:textId="77777777" w:rsidR="00CA787A" w:rsidRDefault="003169E9">
      <w:r>
        <w:t>The OSP Data Management System ensures that all dispute resolution activities are systematically documented, allowing for efficient management and analysis of the data. This helps the Office of Special Education to maintain compliance with state and federal regulations and to address any issues promptly and effectively.</w:t>
      </w:r>
    </w:p>
    <w:p w14:paraId="79B8EFB9" w14:textId="77777777" w:rsidR="00CA787A" w:rsidRDefault="00CA787A"/>
    <w:p w14:paraId="46D179FA" w14:textId="77777777" w:rsidR="00CA787A" w:rsidRDefault="003169E9">
      <w:r>
        <w:t xml:space="preserve">For Indicator 17, graduation data reported for SSIP comes from </w:t>
      </w:r>
      <w:proofErr w:type="spellStart"/>
      <w:r>
        <w:t>EDFacts</w:t>
      </w:r>
      <w:proofErr w:type="spellEnd"/>
      <w:r>
        <w:t xml:space="preserve"> FS009 [Children with Disabilities (IDEA) Exiting Special Education] which includes the percentage of students with IEPs completing high school with a regular diploma (this is lag data from SY 2023-24). In addition, WVDE/OSE uses the SSIP Evaluation Plan (for the period July 1, 2024, to June 30, 2025) to measure progress toward the </w:t>
      </w:r>
      <w:proofErr w:type="spellStart"/>
      <w:r>
        <w:t>SiMR</w:t>
      </w:r>
      <w:proofErr w:type="spellEnd"/>
      <w:r>
        <w:t xml:space="preserve"> through collaboration, communication, provision of resources, and technical assistance provided to LEAs. The evaluation plan is available on the "WV Guideposts to Graduation" webpage. [LINK: https://wvde.us/wp-content/uploads/2022/11/25400-WVGtG-SSIP-Evaluation-Plan-Fall-2022-v1.pdf]. This comprehensive approach ensures continuous improvement and better educational outcomes for SWDs. More details are found in the Indicator 17 section for this reporting period. </w:t>
      </w:r>
    </w:p>
    <w:p w14:paraId="6D4149B4" w14:textId="77777777" w:rsidR="00CA787A" w:rsidRDefault="00CA787A"/>
    <w:p w14:paraId="7CB56F14" w14:textId="77777777" w:rsidR="00CA787A" w:rsidRDefault="003169E9">
      <w:r>
        <w:t>Indicator 18 data are collected through integrated monitoring activities, WVEIS (e.g., certified data collections, periodic data reviews), dispute resolution, and fiscal management systems.</w:t>
      </w:r>
    </w:p>
    <w:p w14:paraId="577359A9" w14:textId="77777777" w:rsidR="00CA787A" w:rsidRDefault="00CA787A"/>
    <w:p w14:paraId="7F438AEC" w14:textId="77777777" w:rsidR="00CA787A" w:rsidRDefault="003169E9">
      <w:r>
        <w:t>PERIOD FROM WHICH RECORDS ARE REVIEWED</w:t>
      </w:r>
    </w:p>
    <w:p w14:paraId="5D357A77" w14:textId="77777777" w:rsidR="00CA787A" w:rsidRDefault="003169E9">
      <w:r>
        <w:t>—The data described for Indicators 1, 2, 4A, and 4B are from SY 2023-24</w:t>
      </w:r>
    </w:p>
    <w:p w14:paraId="67A81573" w14:textId="77777777" w:rsidR="00CA787A" w:rsidRDefault="003169E9">
      <w:r>
        <w:t>—Data for Indicator 17 includes lag data for graduation (i.e., Indicator 1), and data on activities implemented from July 1, 2024, through June 30, 2025.</w:t>
      </w:r>
    </w:p>
    <w:p w14:paraId="364BBE09" w14:textId="77777777" w:rsidR="00CA787A" w:rsidRDefault="003169E9">
      <w:r>
        <w:t>—Data for Indicator 18 reflect the findings of noncompliance from SY 2023-24 that were verified as corrected within one year of written notification.</w:t>
      </w:r>
    </w:p>
    <w:p w14:paraId="12C63045" w14:textId="77777777" w:rsidR="00CA787A" w:rsidRDefault="003169E9">
      <w:r>
        <w:t>—All other indicator data reflect the current reporting period for SY 2024-25.</w:t>
      </w:r>
    </w:p>
    <w:p w14:paraId="5836881A" w14:textId="77777777" w:rsidR="00256572" w:rsidRPr="00680744" w:rsidRDefault="00256572" w:rsidP="00680744">
      <w:pPr>
        <w:rPr>
          <w:b/>
          <w:bCs/>
        </w:rPr>
      </w:pPr>
      <w:r w:rsidRPr="00680744">
        <w:rPr>
          <w:b/>
          <w:bCs/>
        </w:rPr>
        <w:t>Describe how the State issues findings: by number of instances or by LEAs.</w:t>
      </w:r>
    </w:p>
    <w:p w14:paraId="3F1040C3" w14:textId="77777777" w:rsidR="00256572" w:rsidRPr="00A964C2" w:rsidRDefault="00256572" w:rsidP="00680744">
      <w:pPr>
        <w:rPr>
          <w:bCs/>
        </w:rPr>
      </w:pPr>
      <w:r w:rsidRPr="00A964C2">
        <w:rPr>
          <w:bCs/>
        </w:rPr>
        <w:t>Findings are issued by LEA based on the IDEA requirement in violation and WVDE/OSE ensures all individual cases of noncompliance are verified as corrected.</w:t>
      </w:r>
    </w:p>
    <w:p w14:paraId="6D914138" w14:textId="77777777" w:rsidR="00256572" w:rsidRPr="00FD2125" w:rsidRDefault="00256572" w:rsidP="00680744">
      <w:pPr>
        <w:rPr>
          <w:b/>
          <w:bCs/>
        </w:rPr>
      </w:pPr>
      <w:r w:rsidRPr="00FD2125">
        <w:rPr>
          <w:b/>
          <w:bCs/>
        </w:rPr>
        <w:t>If applicable, describe the adopted procedures that permit its LEAs to correct noncompliance prior to the State’s issuance of a finding (i.e., pre-finding correction).</w:t>
      </w:r>
    </w:p>
    <w:p w14:paraId="787FED03" w14:textId="77777777" w:rsidR="00256572" w:rsidRPr="00A964C2" w:rsidRDefault="00256572" w:rsidP="00680744">
      <w:pPr>
        <w:rPr>
          <w:bCs/>
        </w:rPr>
      </w:pPr>
      <w:r w:rsidRPr="00A964C2">
        <w:rPr>
          <w:bCs/>
        </w:rPr>
        <w:t>Currently, WVDE/OSE does not permit LEAs to correct identified noncompliance prior to the issuance of a finding.</w:t>
      </w:r>
    </w:p>
    <w:p w14:paraId="5EB48D0A" w14:textId="77777777" w:rsidR="00256572" w:rsidRPr="00FD2125" w:rsidRDefault="00256572" w:rsidP="00680744">
      <w:pPr>
        <w:rPr>
          <w:b/>
          <w:bCs/>
        </w:rPr>
      </w:pPr>
      <w:r w:rsidRPr="00FD2125">
        <w:rPr>
          <w:b/>
          <w:bCs/>
        </w:rPr>
        <w:t>Describe the State’s system of graduated and progressive sanctions to ensure the correction of identified noncompliance and to address areas in need of improvement, used as necessary and consistent with IDEA Part B’s enforcement provisions, the OMB Uniform Administrative Requirements, Cost Principles, and Audit Requirements for Federal Awards (Uniform Guidance), and State rules.</w:t>
      </w:r>
    </w:p>
    <w:p w14:paraId="4F93A9B3" w14:textId="77777777" w:rsidR="00256572" w:rsidRPr="00A964C2" w:rsidRDefault="00256572" w:rsidP="00680744">
      <w:pPr>
        <w:rPr>
          <w:bCs/>
        </w:rPr>
      </w:pPr>
      <w:r w:rsidRPr="00A964C2">
        <w:rPr>
          <w:bCs/>
        </w:rPr>
        <w:t>The WVDE/OSE maintains responsibility for ensuring LEA implementation of IDEA requirements. This includes monitoring for potential noncompliance, exercising general supervisory authority to determine whether noncompliance has occurred, and ensuring correction of identified noncompliance as soon as possible, but in no case later than one year from identification, consistent with OSEP QA 23-01.</w:t>
      </w:r>
    </w:p>
    <w:p w14:paraId="6EE21589" w14:textId="77777777" w:rsidR="00CA787A" w:rsidRDefault="00CA787A"/>
    <w:p w14:paraId="72611CFB" w14:textId="77777777" w:rsidR="00CA787A" w:rsidRDefault="003169E9">
      <w:r>
        <w:t>Upon determining an IDEA violation, WVDE/OSE issues a written notice to the LEA that specifies the noncompliance, cites the applicable IDEA requirements, provides supporting data, and outlines required corrective actions along with a timeline for completion. LEAs are expected to correct the noncompliance as soon as possible, but no later than one year from the date of notification.</w:t>
      </w:r>
    </w:p>
    <w:p w14:paraId="12A1BEE6" w14:textId="77777777" w:rsidR="00CA787A" w:rsidRDefault="003169E9">
      <w:r>
        <w:lastRenderedPageBreak/>
        <w:t>When the WVDE/OSE identifies an IDEA violation, the State:</w:t>
      </w:r>
    </w:p>
    <w:p w14:paraId="62253ED1" w14:textId="77777777" w:rsidR="00CA787A" w:rsidRDefault="003169E9">
      <w:r>
        <w:t>—issues written notification to the LEA that identifies the specific regulatory requirement that was violated</w:t>
      </w:r>
    </w:p>
    <w:p w14:paraId="49E7B9C8" w14:textId="77777777" w:rsidR="00CA787A" w:rsidRDefault="003169E9">
      <w:r>
        <w:t>—includes citation to the applicable IDEA provision</w:t>
      </w:r>
    </w:p>
    <w:p w14:paraId="59CF1009" w14:textId="77777777" w:rsidR="00CA787A" w:rsidRDefault="003169E9">
      <w:r>
        <w:t>—provides data supporting the finding, and</w:t>
      </w:r>
    </w:p>
    <w:p w14:paraId="77A71610" w14:textId="77777777" w:rsidR="00CA787A" w:rsidRDefault="003169E9">
      <w:r>
        <w:t xml:space="preserve">—describes the required corrective actions and timeline for completion. </w:t>
      </w:r>
    </w:p>
    <w:p w14:paraId="60065A1F" w14:textId="77777777" w:rsidR="00CA787A" w:rsidRDefault="003169E9">
      <w:r>
        <w:t>LEAs must correct noncompliance as soon as possible, but no later than one year from the date of identification.</w:t>
      </w:r>
    </w:p>
    <w:p w14:paraId="6EBC5045" w14:textId="77777777" w:rsidR="00CA787A" w:rsidRDefault="00CA787A"/>
    <w:p w14:paraId="49604E51" w14:textId="77777777" w:rsidR="00CA787A" w:rsidRDefault="003169E9">
      <w:r>
        <w:t xml:space="preserve">The WVDE/OSE verifies correction by reviewing and approving documentation and evidence submitted by the LEA demonstrating that correction has occurred. For individual instances of noncompliance, the LEA must demonstrate that it corrected each individual case of noncompliance, unless the child is no longer within the jurisdiction of the LEA. For systemic noncompliance, the WVDE/OSE verifies that the LEA is correctly implementing the specific regulatory requirements based on a review of updated data and has implemented policies, procedures, and practices in an effort to prevent recurrence. The LEA must identify the root cause of the noncompliance and, as appropriate, develop a Corrective Action Plan (CAP) or Improvement Plan in collaboration with the WVDE/OSE. CAPs address specific areas of noncompliance (e.g., initial evaluation timelines) and incorporate strategies designed to sustain compliant practices. </w:t>
      </w:r>
    </w:p>
    <w:p w14:paraId="0EA95EF5" w14:textId="77777777" w:rsidR="00CA787A" w:rsidRDefault="00CA787A"/>
    <w:p w14:paraId="12AC9534" w14:textId="77777777" w:rsidR="00CA787A" w:rsidRDefault="003169E9">
      <w:r>
        <w:t>If an LEA does not correct identified noncompliance within one year of notification, the WVDE/OSE exercises its enforcement authority under 20 USC 1416(a) and 34 CFR §300.600. The WVDE/OSE applies a system of progressive sanctions, implemented sequentially as appropriate, to compel compliance with the applicable federal requirement(s):</w:t>
      </w:r>
    </w:p>
    <w:p w14:paraId="01E4A836" w14:textId="77777777" w:rsidR="00CA787A" w:rsidRDefault="00CA787A"/>
    <w:p w14:paraId="3C15DB8F" w14:textId="77777777" w:rsidR="00CA787A" w:rsidRDefault="003169E9">
      <w:r>
        <w:t>*Level I Enforcement Sanctions*</w:t>
      </w:r>
    </w:p>
    <w:p w14:paraId="2D94E2C8" w14:textId="77777777" w:rsidR="00CA787A" w:rsidRDefault="003169E9">
      <w:r>
        <w:t>If an LEA has uncorrected noncompliance beyond one year from the initial written notification, it will receive a ‘Notice of Level I Enforcement Sanctions,’ which includes:</w:t>
      </w:r>
    </w:p>
    <w:p w14:paraId="43CCD75E" w14:textId="77777777" w:rsidR="00CA787A" w:rsidRDefault="003169E9">
      <w:proofErr w:type="gramStart"/>
      <w:r>
        <w:t>—A required</w:t>
      </w:r>
      <w:proofErr w:type="gramEnd"/>
      <w:r>
        <w:t xml:space="preserve"> corrective action plan</w:t>
      </w:r>
    </w:p>
    <w:p w14:paraId="246EFA48" w14:textId="77777777" w:rsidR="00CA787A" w:rsidRDefault="003169E9">
      <w:r>
        <w:t>—Required engagement with technical assistance</w:t>
      </w:r>
    </w:p>
    <w:p w14:paraId="50845A6C" w14:textId="77777777" w:rsidR="00CA787A" w:rsidRDefault="003169E9">
      <w:r>
        <w:t>—Escalation to ‘Level II Enforcement Sanctions’ for repeated failure to engage with technical assistance</w:t>
      </w:r>
    </w:p>
    <w:p w14:paraId="008DB8E8" w14:textId="77777777" w:rsidR="00CA787A" w:rsidRDefault="003169E9">
      <w:r>
        <w:t>The LEA may also receive a new written notification of noncompliance.</w:t>
      </w:r>
    </w:p>
    <w:p w14:paraId="57FB3D53" w14:textId="77777777" w:rsidR="00CA787A" w:rsidRDefault="00CA787A"/>
    <w:p w14:paraId="5C6C76F6" w14:textId="77777777" w:rsidR="00CA787A" w:rsidRDefault="003169E9">
      <w:r>
        <w:t>*Level II Enforcement Sanctions*</w:t>
      </w:r>
    </w:p>
    <w:p w14:paraId="481CB08E" w14:textId="77777777" w:rsidR="00CA787A" w:rsidRDefault="003169E9">
      <w:r>
        <w:t>Any LEA with uncorrected noncompliance beyond two years from the initial written notification will receive a ‘Notice of Level II Enforcement Sanctions,’ which includes all ‘Level I Enforcement Sanctions’ above, in addition to a new written notification of noncompliance. The WVDE/OSE may also take one or more of the following enforcement actions:</w:t>
      </w:r>
    </w:p>
    <w:p w14:paraId="0FAE14BA" w14:textId="77777777" w:rsidR="00CA787A" w:rsidRDefault="003169E9">
      <w:r>
        <w:t>—Remove the LEA’s eligibility for discretionary funds made available by the SEA</w:t>
      </w:r>
    </w:p>
    <w:p w14:paraId="245DCE95" w14:textId="77777777" w:rsidR="00CA787A" w:rsidRDefault="003169E9">
      <w:r>
        <w:t>—Redirect a percentage of the LEA’s IDEA Part B funds to address the area(s) of noncompliance</w:t>
      </w:r>
    </w:p>
    <w:p w14:paraId="3DCAE7A5" w14:textId="77777777" w:rsidR="00CA787A" w:rsidRDefault="003169E9">
      <w:r>
        <w:t>—Require implementation of additional program-specific improvement activities, and/or</w:t>
      </w:r>
    </w:p>
    <w:p w14:paraId="2C2583A7" w14:textId="77777777" w:rsidR="00CA787A" w:rsidRDefault="003169E9">
      <w:r>
        <w:t>—Request additional program-specific financial audits be conducted</w:t>
      </w:r>
    </w:p>
    <w:p w14:paraId="363867EC" w14:textId="77777777" w:rsidR="00CA787A" w:rsidRDefault="00CA787A"/>
    <w:p w14:paraId="2CF7A2CD" w14:textId="77777777" w:rsidR="00CA787A" w:rsidRDefault="003169E9">
      <w:r>
        <w:t>*Level III Enforcement Sanctions*</w:t>
      </w:r>
    </w:p>
    <w:p w14:paraId="332D52B0" w14:textId="77777777" w:rsidR="00CA787A" w:rsidRDefault="003169E9">
      <w:r>
        <w:t>For chronic uncorrected noncompliance (three or more years), the LEA will receive a ‘Notice of Level III Enforcement Sanctions.’ The WVDE/OSE may take one or more of the following enforcement actions:</w:t>
      </w:r>
    </w:p>
    <w:p w14:paraId="6CC9F6F6" w14:textId="77777777" w:rsidR="00CA787A" w:rsidRDefault="003169E9">
      <w:r>
        <w:t>—Pursue one or more actions listed under Levels I and II</w:t>
      </w:r>
    </w:p>
    <w:p w14:paraId="1B143115" w14:textId="77777777" w:rsidR="00CA787A" w:rsidRDefault="003169E9">
      <w:r>
        <w:t>—Withhold administrative funds maintained by the SEA used for the salary of the special education director</w:t>
      </w:r>
    </w:p>
    <w:p w14:paraId="70ABB3E4" w14:textId="77777777" w:rsidR="00CA787A" w:rsidRDefault="003169E9">
      <w:r>
        <w:t xml:space="preserve">—Withhold funds, in whole or in part, until deficiencies are corrected </w:t>
      </w:r>
      <w:proofErr w:type="gramStart"/>
      <w:r>
        <w:t>consistent</w:t>
      </w:r>
      <w:proofErr w:type="gramEnd"/>
      <w:r>
        <w:t xml:space="preserve"> with 34 CFR §300.222</w:t>
      </w:r>
    </w:p>
    <w:p w14:paraId="062113B0" w14:textId="77777777" w:rsidR="00CA787A" w:rsidRDefault="003169E9">
      <w:r>
        <w:t>—Issue an immediate LEA determination of “Needs Intervention” or “Needs Substantial Intervention”</w:t>
      </w:r>
    </w:p>
    <w:p w14:paraId="3DFD031B" w14:textId="77777777" w:rsidR="00CA787A" w:rsidRDefault="003169E9">
      <w:r>
        <w:t>—Direct the administration of the LEA’s special education programs</w:t>
      </w:r>
    </w:p>
    <w:p w14:paraId="2E6CF72E" w14:textId="77777777" w:rsidR="00CA787A" w:rsidRDefault="00CA787A"/>
    <w:p w14:paraId="2553676B" w14:textId="77777777" w:rsidR="00CA787A" w:rsidRDefault="003169E9">
      <w:r>
        <w:t>*Significant Disproportionality &amp; Comprehensive Coordinated Early Intervening Services (CCEIS)*</w:t>
      </w:r>
    </w:p>
    <w:p w14:paraId="0BB34732" w14:textId="77777777" w:rsidR="00CA787A" w:rsidRDefault="003169E9">
      <w:r>
        <w:t xml:space="preserve">If </w:t>
      </w:r>
      <w:proofErr w:type="gramStart"/>
      <w:r>
        <w:t>an</w:t>
      </w:r>
      <w:proofErr w:type="gramEnd"/>
      <w:r>
        <w:t xml:space="preserve"> LEA identified with significant disproportionality fails to implement CCEIS in accordance with a WVDE/OSE-approved plan, the WVDE/OSE may:</w:t>
      </w:r>
    </w:p>
    <w:p w14:paraId="77BEFC0A" w14:textId="77777777" w:rsidR="00CA787A" w:rsidRDefault="003169E9">
      <w:r>
        <w:t>—Pursue actions listed under ‘Level III Enforcement Sanctions’</w:t>
      </w:r>
    </w:p>
    <w:p w14:paraId="74D7F248" w14:textId="77777777" w:rsidR="00CA787A" w:rsidRDefault="003169E9">
      <w:r>
        <w:t>—Return unexpended CCEIS funds to the U.S. Department of Education</w:t>
      </w:r>
    </w:p>
    <w:p w14:paraId="1B76AEAB" w14:textId="77777777" w:rsidR="00CA787A" w:rsidRDefault="00CA787A"/>
    <w:p w14:paraId="33178900" w14:textId="77777777" w:rsidR="00CA787A" w:rsidRDefault="003169E9">
      <w:r>
        <w:t>This structured approach ensures that noncompliance is addressed progressively, with increasing levels of intervention and support to ensure LEAs meet their obligations under IDEA.</w:t>
      </w:r>
    </w:p>
    <w:p w14:paraId="28EF854A" w14:textId="77777777" w:rsidR="00256572" w:rsidRPr="00FD2125" w:rsidRDefault="00256572" w:rsidP="00680744">
      <w:pPr>
        <w:rPr>
          <w:b/>
          <w:bCs/>
        </w:rPr>
      </w:pPr>
      <w:r w:rsidRPr="00FD2125">
        <w:rPr>
          <w:b/>
          <w:bCs/>
        </w:rPr>
        <w:t>Describe how the State makes annual determinations of LEA performance, including the criteria the State uses and the schedule for notifying LEAs of their determinations. If the determinations are made public, include a web link for the most recent determinations.</w:t>
      </w:r>
    </w:p>
    <w:p w14:paraId="07D93BE2" w14:textId="77777777" w:rsidR="00256572" w:rsidRPr="00A964C2" w:rsidRDefault="00256572" w:rsidP="00680744">
      <w:pPr>
        <w:rPr>
          <w:bCs/>
        </w:rPr>
      </w:pPr>
      <w:r w:rsidRPr="00A964C2">
        <w:rPr>
          <w:bCs/>
        </w:rPr>
        <w:t>WVDE/OSE uses a comprehensive approach to annually determine the performance of each LEA that includes a Results Matrix, a Compliance Matrix, and an overall LEA Determination that is comprised of all results and compliance data for the LEA.</w:t>
      </w:r>
    </w:p>
    <w:p w14:paraId="33DAF1F8" w14:textId="77777777" w:rsidR="00CA787A" w:rsidRDefault="00CA787A"/>
    <w:p w14:paraId="718178A7" w14:textId="77777777" w:rsidR="00CA787A" w:rsidRDefault="003169E9">
      <w:r>
        <w:t>Results indicators measure the academic achievement, progress, and overall outcomes of students with disabilities (SWDs). Points are awarded based on whether an LEA meets or exceeds the State Performance Plan (SPP) target or the State’s overall performance for the indicator. Indicators 1, 2, 3, 4A, 5, 6, 7, 8 (if applicable), and 14C are included in each LEA’s Results Matrix.</w:t>
      </w:r>
    </w:p>
    <w:p w14:paraId="0EFE9C67" w14:textId="77777777" w:rsidR="00CA787A" w:rsidRDefault="00CA787A"/>
    <w:p w14:paraId="58C2C71A" w14:textId="77777777" w:rsidR="00CA787A" w:rsidRDefault="003169E9">
      <w:r>
        <w:t xml:space="preserve">Compliance indicators ensure that LEAs adhere to the legal requirements and timelines outlined in the IDEA. Indicators 4B, 9, 10, 11, 12, 13, and 18 are included in each LEA’s Compliance Matrix. Scoring varies by indicator, with some indicators scored as "Met" or "Not Met" for all or none of the available </w:t>
      </w:r>
      <w:r>
        <w:lastRenderedPageBreak/>
        <w:t xml:space="preserve">points for the indicator (i.e., 4B, 9, &amp; 10), while other indicators receive points based on compliance percentages (i.e., 11, 12, 13, &amp; 18). Other available data about LEAs’ compliance with IDEA in the Compliance Matrix include "Monitoring and Accountability" (which includes any relevant audit findings), "Dispute Resolution," "Correction of Noncompliance," and “Timely and Accurate Data Submission” (i.e., valid, reliable, and timely data). </w:t>
      </w:r>
    </w:p>
    <w:p w14:paraId="435D0650" w14:textId="77777777" w:rsidR="00CA787A" w:rsidRDefault="00CA787A"/>
    <w:p w14:paraId="62C80B0B" w14:textId="77777777" w:rsidR="00CA787A" w:rsidRDefault="003169E9">
      <w:r>
        <w:t>GROWTH CREDIT</w:t>
      </w:r>
    </w:p>
    <w:p w14:paraId="2F5C98FD" w14:textId="77777777" w:rsidR="00CA787A" w:rsidRDefault="003169E9">
      <w:r>
        <w:t>Introduced in 2023, growth credit allows LEAs to earn partial credit for demonstrating year-to-year improvement, even if they do not meet the SPP target or overall state performance.</w:t>
      </w:r>
    </w:p>
    <w:p w14:paraId="0E65DC48" w14:textId="77777777" w:rsidR="00CA787A" w:rsidRDefault="003169E9">
      <w:r>
        <w:t>—Results indicator growth applies to most indicators, with credit awarded based on approximately 30% of the maximum point value for meeting or exceeding the SPP target or state rate.</w:t>
      </w:r>
    </w:p>
    <w:p w14:paraId="74C07CBC" w14:textId="77777777" w:rsidR="00CA787A" w:rsidRDefault="003169E9">
      <w:r>
        <w:t>—Compliance indicator growth applies to indicators 11, 12, and 13, with LEAs earning partial credit for exceeding their previous year's compliance percentage by at least 5%.</w:t>
      </w:r>
    </w:p>
    <w:p w14:paraId="177E3C8C" w14:textId="77777777" w:rsidR="00CA787A" w:rsidRDefault="00CA787A"/>
    <w:p w14:paraId="60E59143" w14:textId="77777777" w:rsidR="00CA787A" w:rsidRDefault="003169E9">
      <w:r>
        <w:t>SSIP BONUS POINTS</w:t>
      </w:r>
    </w:p>
    <w:p w14:paraId="62029F57" w14:textId="77777777" w:rsidR="00CA787A" w:rsidRDefault="003169E9">
      <w:r>
        <w:t>LEAs may earn up to 0.75 bonus points for successful participation in the State Systemic Improvement Plan (SSIP). To qualify, LEAs must participate in at least 80% of SSIP Community of Practice calls during the school year and complete required progress monitoring surveys.</w:t>
      </w:r>
    </w:p>
    <w:p w14:paraId="19A7AAF1" w14:textId="77777777" w:rsidR="00CA787A" w:rsidRDefault="00CA787A"/>
    <w:p w14:paraId="5055AD53" w14:textId="77777777" w:rsidR="00CA787A" w:rsidRDefault="003169E9">
      <w:r>
        <w:t xml:space="preserve">LEA DETERMINATION RUBRIC </w:t>
      </w:r>
    </w:p>
    <w:p w14:paraId="01E737D3" w14:textId="77777777" w:rsidR="00CA787A" w:rsidRDefault="003169E9">
      <w:r>
        <w:t>The rubric categorizes LEA performance into the same four determination categories that OSEP is required to use with States. The point total and percentage for each LEA Determination incorporate all data from each LEA’s Results and Compliance Matrixes.</w:t>
      </w:r>
    </w:p>
    <w:p w14:paraId="1E5557FF" w14:textId="77777777" w:rsidR="00CA787A" w:rsidRDefault="003169E9">
      <w:r>
        <w:t>—Meets Requirements (MR): Greater than or equal to 80%</w:t>
      </w:r>
    </w:p>
    <w:p w14:paraId="4B1D89E9" w14:textId="77777777" w:rsidR="00CA787A" w:rsidRDefault="003169E9">
      <w:r>
        <w:t>—Needs Assistance (NA): 70-79%</w:t>
      </w:r>
    </w:p>
    <w:p w14:paraId="474089EF" w14:textId="77777777" w:rsidR="00CA787A" w:rsidRDefault="003169E9">
      <w:r>
        <w:t>—Needs Intervention (NI): 60-69%, or 70-79% for three consecutive years</w:t>
      </w:r>
    </w:p>
    <w:p w14:paraId="11F86AF2" w14:textId="77777777" w:rsidR="00CA787A" w:rsidRDefault="003169E9">
      <w:r>
        <w:t>—Needs Substantial Intervention (NSI): &lt;60%, or 60-69% for three consecutive years</w:t>
      </w:r>
    </w:p>
    <w:p w14:paraId="022B8695" w14:textId="77777777" w:rsidR="00CA787A" w:rsidRDefault="00CA787A"/>
    <w:p w14:paraId="5AD6AC3D" w14:textId="77777777" w:rsidR="00CA787A" w:rsidRDefault="003169E9">
      <w:r>
        <w:t>LEA Determinations are typically issued in the late Spring of each calendar year and can be accessed from the Special Education Data and Public Reporting webpage under “LEA Determinations” [link: https://wvde.us/data-school-improvement/special-education-data-public-reporting]</w:t>
      </w:r>
    </w:p>
    <w:p w14:paraId="789A7D25" w14:textId="77777777" w:rsidR="00256572" w:rsidRPr="00FD2125" w:rsidRDefault="00256572" w:rsidP="00680744">
      <w:pPr>
        <w:rPr>
          <w:b/>
          <w:bCs/>
        </w:rPr>
      </w:pPr>
      <w:r w:rsidRPr="00FD2125">
        <w:rPr>
          <w:b/>
          <w:bCs/>
        </w:rPr>
        <w:t xml:space="preserve">Provide the web link </w:t>
      </w:r>
      <w:proofErr w:type="gramStart"/>
      <w:r w:rsidRPr="00FD2125">
        <w:rPr>
          <w:b/>
          <w:bCs/>
        </w:rPr>
        <w:t>to</w:t>
      </w:r>
      <w:proofErr w:type="gramEnd"/>
      <w:r w:rsidRPr="00FD2125">
        <w:rPr>
          <w:b/>
          <w:bCs/>
        </w:rPr>
        <w:t xml:space="preserve"> information about the State’s general supervision policies, procedures, and process that is made available to the public.</w:t>
      </w:r>
    </w:p>
    <w:p w14:paraId="59BFF53E" w14:textId="77777777" w:rsidR="00256572" w:rsidRPr="00A964C2" w:rsidRDefault="00256572" w:rsidP="00680744">
      <w:pPr>
        <w:rPr>
          <w:bCs/>
        </w:rPr>
      </w:pPr>
      <w:r w:rsidRPr="00A964C2">
        <w:rPr>
          <w:bCs/>
        </w:rPr>
        <w:t>WVDE/OSE’s general supervision document may be accessed through the “system of general supervision [PDF]” hyperlink located at [https://wvde.us/academics/special-education/accountability-compliance]</w:t>
      </w:r>
    </w:p>
    <w:p w14:paraId="34302EA8" w14:textId="77777777" w:rsidR="00AF5649" w:rsidRPr="00781112" w:rsidRDefault="00AF5649" w:rsidP="004369B2">
      <w:pPr>
        <w:rPr>
          <w:color w:val="000000" w:themeColor="text1"/>
        </w:rPr>
      </w:pPr>
      <w:r w:rsidRPr="00781112">
        <w:rPr>
          <w:b/>
          <w:color w:val="000000" w:themeColor="text1"/>
        </w:rPr>
        <w:t>Technical Assistance System:</w:t>
      </w:r>
    </w:p>
    <w:p w14:paraId="377AA26C" w14:textId="77777777" w:rsidR="00AF5649" w:rsidRPr="00781112" w:rsidRDefault="00AF5649" w:rsidP="00AF5649">
      <w:pPr>
        <w:rPr>
          <w:rFonts w:cs="Arial"/>
          <w:b/>
          <w:color w:val="000000" w:themeColor="text1"/>
          <w:szCs w:val="16"/>
        </w:rPr>
      </w:pPr>
      <w:r w:rsidRPr="00781112">
        <w:rPr>
          <w:rFonts w:cs="Arial"/>
          <w:b/>
          <w:color w:val="000000" w:themeColor="text1"/>
          <w:szCs w:val="16"/>
        </w:rPr>
        <w:t>The mechanisms that the State has in place to ensure the timely delivery of high quality, evidence-based technical assistance, and support to LEAs.</w:t>
      </w:r>
    </w:p>
    <w:p w14:paraId="76B5D655" w14:textId="77777777" w:rsidR="000C24C2" w:rsidRPr="00781112" w:rsidRDefault="002B7490" w:rsidP="007925C6">
      <w:pPr>
        <w:rPr>
          <w:rFonts w:cs="Arial"/>
          <w:color w:val="000000" w:themeColor="text1"/>
          <w:szCs w:val="16"/>
        </w:rPr>
      </w:pPr>
      <w:r w:rsidRPr="00781112">
        <w:rPr>
          <w:rFonts w:cs="Arial"/>
          <w:color w:val="000000" w:themeColor="text1"/>
          <w:szCs w:val="16"/>
        </w:rPr>
        <w:t>To ensure LEAs receive high-quality, evidence-based technical assistance (TA) and support, WVDE/OSE employs a tiered support framework consisting of universal, targeted, and intensive levels. This structured model delivers appropriate support aligned with LEA-specific needs, advancing both program effectiveness and compliance.</w:t>
      </w:r>
    </w:p>
    <w:p w14:paraId="38EC778F" w14:textId="77777777" w:rsidR="00CA787A" w:rsidRDefault="00CA787A"/>
    <w:p w14:paraId="62B38C61" w14:textId="77777777" w:rsidR="00CA787A" w:rsidRDefault="003169E9">
      <w:r>
        <w:rPr>
          <w:color w:val="000000"/>
        </w:rPr>
        <w:t>*UNIVERSAL TA*</w:t>
      </w:r>
    </w:p>
    <w:p w14:paraId="1D1D4081" w14:textId="77777777" w:rsidR="00CA787A" w:rsidRDefault="003169E9">
      <w:r>
        <w:rPr>
          <w:color w:val="000000"/>
        </w:rPr>
        <w:t>This level provides essential resources and information addressing common needs and promoting effective programs. Key supports include:</w:t>
      </w:r>
    </w:p>
    <w:p w14:paraId="0640517C" w14:textId="77777777" w:rsidR="00CA787A" w:rsidRDefault="003169E9">
      <w:r>
        <w:rPr>
          <w:color w:val="000000"/>
        </w:rPr>
        <w:t>—Direct Assistance: WVDE/OSE coordinators serve as primary points of contact according to their areas of expertise, offering guidance and support to each LEA.</w:t>
      </w:r>
    </w:p>
    <w:p w14:paraId="6C82B37F" w14:textId="77777777" w:rsidR="00CA787A" w:rsidRDefault="003169E9">
      <w:r>
        <w:rPr>
          <w:color w:val="000000"/>
        </w:rPr>
        <w:t>—Specialized Center Access: LEAs connect with SEA-funded TA centers addressing accessibility (West Virginia Outreach Center for the Deaf and Blind at the WV Schools for the Deaf and Blind), behavior and mental health (WV Behavior/Mental Health Technical Assistance Center [BMHTAC] at Marshall University), autism (WV Autism Training Center at Marshall University), and family engagement (WV Parent Training and Information [WVPTI ]).</w:t>
      </w:r>
    </w:p>
    <w:p w14:paraId="6D2D0AD7" w14:textId="77777777" w:rsidR="00CA787A" w:rsidRDefault="003169E9">
      <w:r>
        <w:rPr>
          <w:color w:val="000000"/>
        </w:rPr>
        <w:t>—Training and Resources: WVDE/OSE delivers virtual and in-person training on evidence-based practices, standards-based IEPs, policy requirements, inclusive practices, student and parent engagement, compliance, dispute resolution, and additional special education topics. The training request process uses an online form to enable timely tracking and approval. This enhancement improved data collection and analysis regarding LEA training needs, informing statewide conference topics and prompting development of additional training presentations. The monitoring team also creates and delivers multiple presentations including guidance on how to conduct and maintain compliant service verifications, the most frequent findings of noncompliance from general file reviews, and monitoring process overviews to proactively address statewide weaknesses.</w:t>
      </w:r>
    </w:p>
    <w:p w14:paraId="7405D61C" w14:textId="77777777" w:rsidR="00CA787A" w:rsidRDefault="003169E9">
      <w:r>
        <w:rPr>
          <w:color w:val="000000"/>
        </w:rPr>
        <w:t xml:space="preserve">—Networking and Collaboration: Annual conferences and mentorship programs supported by the WV Council of Administrators of Special Education (WVCASE), monthly statewide support calls, and listserv communications promote connections and knowledge exchange. WVDE/OSE provides additional targeted or intensive mentorship upon request or when the SEA identifies a need through its general supervision processes. Statewide presentations </w:t>
      </w:r>
      <w:proofErr w:type="gramStart"/>
      <w:r>
        <w:rPr>
          <w:color w:val="000000"/>
        </w:rPr>
        <w:t>occur</w:t>
      </w:r>
      <w:proofErr w:type="gramEnd"/>
      <w:r>
        <w:rPr>
          <w:color w:val="000000"/>
        </w:rPr>
        <w:t xml:space="preserve"> at general and special education conferences.</w:t>
      </w:r>
    </w:p>
    <w:p w14:paraId="1EF3E1B1" w14:textId="77777777" w:rsidR="00CA787A" w:rsidRDefault="003169E9">
      <w:r>
        <w:rPr>
          <w:color w:val="000000"/>
        </w:rPr>
        <w:t>—Resources: The WVDE/OSE website hosts guidance documents, tip sheets, brochures, practical resources including a weblink resource bank, and comprehensive Canvas courses offered free of charge to individuals and LEAs. LEA special education directors receive notifications when new resources become available. WVDE has redesigned the entire SEA website to enhance usability, including comprehensive site mapping and thorough review of all documents and links.</w:t>
      </w:r>
    </w:p>
    <w:p w14:paraId="0D25FDF9" w14:textId="77777777" w:rsidR="00CA787A" w:rsidRDefault="00CA787A"/>
    <w:p w14:paraId="058CF58E" w14:textId="77777777" w:rsidR="00CA787A" w:rsidRDefault="003169E9">
      <w:r>
        <w:rPr>
          <w:color w:val="000000"/>
        </w:rPr>
        <w:t>*TARGETED TA*</w:t>
      </w:r>
    </w:p>
    <w:p w14:paraId="0BB4EFA1" w14:textId="77777777" w:rsidR="00CA787A" w:rsidRDefault="003169E9">
      <w:r>
        <w:rPr>
          <w:color w:val="000000"/>
        </w:rPr>
        <w:t>This level delivers more concentrated support primarily through quarterly Communities of Practice (CoP) meetings. These meetings provide a mechanism by which participants can grow and improve in a specific area through sharing knowledge, information, experiences, tools, and techniques; exploring concerns and ideas; asking questions of colleagues and content experts; and providing support for each other with the goal of making positive changes to programs or operations that support increased LEA capacity to improve outcomes for SWDs.</w:t>
      </w:r>
    </w:p>
    <w:p w14:paraId="375998F4" w14:textId="77777777" w:rsidR="00CA787A" w:rsidRDefault="003169E9">
      <w:r>
        <w:rPr>
          <w:color w:val="000000"/>
        </w:rPr>
        <w:t>Targeted TA also includes:</w:t>
      </w:r>
    </w:p>
    <w:p w14:paraId="034D9B97" w14:textId="77777777" w:rsidR="00CA787A" w:rsidRDefault="003169E9">
      <w:r>
        <w:rPr>
          <w:color w:val="000000"/>
        </w:rPr>
        <w:t>—Phone, email, and in-person consultation addressing student-specific and LEA-specific situations.</w:t>
      </w:r>
    </w:p>
    <w:p w14:paraId="5356A641" w14:textId="77777777" w:rsidR="00CA787A" w:rsidRDefault="003169E9">
      <w:r>
        <w:rPr>
          <w:color w:val="000000"/>
        </w:rPr>
        <w:lastRenderedPageBreak/>
        <w:t>—Meetings and mentor programs supporting new special education directors, new special educators, and other identified groups.</w:t>
      </w:r>
    </w:p>
    <w:p w14:paraId="3E34E083" w14:textId="77777777" w:rsidR="00CA787A" w:rsidRDefault="003169E9">
      <w:r>
        <w:rPr>
          <w:color w:val="000000"/>
        </w:rPr>
        <w:t>—Post-cyclical monitoring guidance for implementing required corrective actions.</w:t>
      </w:r>
    </w:p>
    <w:p w14:paraId="0D95C45B" w14:textId="77777777" w:rsidR="00CA787A" w:rsidRDefault="003169E9">
      <w:r>
        <w:rPr>
          <w:color w:val="000000"/>
        </w:rPr>
        <w:t>—Specialized training focused on LEA-selected improvement areas or topics derived from dispute resolution and monitoring noncompliance requiring corrective action.</w:t>
      </w:r>
    </w:p>
    <w:p w14:paraId="459A8477" w14:textId="77777777" w:rsidR="00CA787A" w:rsidRDefault="003169E9">
      <w:r>
        <w:rPr>
          <w:color w:val="000000"/>
        </w:rPr>
        <w:t>—Regional Early Childhood and School-Age Positive Behavior Support through a partnership with BMHTAC at Marshall University, which maintains training and guidance through behavior support specialists placed throughout the state, and added four behavior support coaches regionally during this reporting timeframe to provide classroom-based support to early childhood teachers.</w:t>
      </w:r>
    </w:p>
    <w:p w14:paraId="53D8A5EA" w14:textId="77777777" w:rsidR="00CA787A" w:rsidRDefault="00CA787A"/>
    <w:p w14:paraId="3961F64C" w14:textId="77777777" w:rsidR="00CA787A" w:rsidRDefault="003169E9">
      <w:r>
        <w:rPr>
          <w:color w:val="000000"/>
        </w:rPr>
        <w:t>*INTENSIVE TA*</w:t>
      </w:r>
    </w:p>
    <w:p w14:paraId="7E3297D9" w14:textId="77777777" w:rsidR="00CA787A" w:rsidRDefault="003169E9">
      <w:r>
        <w:rPr>
          <w:color w:val="000000"/>
        </w:rPr>
        <w:t>For LEAs encountering substantial challenges, WVDE/OSE delivers additional, customized support extending beyond Targeted TA. This level includes:</w:t>
      </w:r>
    </w:p>
    <w:p w14:paraId="75F862A7" w14:textId="77777777" w:rsidR="00CA787A" w:rsidRDefault="003169E9">
      <w:r>
        <w:rPr>
          <w:color w:val="000000"/>
        </w:rPr>
        <w:t>—Mandatory participation in relevant CoPs to expand knowledge and expertise in specific need areas.</w:t>
      </w:r>
    </w:p>
    <w:p w14:paraId="54EDA690" w14:textId="77777777" w:rsidR="00CA787A" w:rsidRDefault="003169E9">
      <w:r>
        <w:rPr>
          <w:color w:val="000000"/>
        </w:rPr>
        <w:t>—Regular progress monitoring meetings to collaboratively assess the effectiveness of implemented activities within designated timelines.</w:t>
      </w:r>
    </w:p>
    <w:p w14:paraId="3C1BD2EE" w14:textId="77777777" w:rsidR="00CA787A" w:rsidRDefault="003169E9">
      <w:r>
        <w:rPr>
          <w:color w:val="000000"/>
        </w:rPr>
        <w:t>—Focused monitoring activities addressing systemic concerns identified within an LEA, including root cause analyses and required corrective action plans.</w:t>
      </w:r>
    </w:p>
    <w:p w14:paraId="1277CE87" w14:textId="77777777" w:rsidR="00CA787A" w:rsidRDefault="003169E9">
      <w:r>
        <w:rPr>
          <w:color w:val="000000"/>
        </w:rPr>
        <w:t>—Evaluation of corrective action implementation and outcomes, ensuring compliance and enhanced student results.</w:t>
      </w:r>
    </w:p>
    <w:p w14:paraId="193AD142" w14:textId="77777777" w:rsidR="00CA787A" w:rsidRDefault="003169E9">
      <w:r>
        <w:rPr>
          <w:color w:val="000000"/>
        </w:rPr>
        <w:t>—Customized support addressing unique challenges or barriers specific to LEA needs.</w:t>
      </w:r>
    </w:p>
    <w:p w14:paraId="007A9E02" w14:textId="77777777" w:rsidR="00CA787A" w:rsidRDefault="003169E9">
      <w:r>
        <w:rPr>
          <w:color w:val="000000"/>
        </w:rPr>
        <w:t>When crisis-level situations arise affecting any dimension of public education within an LEA, the WVDE Office of Accountability conducts special circumstance reviews. When such reviews involve special education concerns, WVDE/OSE participates to evaluate the situation, deliver support, identify noncompliance, and establish required corrective actions.</w:t>
      </w:r>
    </w:p>
    <w:p w14:paraId="7B0C5BB6" w14:textId="77777777" w:rsidR="00CA787A" w:rsidRDefault="00CA787A"/>
    <w:p w14:paraId="24273CAC" w14:textId="77777777" w:rsidR="00CA787A" w:rsidRDefault="003169E9">
      <w:r>
        <w:rPr>
          <w:color w:val="000000"/>
        </w:rPr>
        <w:t>This tiered support framework ensures all LEAs receive necessary assistance to fulfill IDEA obligations. Through a comprehensive array of resources and tailored support, WVDE/OSE is committed to improving outcomes for SWDs and advancing program effectiveness statewide.</w:t>
      </w:r>
    </w:p>
    <w:p w14:paraId="104F528D" w14:textId="77777777" w:rsidR="00AF5649" w:rsidRPr="00781112" w:rsidRDefault="00AF5649" w:rsidP="004369B2">
      <w:pPr>
        <w:rPr>
          <w:color w:val="000000" w:themeColor="text1"/>
        </w:rPr>
      </w:pPr>
      <w:r w:rsidRPr="00781112">
        <w:rPr>
          <w:b/>
          <w:color w:val="000000" w:themeColor="text1"/>
        </w:rPr>
        <w:t>Professional Development System:</w:t>
      </w:r>
    </w:p>
    <w:p w14:paraId="4E1EAA50" w14:textId="77777777" w:rsidR="00AF5649" w:rsidRPr="00781112" w:rsidRDefault="00AF5649" w:rsidP="00AF5649">
      <w:pPr>
        <w:rPr>
          <w:rFonts w:cs="Arial"/>
          <w:b/>
          <w:color w:val="000000" w:themeColor="text1"/>
          <w:szCs w:val="16"/>
        </w:rPr>
      </w:pPr>
      <w:r w:rsidRPr="00781112">
        <w:rPr>
          <w:rFonts w:cs="Arial"/>
          <w:b/>
          <w:color w:val="000000" w:themeColor="text1"/>
          <w:szCs w:val="16"/>
        </w:rPr>
        <w:t>The mechanisms the State has in place to ensure that service providers have the skills to effectively provide services that improve results for children with disabilities.</w:t>
      </w:r>
    </w:p>
    <w:p w14:paraId="097896A8" w14:textId="77777777" w:rsidR="007742F1" w:rsidRPr="00781112" w:rsidRDefault="002B7490" w:rsidP="007925C6">
      <w:pPr>
        <w:rPr>
          <w:rFonts w:cs="Arial"/>
          <w:color w:val="000000" w:themeColor="text1"/>
          <w:szCs w:val="16"/>
        </w:rPr>
      </w:pPr>
      <w:r w:rsidRPr="00781112">
        <w:rPr>
          <w:rFonts w:cs="Arial"/>
          <w:color w:val="000000" w:themeColor="text1"/>
          <w:szCs w:val="16"/>
        </w:rPr>
        <w:t>WVDE/OSE acknowledges the essential role of professional development (PD) in advancing school improvement and improving results for students with disabilities (SWD). Through collaborative efforts across multiple SEA divisions, WVDE/OSE delivers a range of PD opportunities that strengthen the skills and expertise of educators and LEA personnel serving SWDs. PD offerings encompass e-learning courses, collaborative university partnerships, WVDE-sponsored conferences, and intensive training programs (i.e., “boot camps”) for early-career special educators and special education directors.</w:t>
      </w:r>
    </w:p>
    <w:p w14:paraId="72386B78" w14:textId="77777777" w:rsidR="00CA787A" w:rsidRDefault="00CA787A"/>
    <w:p w14:paraId="797FBC86" w14:textId="77777777" w:rsidR="00CA787A" w:rsidRDefault="003169E9">
      <w:r>
        <w:rPr>
          <w:color w:val="000000"/>
        </w:rPr>
        <w:t>*E-LEARNING COURSES &amp; PD RESOURCES*</w:t>
      </w:r>
    </w:p>
    <w:p w14:paraId="34704A1B" w14:textId="77777777" w:rsidR="00CA787A" w:rsidRDefault="003169E9">
      <w:r>
        <w:rPr>
          <w:color w:val="000000"/>
        </w:rPr>
        <w:t>WVDE provides convenient e-learning courses and PD modules/resources throughout the year on subjects such as special education policy &amp; guidance, support for inclusive practices, assistive technology &amp; accessible educational materials (AEM), grade-specific resources &amp; trainings, professional learning events, IEPs, secondary transition planning, alternate assessments/diplomas, co-teaching, specially designed instruction, speech-language pathology, science of reading/structured literacy, dyslexia/dyscalculia, multi-tiered system of supports, and special needs classroom assistant teachers, with additional courses for other topics under development. LEAs can also request in-person or virtual training for their staff on any of these topics.</w:t>
      </w:r>
    </w:p>
    <w:p w14:paraId="52D7B72A" w14:textId="77777777" w:rsidR="00CA787A" w:rsidRDefault="00CA787A"/>
    <w:p w14:paraId="389A996E" w14:textId="77777777" w:rsidR="00CA787A" w:rsidRDefault="003169E9">
      <w:r>
        <w:rPr>
          <w:color w:val="000000"/>
        </w:rPr>
        <w:t>*COLLABORATIVE UNIVERSITY PARTNERSHIPS*</w:t>
      </w:r>
    </w:p>
    <w:p w14:paraId="1DFCDC44" w14:textId="77777777" w:rsidR="00CA787A" w:rsidRDefault="003169E9">
      <w:r>
        <w:rPr>
          <w:color w:val="000000"/>
        </w:rPr>
        <w:t>WVDE/OSE addresses workforce needs and cultivates future educators through strategic university collaborations. These partnerships support programs including Speech-Language Pathology MA degrees at Marshall University (MU) and West Virginia University (WVU), Speech-Language Pathology graduate and professional learning courses through WVU, Visually Impaired/Hard of Hearing Certification through MU, and collaboration with the Autism Training Center at Marshall University enabling candidates to complete credentialing requirements as Autism Mentors. Additionally, WVDE/OSE partnered with Marshall University to deliver two virtual graduate-level courses: "The Science of Reading: The Speech-Language Pathologist's Roles and Responsibilities in the Schools" and "Strategies for Improving Language of Children with a History of Opioid Exposure." These courses were available to speech-language pathologists (SLPs) and educators statewide. WVDE/OSE also maintains its partnership with WVU to offer an online master's degree program in speech-language pathology, while students maintain full time employment in LEAs as SLP Assistants, with the objective of expanding the number of school-based SLPs in the state.</w:t>
      </w:r>
    </w:p>
    <w:p w14:paraId="089AE53D" w14:textId="77777777" w:rsidR="00CA787A" w:rsidRDefault="00CA787A"/>
    <w:p w14:paraId="3959020B" w14:textId="77777777" w:rsidR="00CA787A" w:rsidRDefault="003169E9">
      <w:r>
        <w:rPr>
          <w:color w:val="000000"/>
        </w:rPr>
        <w:t>*WVDE-SPONSORED CONFERENCES *</w:t>
      </w:r>
    </w:p>
    <w:p w14:paraId="26B03245" w14:textId="77777777" w:rsidR="00CA787A" w:rsidRDefault="003169E9">
      <w:r>
        <w:rPr>
          <w:color w:val="000000"/>
        </w:rPr>
        <w:t>WVDE sponsors various conferences to support professional development, including:</w:t>
      </w:r>
    </w:p>
    <w:p w14:paraId="5085457A" w14:textId="77777777" w:rsidR="00CA787A" w:rsidRDefault="003169E9">
      <w:r>
        <w:rPr>
          <w:color w:val="000000"/>
        </w:rPr>
        <w:t>—Special Education Data Summit: This full-day conference brought together LEA special education directors, data coordinators, and other personnel responsible for special education data collection, reporting, and analysis. The summit featured sessions on IDEA data quality and reporting (including SPP/APR indicators, child find, secondary transition compliance, and discipline data); using data to inform instructional decisions and improve student outcomes; technical tools such as WVEIS IEP processes, Excel for data analysis, and the IDEA Data Center resources; data privacy and FERPA compliance; and connecting data use to systemic improvement planning. National and state experts provided keynote presentations and technical assistance, with hands-on sessions supporting LEAs in documenting processes, analyzing root causes, and using data to drive evidence-based practices for SWDs.</w:t>
      </w:r>
    </w:p>
    <w:p w14:paraId="23C72CF1" w14:textId="77777777" w:rsidR="00CA787A" w:rsidRDefault="003169E9">
      <w:r>
        <w:rPr>
          <w:color w:val="000000"/>
        </w:rPr>
        <w:t>—Statewide Secondary Transition: This conference is an interagency collaboration between WVDE/OSE, WV Division of Rehabilitation Services, WV Developmental Disabilities Council, WV PTI, and representatives from LEAs. The conference provides training and resources to parents, families, and school staff on secondary transition planning and services to ensure that SWDs are well-prepared for post-secondary education, employment, and independent living.</w:t>
      </w:r>
    </w:p>
    <w:p w14:paraId="2B13E84D" w14:textId="77777777" w:rsidR="00CA787A" w:rsidRDefault="003169E9">
      <w:r>
        <w:rPr>
          <w:color w:val="000000"/>
        </w:rPr>
        <w:t xml:space="preserve">—New Special Education Teacher “Bootcamps”: These intensive sessions provide foundational training on special education policies, procedures, and best practices for teachers and speech-language pathologists who are uncertified or have fewer than three years of experience working with SWDs . </w:t>
      </w:r>
    </w:p>
    <w:p w14:paraId="35C3A824" w14:textId="77777777" w:rsidR="00CA787A" w:rsidRDefault="003169E9">
      <w:r>
        <w:rPr>
          <w:color w:val="000000"/>
        </w:rPr>
        <w:t>—"STRIVE” Conferences: These intensive, regional professional learning events built foundational knowledge and practical skills for educators working with SWDs. Topics included pre-referral best practices, identification and evaluation procedures, special education legal requirements and procedural safeguards, SDI, behavior management and discipline compliance, effective IEP team collaboration and communication, and meaningful and compliant standards-based IEP development. The conference incorporated case studies, hands-on practice through mock IEP scenarios, and presentations from WVDE staff, practicing special education directors, behavior specialists, and external partners.</w:t>
      </w:r>
    </w:p>
    <w:p w14:paraId="2E164293" w14:textId="77777777" w:rsidR="00CA787A" w:rsidRDefault="003169E9">
      <w:r>
        <w:rPr>
          <w:color w:val="000000"/>
        </w:rPr>
        <w:lastRenderedPageBreak/>
        <w:t>—Student Support Conference: This event focuses on mental, behavioral, and physical health, and features sessions on multi-tiered systems of support, trauma-informed practices, and positive behavioral interventions. Content includes strategies for supporting SWDs and ensuring that student support systems are accessible and responsive to diverse learning and behavioral needs.</w:t>
      </w:r>
    </w:p>
    <w:p w14:paraId="2704BE8C" w14:textId="77777777" w:rsidR="00CA787A" w:rsidRDefault="003169E9">
      <w:r>
        <w:rPr>
          <w:color w:val="000000"/>
        </w:rPr>
        <w:t>—Student Success Summit: Co-sponsored by state education and higher education partners, this annual event brings together educators, counselors, higher education staff, community organizations, and families to focus on student readiness for college, careers, and military pathways. Sessions frequently address inclusive practices, transition planning, and supports for SWDs within broader student success efforts.</w:t>
      </w:r>
    </w:p>
    <w:p w14:paraId="7C0EBCB9" w14:textId="77777777" w:rsidR="00CA787A" w:rsidRDefault="003169E9">
      <w:r>
        <w:rPr>
          <w:color w:val="000000"/>
        </w:rPr>
        <w:t>—Interactive training for principals, assistant principals and aspiring superintendents using scenarios developed from dispute resolution and monitoring findings; this provides proactive instruction on avoiding similar findings on issues such as delays in child find, discipline, and lack of service provision.</w:t>
      </w:r>
    </w:p>
    <w:p w14:paraId="5C6B0A6E" w14:textId="77777777" w:rsidR="00CA787A" w:rsidRDefault="003169E9">
      <w:r>
        <w:rPr>
          <w:color w:val="000000"/>
        </w:rPr>
        <w:t>—WVDE also supports and presents at statewide leadership capacity building conferences that emphasize instructional quality, engagement, and leadership (such as “Summer SAIL”), which typically include strands on evidence-based instruction, data use, and inclusive practices relevant to SWDs and the educators who serve them.</w:t>
      </w:r>
    </w:p>
    <w:p w14:paraId="117BF64E" w14:textId="77777777" w:rsidR="00CA787A" w:rsidRDefault="00CA787A"/>
    <w:p w14:paraId="5BA4C7BB" w14:textId="77777777" w:rsidR="00CA787A" w:rsidRDefault="003169E9">
      <w:r>
        <w:rPr>
          <w:color w:val="000000"/>
        </w:rPr>
        <w:t>In addition to these offerings, WVDE/OSE actively disseminates relevant information from the Office of Special Education Programs (OSEP), as well as national OSEP-funded Technical Assistance Centers and other sources to ensure LEAs have access to the latest information, events, best practices, and resources.</w:t>
      </w:r>
    </w:p>
    <w:p w14:paraId="5B8F3004" w14:textId="77777777" w:rsidR="00AF5649" w:rsidRPr="00781112" w:rsidRDefault="00F72E24" w:rsidP="004369B2">
      <w:pPr>
        <w:rPr>
          <w:color w:val="000000" w:themeColor="text1"/>
        </w:rPr>
      </w:pPr>
      <w:r w:rsidRPr="00781112">
        <w:rPr>
          <w:b/>
          <w:color w:val="000000" w:themeColor="text1"/>
        </w:rPr>
        <w:t>Stakeholder Engagement:</w:t>
      </w:r>
    </w:p>
    <w:p w14:paraId="1F31F68D" w14:textId="77777777" w:rsidR="006457D1" w:rsidRPr="006457D1" w:rsidRDefault="00EE0EC5" w:rsidP="006457D1">
      <w:pPr>
        <w:rPr>
          <w:rFonts w:cs="Arial"/>
          <w:b/>
          <w:color w:val="000000" w:themeColor="text1"/>
          <w:szCs w:val="16"/>
        </w:rPr>
      </w:pPr>
      <w:r w:rsidRPr="00BA3DBE">
        <w:rPr>
          <w:b/>
        </w:rPr>
        <w:t>The mechanisms for broad stakeholder engagement, including activities carried out to obtain input from, and build the capacity of, a diverse group of parents to support the implementation activities designed to improve outcomes, including target setting and any subsequent revisions to targets, analyzing data, developing improvement strategies, and evaluating progress.</w:t>
      </w:r>
    </w:p>
    <w:p w14:paraId="5ACC44AE" w14:textId="77777777" w:rsidR="000C24C2" w:rsidRPr="00781112" w:rsidRDefault="002B7490" w:rsidP="000C24C2">
      <w:pPr>
        <w:rPr>
          <w:rFonts w:cs="Arial"/>
          <w:color w:val="000000" w:themeColor="text1"/>
          <w:szCs w:val="16"/>
        </w:rPr>
      </w:pPr>
      <w:r w:rsidRPr="00781112">
        <w:rPr>
          <w:rFonts w:cs="Arial"/>
          <w:color w:val="000000" w:themeColor="text1"/>
          <w:szCs w:val="16"/>
        </w:rPr>
        <w:t>WVDE/OSE maintains robust stakeholder engagement through multiple communication and collaboration channels:</w:t>
      </w:r>
    </w:p>
    <w:p w14:paraId="6973AFA9" w14:textId="77777777" w:rsidR="00CA787A" w:rsidRDefault="003169E9">
      <w:r>
        <w:rPr>
          <w:color w:val="000000"/>
        </w:rPr>
        <w:t>*DIRECT COMMUNICATION/CONSULTATION*</w:t>
      </w:r>
    </w:p>
    <w:p w14:paraId="1626C82E" w14:textId="77777777" w:rsidR="00CA787A" w:rsidRDefault="003169E9">
      <w:r>
        <w:rPr>
          <w:color w:val="000000"/>
        </w:rPr>
        <w:t>—Engaging in one-on-one calls with parents, advocates, educators, and community stakeholders.</w:t>
      </w:r>
    </w:p>
    <w:p w14:paraId="68DA41C2" w14:textId="77777777" w:rsidR="00CA787A" w:rsidRDefault="003169E9">
      <w:r>
        <w:rPr>
          <w:color w:val="000000"/>
        </w:rPr>
        <w:t>—Distributing emails and surveys to solicit input from diverse stakeholder groups.</w:t>
      </w:r>
    </w:p>
    <w:p w14:paraId="1819A065" w14:textId="77777777" w:rsidR="00CA787A" w:rsidRDefault="003169E9">
      <w:r>
        <w:rPr>
          <w:color w:val="000000"/>
        </w:rPr>
        <w:t>—Hosting bi-monthly secondary transition office hours to address Indicator 13 compliance and results, and to provide technical assistance for IEP development.</w:t>
      </w:r>
    </w:p>
    <w:p w14:paraId="2A2B1244" w14:textId="77777777" w:rsidR="00CA787A" w:rsidRDefault="003169E9">
      <w:r>
        <w:rPr>
          <w:color w:val="000000"/>
        </w:rPr>
        <w:t>—Monthly virtual meetings with stakeholders to identify and troubleshoot areas of concern throughout the state.</w:t>
      </w:r>
    </w:p>
    <w:p w14:paraId="516890CC" w14:textId="77777777" w:rsidR="00CA787A" w:rsidRDefault="003169E9">
      <w:r>
        <w:rPr>
          <w:color w:val="000000"/>
        </w:rPr>
        <w:t>*INFORMATION SHARING*</w:t>
      </w:r>
    </w:p>
    <w:p w14:paraId="3387B0A3" w14:textId="77777777" w:rsidR="00CA787A" w:rsidRDefault="003169E9">
      <w:r>
        <w:rPr>
          <w:color w:val="000000"/>
        </w:rPr>
        <w:t>—Utilizing a dedicated Microsoft Teams platform for communication with LEAs.</w:t>
      </w:r>
    </w:p>
    <w:p w14:paraId="77901E79" w14:textId="77777777" w:rsidR="00CA787A" w:rsidRDefault="003169E9">
      <w:r>
        <w:rPr>
          <w:color w:val="000000"/>
        </w:rPr>
        <w:t>—Maintaining a public input form on the WVDE website specifically for SSIP feedback.</w:t>
      </w:r>
    </w:p>
    <w:p w14:paraId="6EEE102D" w14:textId="77777777" w:rsidR="00CA787A" w:rsidRDefault="003169E9">
      <w:r>
        <w:rPr>
          <w:color w:val="000000"/>
        </w:rPr>
        <w:t xml:space="preserve">—Collecting input from parents, students, and school personnel as required components of monitoring activities. </w:t>
      </w:r>
    </w:p>
    <w:p w14:paraId="3DEF70E1" w14:textId="77777777" w:rsidR="00CA787A" w:rsidRDefault="003169E9">
      <w:r>
        <w:rPr>
          <w:color w:val="000000"/>
        </w:rPr>
        <w:t>—Facilitating cross-office communication and coordination on general and special education initiatives.</w:t>
      </w:r>
    </w:p>
    <w:p w14:paraId="25CA3C2F" w14:textId="77777777" w:rsidR="00CA787A" w:rsidRDefault="003169E9">
      <w:r>
        <w:rPr>
          <w:color w:val="000000"/>
        </w:rPr>
        <w:t>*COLLABORATIVE PARTNERSHIPS*</w:t>
      </w:r>
    </w:p>
    <w:p w14:paraId="5A73A5BF" w14:textId="77777777" w:rsidR="00CA787A" w:rsidRDefault="003169E9">
      <w:r>
        <w:rPr>
          <w:color w:val="000000"/>
        </w:rPr>
        <w:t>—Engaging in ongoing meetings and interagency teams dedicated to enhancing outcomes for individuals with disabilities.</w:t>
      </w:r>
    </w:p>
    <w:p w14:paraId="21AA85F4" w14:textId="77777777" w:rsidR="00CA787A" w:rsidRDefault="003169E9">
      <w:r>
        <w:rPr>
          <w:color w:val="000000"/>
        </w:rPr>
        <w:t>—Ensuring the state director's active participation in all WVACEEC meetings, including involvement in sessions, capacity-building efforts, and feedback collection from LEAs, parents, and community organizations.</w:t>
      </w:r>
    </w:p>
    <w:p w14:paraId="25E194E5" w14:textId="77777777" w:rsidR="00CA787A" w:rsidRDefault="003169E9">
      <w:r>
        <w:rPr>
          <w:color w:val="000000"/>
        </w:rPr>
        <w:t>—Maintaining regular meetings and collaborative relationships with legislators, advocacy organizations, educator associations, and other stakeholders to strengthen stakeholder knowledge of IDEA procedures, improve SEA-stakeholder dialogue, and collaboratively develop strategies for ongoing improvement toward special education goals (e.g., the Developmental Disability Council (DD Council), Statewide Independent Living Council (SILC), State Rehabilitation Council (SRC), Employment First Task Force, Olmstead Council).</w:t>
      </w:r>
    </w:p>
    <w:p w14:paraId="5A19D1F5" w14:textId="77777777" w:rsidR="00084FF1" w:rsidRPr="00781112" w:rsidRDefault="00084FF1" w:rsidP="000C24C2">
      <w:pPr>
        <w:rPr>
          <w:rFonts w:cs="Arial"/>
          <w:b/>
          <w:color w:val="000000" w:themeColor="text1"/>
          <w:szCs w:val="16"/>
        </w:rPr>
      </w:pPr>
      <w:r w:rsidRPr="00781112">
        <w:rPr>
          <w:rFonts w:cs="Arial"/>
          <w:b/>
          <w:color w:val="000000" w:themeColor="text1"/>
          <w:szCs w:val="16"/>
        </w:rPr>
        <w:t>Apply stakeholder engagement from introduction to all Part B results indicators (y/n)</w:t>
      </w:r>
    </w:p>
    <w:p w14:paraId="2B9889C2" w14:textId="77777777" w:rsidR="00FB0D0A" w:rsidRPr="00781112" w:rsidRDefault="002B7490" w:rsidP="004369B2">
      <w:pPr>
        <w:rPr>
          <w:color w:val="000000" w:themeColor="text1"/>
        </w:rPr>
      </w:pPr>
      <w:r w:rsidRPr="00781112">
        <w:rPr>
          <w:color w:val="000000" w:themeColor="text1"/>
        </w:rPr>
        <w:t>YES</w:t>
      </w:r>
    </w:p>
    <w:p w14:paraId="15E9A495" w14:textId="77777777" w:rsidR="00F72E24" w:rsidRPr="00781112" w:rsidRDefault="00F72E24" w:rsidP="00F72E24">
      <w:pPr>
        <w:rPr>
          <w:b/>
          <w:color w:val="000000" w:themeColor="text1"/>
        </w:rPr>
      </w:pPr>
      <w:r w:rsidRPr="00781112">
        <w:rPr>
          <w:b/>
          <w:color w:val="000000" w:themeColor="text1"/>
        </w:rPr>
        <w:t>Number of Parent Members:</w:t>
      </w:r>
    </w:p>
    <w:p w14:paraId="3F5B9815" w14:textId="77777777" w:rsidR="00F72E24" w:rsidRPr="00781112" w:rsidRDefault="00F72E24" w:rsidP="00F72E24">
      <w:pPr>
        <w:rPr>
          <w:color w:val="000000" w:themeColor="text1"/>
          <w:szCs w:val="16"/>
        </w:rPr>
      </w:pPr>
      <w:r w:rsidRPr="00781112">
        <w:rPr>
          <w:color w:val="000000" w:themeColor="text1"/>
          <w:szCs w:val="16"/>
        </w:rPr>
        <w:t>195</w:t>
      </w:r>
    </w:p>
    <w:p w14:paraId="37E6410F" w14:textId="77777777" w:rsidR="00F72E24" w:rsidRPr="00781112" w:rsidRDefault="00F72E24" w:rsidP="00F72E24">
      <w:pPr>
        <w:rPr>
          <w:b/>
          <w:color w:val="000000" w:themeColor="text1"/>
        </w:rPr>
      </w:pPr>
      <w:r w:rsidRPr="00781112">
        <w:rPr>
          <w:b/>
          <w:color w:val="000000" w:themeColor="text1"/>
        </w:rPr>
        <w:t>Parent Members Engagement:</w:t>
      </w:r>
    </w:p>
    <w:p w14:paraId="175AB7B7" w14:textId="77777777" w:rsidR="00F72E24" w:rsidRPr="00781112" w:rsidRDefault="00F72E24" w:rsidP="00F72E24">
      <w:pPr>
        <w:rPr>
          <w:b/>
          <w:color w:val="000000" w:themeColor="text1"/>
        </w:rPr>
      </w:pPr>
      <w:r w:rsidRPr="00781112">
        <w:rPr>
          <w:b/>
          <w:color w:val="000000" w:themeColor="text1"/>
        </w:rPr>
        <w:t>Describe how the parent members of the State Advisory Panel, parent center staff, parents from local and statewide advocacy and advisory committees, and individual parents were engaged in setting targets, analyzing data, developing improvement strategies, and evaluating progress.</w:t>
      </w:r>
    </w:p>
    <w:p w14:paraId="0E46A41A" w14:textId="77777777" w:rsidR="00F72E24" w:rsidRPr="00781112" w:rsidRDefault="00F72E24" w:rsidP="00F72E24">
      <w:pPr>
        <w:rPr>
          <w:color w:val="000000" w:themeColor="text1"/>
          <w:szCs w:val="16"/>
        </w:rPr>
      </w:pPr>
      <w:r w:rsidRPr="00781112">
        <w:rPr>
          <w:color w:val="000000" w:themeColor="text1"/>
          <w:szCs w:val="16"/>
        </w:rPr>
        <w:t>The West Virginia Advisory Council for the Education of Exceptional Children (WVACEEC) is the State Advisory Council established by W. Va. Code to fulfill IDEA requirements. Council membership includes constituents from various demographic groups such as individuals with disabilities, parents of students with disabilities (SWD), educators, institutions of higher education, LEA administrators, other state agencies, advocacy and parent organizations, private schools, vocational/business sectors, representatives for children experiencing homelessness, SEA staff, state welfare agencies, and state juvenile and adult corrections. A majority of the council consists of individuals with disabilities or parents of SWDs, and some members serve multiple roles. State officers or employees are limited to no more than two members.</w:t>
      </w:r>
    </w:p>
    <w:p w14:paraId="47122AE6" w14:textId="77777777" w:rsidR="00CA787A" w:rsidRDefault="00CA787A"/>
    <w:p w14:paraId="1F048EE6" w14:textId="77777777" w:rsidR="00CA787A" w:rsidRDefault="003169E9">
      <w:r>
        <w:rPr>
          <w:color w:val="000000"/>
        </w:rPr>
        <w:t>WVACEEC works jointly with WVDE, council members, and invited presenters to develop meeting agendas. To increase public access and engagement, meetings include a virtual participation option and rotate among different physical locations across the state, ensuring attention to unmet needs in varied geographic regions. Meeting topics are structured to solicit input and feedback on SPP/APR Indicator priorities, promising local practices, unmet needs, and concerns raised by West Virginia families.</w:t>
      </w:r>
    </w:p>
    <w:p w14:paraId="0CEAE320" w14:textId="77777777" w:rsidR="00CA787A" w:rsidRDefault="00CA787A"/>
    <w:p w14:paraId="2A1806BD" w14:textId="77777777" w:rsidR="00CA787A" w:rsidRDefault="003169E9">
      <w:r>
        <w:rPr>
          <w:color w:val="000000"/>
        </w:rPr>
        <w:t xml:space="preserve">WVDE/OSE actively addresses parent needs and strengthens stakeholder capacity through sustained outreach and communication. The State team prioritizes presenting educational data in clear, accessible formats using family-friendly language and explaining how information relates to each indicator's purpose and function. This strategy enables parents to engage meaningfully in their children's education and promotes collaborative school partnerships. WVDE/OSE attends all WVACEEC meetings, providing SEA spotlights on different aspects of general supervision. Council discussions produce substantial feedback on the Annual Compliance Report, improvement initiatives for SWDs including the SSIP, policy revisions, target-setting, and data collection and use at both SEA and LEA levels. This robust stakeholder involvement is critical for developing and evaluating improvement strategies. WVACEEC also advises the West Virginia Board of Education (WVBE) on unmet special education needs statewide and provides an annual report to the WVBE. WVACEEC information, including meeting schedules and annual reports, is publicly accessible at </w:t>
      </w:r>
      <w:r>
        <w:rPr>
          <w:color w:val="000000"/>
        </w:rPr>
        <w:lastRenderedPageBreak/>
        <w:t xml:space="preserve">[https://wvde.us/academics/special-education/family-engagement/west-virginia-advisory-council-education-exceptional-children]. WVDE/OSE responds to the annual recommendations from this report and when possible, tailors projects and initiatives to address the unmet needs identified by the council. </w:t>
      </w:r>
    </w:p>
    <w:p w14:paraId="76C73867" w14:textId="77777777" w:rsidR="00CA787A" w:rsidRDefault="00CA787A"/>
    <w:p w14:paraId="53CBCD04" w14:textId="77777777" w:rsidR="00CA787A" w:rsidRDefault="003169E9">
      <w:r>
        <w:rPr>
          <w:color w:val="000000"/>
        </w:rPr>
        <w:t>WVDE/OSE maintains an ongoing partnership with, and provides funding to, West Virginia Parent Training and Information, Inc. (WVPTI ), a nonprofit organization committed to improving educational outcomes for all children, particularly those with disabilities and special healthcare needs. This collaboration ensures families receive accurate and meaningful information. Examples of their collaborative work and support resources are available at [https://wvpti-inc.org]. WVDE/OSE also engages in multiple statewide councils including the Developmental Disability Council (DD Council), Statewide Independent Living Council (SILC), State Rehab Council (SRC), Employment First, Olmstead Council, and WVACEEC. Stakeholders from these entities frequently recognize WVDE/OSE's contributions to strengthening their knowledge of IDEA procedures and improving dialogue between the SEA and varied stakeholder communities. WVDE/OSE partners with these groups to create strategies for ongoing improvement and assess progress toward special education goals in West Virginia.</w:t>
      </w:r>
    </w:p>
    <w:p w14:paraId="4C84E732" w14:textId="77777777" w:rsidR="00F72E24" w:rsidRPr="00781112" w:rsidRDefault="00F72E24" w:rsidP="00F72E24">
      <w:pPr>
        <w:rPr>
          <w:b/>
          <w:color w:val="000000" w:themeColor="text1"/>
        </w:rPr>
      </w:pPr>
      <w:r w:rsidRPr="00781112">
        <w:rPr>
          <w:b/>
          <w:color w:val="000000" w:themeColor="text1"/>
        </w:rPr>
        <w:t>Activities to Improve Outcomes for Children with Disabilities:</w:t>
      </w:r>
    </w:p>
    <w:p w14:paraId="21A653B7" w14:textId="77777777" w:rsidR="006457D1" w:rsidRPr="006457D1" w:rsidRDefault="006457D1" w:rsidP="006457D1">
      <w:pPr>
        <w:rPr>
          <w:b/>
          <w:color w:val="000000" w:themeColor="text1"/>
        </w:rPr>
      </w:pPr>
      <w:r w:rsidRPr="006457D1">
        <w:rPr>
          <w:b/>
          <w:color w:val="000000" w:themeColor="text1"/>
        </w:rPr>
        <w:t>The activities conducted to increase the capacity of diverse groups of parents to support the development of implementation activities designed to improve outcomes for children with disabilities.</w:t>
      </w:r>
    </w:p>
    <w:p w14:paraId="04E65233" w14:textId="77777777" w:rsidR="00F72E24" w:rsidRPr="00781112" w:rsidRDefault="00F72E24" w:rsidP="00F72E24">
      <w:pPr>
        <w:rPr>
          <w:color w:val="000000" w:themeColor="text1"/>
          <w:szCs w:val="16"/>
        </w:rPr>
      </w:pPr>
      <w:r w:rsidRPr="00781112">
        <w:rPr>
          <w:color w:val="000000" w:themeColor="text1"/>
          <w:szCs w:val="16"/>
        </w:rPr>
        <w:t>WVDE delivers technical assistance (TA) to improve educators’ &amp; community partners’ ability to engage families from diverse backgrounds. These efforts focus on initiatives &amp; supports that improve outcomes for SWDs. Through collaboration with families &amp; community stakeholders, WVDE has deepened its understanding of systemic challenges including disproportionality, exclusionary discipline, &amp; effects of trauma on SWDs from marginalized communities &amp; economically disadvantaged households.</w:t>
      </w:r>
    </w:p>
    <w:p w14:paraId="12EC2348" w14:textId="77777777" w:rsidR="00CA787A" w:rsidRDefault="00CA787A"/>
    <w:p w14:paraId="08122FD7" w14:textId="77777777" w:rsidR="00CA787A" w:rsidRDefault="003169E9">
      <w:r>
        <w:rPr>
          <w:color w:val="000000"/>
        </w:rPr>
        <w:t>PARENT EDUCATION RESOURCE CENTERS (PERCs )—Some LEAs operate locally funded PERCs to serve families of SWDs. PERCs employ parent-educator teams, providing training/resources on parenting strategies, conflict resolution, advocacy, behavior intervention, &amp; home learning support. PERCs also offer families assistance to help understand their children's needs &amp; connect with community resources/supports.</w:t>
      </w:r>
    </w:p>
    <w:p w14:paraId="3CC204CD" w14:textId="77777777" w:rsidR="00CA787A" w:rsidRDefault="00CA787A"/>
    <w:p w14:paraId="7A3F0110" w14:textId="77777777" w:rsidR="00CA787A" w:rsidRDefault="003169E9">
      <w:r>
        <w:rPr>
          <w:color w:val="000000"/>
        </w:rPr>
        <w:t>LOCAL/STATE-LEVEL INITIATIVES—Recognizing that family participation is vital to student achievement, WVDE provides many pathways for parent/family involvement. Under local guidance, LEAs design &amp; implement engagement approaches responsive to their communities. WVDE supports these efforts through a state-level family engagement coordinator who builds connections among parents, educators, &amp; school leaders to promote family participation across all aspects of children's education. This work includes building parent knowledge of special education (SE) services &amp; requirements, strengthening parent voice in educational decision-making, ensuring families know their procedural rights, &amp; helping LEAs create culturally/linguistically appropriate engagement strategies.</w:t>
      </w:r>
    </w:p>
    <w:p w14:paraId="5E18C5C9" w14:textId="77777777" w:rsidR="00CA787A" w:rsidRDefault="00CA787A"/>
    <w:p w14:paraId="77689D56" w14:textId="77777777" w:rsidR="00CA787A" w:rsidRDefault="003169E9">
      <w:r>
        <w:rPr>
          <w:color w:val="000000"/>
        </w:rPr>
        <w:t>COMMUNITIES IN SCHOOLS (CIS)—Through the statewide CIS network, WVDE ensures families receive guidance navigating school systems &amp; accessing community supports. CIS site coordinators in schools statewide serve as liaisons, helping parents understand available resources &amp; engage in their children's learning. CIS prioritizes ensuring families from all backgrounds receive information &amp; support needed to participate in their children's education &amp; build partnerships with schools. Throughout SY 2024-25, CIS maintained site coordinators in all 55 counties in WV.</w:t>
      </w:r>
    </w:p>
    <w:p w14:paraId="0368ECF9" w14:textId="77777777" w:rsidR="00CA787A" w:rsidRDefault="00CA787A"/>
    <w:p w14:paraId="6B57C254" w14:textId="77777777" w:rsidR="00CA787A" w:rsidRDefault="003169E9">
      <w:r>
        <w:rPr>
          <w:color w:val="000000"/>
        </w:rPr>
        <w:t xml:space="preserve">WV HEALTHY GRANDFAMILIES—Through a partnership with WV legislators, WV Bureau of Senior Services, community groups, &amp; WV State University Extension's Healthy </w:t>
      </w:r>
      <w:proofErr w:type="spellStart"/>
      <w:r>
        <w:rPr>
          <w:color w:val="000000"/>
        </w:rPr>
        <w:t>GrandFamilies</w:t>
      </w:r>
      <w:proofErr w:type="spellEnd"/>
      <w:r>
        <w:rPr>
          <w:color w:val="000000"/>
        </w:rPr>
        <w:t xml:space="preserve"> Programs (WVHGP), WVDE supports WVHGP implementation in school systems. This initiative helps grandparents raising school-age grandchildren through sessions covering topics such as navigating public education, understanding school policies, &amp; accessing SE services. Children in the program benefit from activities focused on literacy, math, STEAM, &amp; career awareness. SE staff, social workers, &amp; CIS staff provide support to participants &amp; program alumni. To ensure sustainability, past participants serve as mentors for newly enrolled grandparent caregivers each year.</w:t>
      </w:r>
    </w:p>
    <w:p w14:paraId="20C7015C" w14:textId="77777777" w:rsidR="00CA787A" w:rsidRDefault="00CA787A"/>
    <w:p w14:paraId="0D8BEF2E" w14:textId="77777777" w:rsidR="00CA787A" w:rsidRDefault="003169E9">
      <w:r>
        <w:rPr>
          <w:color w:val="000000"/>
        </w:rPr>
        <w:t xml:space="preserve">COLLABORATION WITH ADVOCATES —WVDE maintains partnerships with advocacy organizations statewide, regularly engaging these stakeholders to review concerns/patterns that emerge from families. These partnerships inform development of professional learning opportunities &amp; TA provided to LEAs. This approach also strengthens families' abilities to engage in SE processes &amp; monitor student progress, ensures that historically underrepresented populations contribute to policy creation/implementation, &amp; connects families with supports &amp; information as they navigate SE. </w:t>
      </w:r>
    </w:p>
    <w:p w14:paraId="4C63797F" w14:textId="77777777" w:rsidR="00CA787A" w:rsidRDefault="00CA787A"/>
    <w:p w14:paraId="1F38E969" w14:textId="77777777" w:rsidR="00CA787A" w:rsidRDefault="003169E9">
      <w:r>
        <w:rPr>
          <w:color w:val="000000"/>
        </w:rPr>
        <w:t>PARENT SUPPORT/TECHNICAL ASSISTANCE—Throughout SY 2024-25, WVDE/OSE staff responded to many inquiries from parents statewide, providing TA on diverse concerns including Free Appropriate Public Education (FAPE), Least Restrictive Environment (LRE), IEPs, Section 504, disabilities &amp; related supports, SE/related services, eligibility processes, discipline, behavior interventions, policy/compliance questions, curriculum/instructional practices, safety &amp; classroom climate, communication protocols, meetings &amp; professional development, attendance, Child Find, homebound instruction, reading/dyslexia, graduation requirements &amp; diplomas, dispute resolution procedures, &amp; alternate achievement standards &amp; assessments.</w:t>
      </w:r>
    </w:p>
    <w:p w14:paraId="655F26AD" w14:textId="77777777" w:rsidR="00CA787A" w:rsidRDefault="00CA787A"/>
    <w:p w14:paraId="0E5BAA45" w14:textId="77777777" w:rsidR="00CA787A" w:rsidRDefault="003169E9">
      <w:r>
        <w:rPr>
          <w:color w:val="000000"/>
        </w:rPr>
        <w:t>ENHANCING SUPPORT/ENGAGEMENT FOR SWDS &amp; FAMILIES—Through an ongoing partnership with the WV Family Engagement Center (WVFEC) supported by US Department of Education funding, WVDE advances outcomes for SWDs &amp; their families by providing guidance, materials, &amp; training opportunities for educators &amp; parents. WVFEC implements evidence-based family engagement strategies to strengthen student outcomes via services that build family resilience &amp; establish foundational supports. The SEA’s family engagement coordinator serves as the primary link between WVDE &amp; WVFEC, working to increase participation of families of SWDs &amp; strengthen completion &amp; transition results. Through WVFEC's coaching approach, educators who complete the program then provide training to staff in other schools, expanding capacity for building effective family-school partnerships.</w:t>
      </w:r>
    </w:p>
    <w:p w14:paraId="6D9FD05C" w14:textId="77777777" w:rsidR="00CA787A" w:rsidRDefault="00CA787A"/>
    <w:p w14:paraId="27095B93" w14:textId="77777777" w:rsidR="00CA787A" w:rsidRDefault="003169E9">
      <w:r>
        <w:rPr>
          <w:color w:val="000000"/>
        </w:rPr>
        <w:t>WV PARENT TRAINING &amp; INFORMATION (WVPTI)—As WV's federally funded Parent Training Center since 1991, WVPTI supports parents/caregivers of individuals with disabilities and special healthcare needs from birth through age 26. Staffed by Parent Engagement Specialists who are themselves family members of children with disabilities, WVPTI provides training, resources, and limited meeting accompaniment support. Training topics include the SE process, IEP development and participation, procedural safeguards, ADHD, Section 504, transition planning, early intervention, and self-advocacy skills. WVPTI also facilitates Parent Strong Support Groups, creating safe spaces where parents/caregivers connect, share experiences, and access mutual support.</w:t>
      </w:r>
    </w:p>
    <w:p w14:paraId="2D0ADD83" w14:textId="77777777" w:rsidR="00CA787A" w:rsidRDefault="00CA787A"/>
    <w:p w14:paraId="14E0AC88" w14:textId="77777777" w:rsidR="00CA787A" w:rsidRDefault="003169E9">
      <w:r>
        <w:rPr>
          <w:color w:val="000000"/>
        </w:rPr>
        <w:lastRenderedPageBreak/>
        <w:t>PARENT INVOLVEMENT SURVEY—During SY 2023-24, WVDE contracted with a vendor to administer the Parent Involvement Survey for Indicator 8. Conducted between 6/6/2024, &amp; 9/13/2024, the survey gathered responses from 3,328 parents across 18 LEAs. These data support ongoing evaluation of home-school collaboration &amp; guide support system development.</w:t>
      </w:r>
    </w:p>
    <w:p w14:paraId="0A478AE4" w14:textId="77777777" w:rsidR="00CA787A" w:rsidRDefault="00CA787A"/>
    <w:p w14:paraId="75A80A1E" w14:textId="77777777" w:rsidR="00CA787A" w:rsidRDefault="003169E9">
      <w:r>
        <w:rPr>
          <w:color w:val="000000"/>
        </w:rPr>
        <w:t>WV GOVERNOR’S EARLY INTERVENTION INTERAGENCY COORDINATING COUNCIL (WVGEIICC)—WVDE participates in WVGEIICC, which convenes parents, practitioners, legislators, advocates, &amp; agency representatives to create &amp; maintain a comprehensive early intervention system for children with developmental delays. The Council emphasizes that families require central roles in all aspects of WV Birth to Three, including designing, implementing, &amp; evaluating programs. While WVDE does not administer IDEA Part C, its participation facilitates relationship-building that strengthens Part C to Part B transition.</w:t>
      </w:r>
    </w:p>
    <w:p w14:paraId="4A991111" w14:textId="77777777" w:rsidR="00CA787A" w:rsidRDefault="00CA787A"/>
    <w:p w14:paraId="6D308FDE" w14:textId="77777777" w:rsidR="00CA787A" w:rsidRDefault="003169E9">
      <w:r>
        <w:rPr>
          <w:color w:val="000000"/>
        </w:rPr>
        <w:t>READY READ WRITE—Throughout SY 2024-25, WVDE's Ready Read Write initiative sustained its focus on improving literacy for all students, including SWDs. It equipped families with tools/materials for active engagement in their children's literacy development. By providing inclusive, accessible resources to strengthen reading/writing, the initiative ensures families across all backgrounds can access program benefits. Supports include instructional materials &amp; tips for establishing learning-conducive home environments &amp; implementing strategies that promote literacy practice at home.</w:t>
      </w:r>
    </w:p>
    <w:p w14:paraId="7B0C178E" w14:textId="77777777" w:rsidR="00CA787A" w:rsidRDefault="00CA787A"/>
    <w:p w14:paraId="19F08F9C" w14:textId="77777777" w:rsidR="00CA787A" w:rsidRDefault="003169E9">
      <w:r>
        <w:rPr>
          <w:color w:val="000000"/>
        </w:rPr>
        <w:t>UNITE WITH NUMERACY/MATH4LIFE—Unite with Numeracy advances math4life’s goals of deepening educator expertise, refining instruction, &amp; elevating student learning &amp; engagement in math. It leverages math4life resources &amp; partnerships to strengthen math literacy for all students, including SWDs. Families access supports &amp; techniques for reinforcing their children's math learning via digital resources &amp; guidance. The initiative emphasizes family involvement by highlighting math in everyday contexts, making mathematical learning engaging/accessible across ages &amp; ability levels.</w:t>
      </w:r>
    </w:p>
    <w:p w14:paraId="3CC2123D" w14:textId="77777777" w:rsidR="00F72E24" w:rsidRPr="00781112" w:rsidRDefault="00F72E24" w:rsidP="00F72E24">
      <w:pPr>
        <w:rPr>
          <w:b/>
          <w:color w:val="000000" w:themeColor="text1"/>
        </w:rPr>
      </w:pPr>
      <w:r w:rsidRPr="00781112">
        <w:rPr>
          <w:b/>
          <w:color w:val="000000" w:themeColor="text1"/>
        </w:rPr>
        <w:t>Soliciting Public Input:</w:t>
      </w:r>
    </w:p>
    <w:p w14:paraId="7C427B55" w14:textId="77777777" w:rsidR="00F72E24" w:rsidRPr="00781112" w:rsidRDefault="00F72E24" w:rsidP="00F72E24">
      <w:pPr>
        <w:rPr>
          <w:b/>
          <w:color w:val="000000" w:themeColor="text1"/>
        </w:rPr>
      </w:pPr>
      <w:r w:rsidRPr="00781112">
        <w:rPr>
          <w:b/>
          <w:color w:val="000000" w:themeColor="text1"/>
        </w:rPr>
        <w:t>The mechanisms and timelines for soliciting public input for setting targets, analyzing data, developing improvement strategies, and evaluating progress.</w:t>
      </w:r>
    </w:p>
    <w:p w14:paraId="1D826F88" w14:textId="77777777" w:rsidR="00F72E24" w:rsidRPr="00781112" w:rsidRDefault="00F72E24" w:rsidP="00F72E24">
      <w:pPr>
        <w:rPr>
          <w:color w:val="000000" w:themeColor="text1"/>
          <w:szCs w:val="16"/>
        </w:rPr>
      </w:pPr>
      <w:r w:rsidRPr="00781112">
        <w:rPr>
          <w:color w:val="000000" w:themeColor="text1"/>
          <w:szCs w:val="16"/>
        </w:rPr>
        <w:t>WVDE/OSE solicits public input for setting and revising SPP/APR targets through collaboration with the West Virginia Advisory Council for the Education of Exceptional Children (WVACEEC). WVACEEC schedules and conducts regional meetings across the state throughout the year to seek input and gain information about programs and services for exceptional students. Meetings rotate physical locations and offer virtual participation options to enhance accessibility and address unmet needs in different geographic areas. Local special education administrators, principals, superintendents, and community members are informed about scheduled meetings in advance. These meetings provide a forum for programs to be showcased and issues to be identified. The Council reviews and comments on proposed policies, regulations, and procedures affecting children with exceptionalities. WVDE/OSE participates in all WVACEEC meetings, featuring SEA spotlights on various components of general supervision.</w:t>
      </w:r>
    </w:p>
    <w:p w14:paraId="2FFD6D6E" w14:textId="77777777" w:rsidR="00CA787A" w:rsidRDefault="00CA787A"/>
    <w:p w14:paraId="285BD134" w14:textId="77777777" w:rsidR="00CA787A" w:rsidRDefault="003169E9">
      <w:r>
        <w:rPr>
          <w:color w:val="000000"/>
        </w:rPr>
        <w:t>SY 2024-25—PUBLIC MEETING SCHEDULE</w:t>
      </w:r>
    </w:p>
    <w:p w14:paraId="6575933A" w14:textId="77777777" w:rsidR="00CA787A" w:rsidRDefault="003169E9">
      <w:r>
        <w:rPr>
          <w:color w:val="000000"/>
        </w:rPr>
        <w:t>—October 17-18, 2024: Randolph and Pocahontas Counties</w:t>
      </w:r>
    </w:p>
    <w:p w14:paraId="6A9E0204" w14:textId="77777777" w:rsidR="00CA787A" w:rsidRDefault="003169E9">
      <w:r>
        <w:rPr>
          <w:color w:val="000000"/>
        </w:rPr>
        <w:t>—November 14-15, 2024: Wood, Richie, and Wirt Counties</w:t>
      </w:r>
    </w:p>
    <w:p w14:paraId="4AC04D83" w14:textId="77777777" w:rsidR="00CA787A" w:rsidRDefault="003169E9">
      <w:r>
        <w:rPr>
          <w:color w:val="000000"/>
        </w:rPr>
        <w:t>—March 13-14, 2025: Logan and Boone Counties</w:t>
      </w:r>
    </w:p>
    <w:p w14:paraId="4E6A704F" w14:textId="77777777" w:rsidR="00CA787A" w:rsidRDefault="003169E9">
      <w:r>
        <w:rPr>
          <w:color w:val="000000"/>
        </w:rPr>
        <w:t>—April 3-4, 2025: Ohio and Marshall Counties</w:t>
      </w:r>
    </w:p>
    <w:p w14:paraId="646358BE" w14:textId="77777777" w:rsidR="00CA787A" w:rsidRDefault="003169E9">
      <w:r>
        <w:rPr>
          <w:color w:val="000000"/>
        </w:rPr>
        <w:t>—February 2025: Virtual Resource Fair</w:t>
      </w:r>
    </w:p>
    <w:p w14:paraId="52506D41" w14:textId="77777777" w:rsidR="00CA787A" w:rsidRDefault="00CA787A"/>
    <w:p w14:paraId="727C3698" w14:textId="77777777" w:rsidR="00CA787A" w:rsidRDefault="003169E9">
      <w:r>
        <w:rPr>
          <w:color w:val="000000"/>
        </w:rPr>
        <w:t>ONLINE SURVEY MECHANISM</w:t>
      </w:r>
    </w:p>
    <w:p w14:paraId="22475936" w14:textId="77777777" w:rsidR="00CA787A" w:rsidRDefault="003169E9">
      <w:r>
        <w:rPr>
          <w:color w:val="000000"/>
        </w:rPr>
        <w:t>WVACEEC developed an online survey (</w:t>
      </w:r>
      <w:proofErr w:type="spellStart"/>
      <w:r>
        <w:rPr>
          <w:color w:val="000000"/>
        </w:rPr>
        <w:t>Jotform</w:t>
      </w:r>
      <w:proofErr w:type="spellEnd"/>
      <w:r>
        <w:rPr>
          <w:color w:val="000000"/>
        </w:rPr>
        <w:t>) for parents, educators, and community members who are unable to attend meetings in person. The survey allows stakeholders to share areas of strength and concerns in school systems and classrooms across the state. Each completed survey receives an automatic response providing links to resources such as Policy 2419, Due Process and Dispute Resolution, and A Parent's Advocacy Guide to Special Education. During SY 2024-25, a total of 64 surveys were submitted. Each submission is discussed during WVACEEC meetings, and a return email is provided to share additional resources and information discussed during the meeting.</w:t>
      </w:r>
    </w:p>
    <w:p w14:paraId="263626FD" w14:textId="77777777" w:rsidR="00CA787A" w:rsidRDefault="00CA787A"/>
    <w:p w14:paraId="06827E7F" w14:textId="77777777" w:rsidR="00CA787A" w:rsidRDefault="003169E9">
      <w:r>
        <w:rPr>
          <w:color w:val="000000"/>
        </w:rPr>
        <w:t>STAKEHOLDER ENGAGEMENT &amp; ANNUAL REPORTING</w:t>
      </w:r>
    </w:p>
    <w:p w14:paraId="573B85A8" w14:textId="77777777" w:rsidR="00CA787A" w:rsidRDefault="003169E9">
      <w:r>
        <w:rPr>
          <w:color w:val="000000"/>
        </w:rPr>
        <w:t>WVACEEC serves as a stakeholder group for the development of the SPP/APR. The Council engages in discussions and provides feedback on the Annual Compliance Report, initiatives to improve results for SWDs including the SSIP, policy updates, target discussions, and data collection and use at the SEA and LEA levels. WVACEEC develops and shares information and the Annual Report of recommendations with the State Board of Education, schools, and members of the public. The annual report advises the WVBE on unmet needs in special education across the state.</w:t>
      </w:r>
    </w:p>
    <w:p w14:paraId="21836EBA" w14:textId="77777777" w:rsidR="00CA787A" w:rsidRDefault="00CA787A"/>
    <w:p w14:paraId="4A3B903D" w14:textId="77777777" w:rsidR="00CA787A" w:rsidRDefault="003169E9">
      <w:r>
        <w:rPr>
          <w:color w:val="000000"/>
        </w:rPr>
        <w:t>SOLICITING PUBLIC INPUT AT THE LOCAL LEVEL</w:t>
      </w:r>
    </w:p>
    <w:p w14:paraId="6A19569D" w14:textId="77777777" w:rsidR="00CA787A" w:rsidRDefault="003169E9">
      <w:r>
        <w:rPr>
          <w:color w:val="000000"/>
        </w:rPr>
        <w:t>Targeted Systemic Improvement Plans (TSIPs) address specific improvement needs in LEAs that fall short of state targets on the Annual Desk Audit (ADA). Analysis of post-ADA data supports identification of at least one priority area for each TSIP. Local stakeholder engagement is critical in determining these focus areas, ensuring community perspectives inform the improvement process. Stakeholders participate throughout all essential phases of TSIP development, working collaboratively with LEAs to establish measurable goals, select evidence-based and feasible activities to advance progress, and define achievable implementation timelines. This comprehensive engagement builds commitment to improving outcomes for SWDs and ensures TSIPs respond to local community needs. Successful TSIP implementation at the local level directly supports the State's advancement toward its results indicator targets.</w:t>
      </w:r>
    </w:p>
    <w:p w14:paraId="691CB8CC" w14:textId="77777777" w:rsidR="001628C0" w:rsidRPr="00781112" w:rsidRDefault="001628C0" w:rsidP="001628C0">
      <w:pPr>
        <w:rPr>
          <w:b/>
          <w:color w:val="000000" w:themeColor="text1"/>
        </w:rPr>
      </w:pPr>
      <w:r w:rsidRPr="00781112">
        <w:rPr>
          <w:b/>
          <w:color w:val="000000" w:themeColor="text1"/>
        </w:rPr>
        <w:t>Making Results Available to the Public:</w:t>
      </w:r>
    </w:p>
    <w:p w14:paraId="0DEA5C4E" w14:textId="77777777" w:rsidR="001628C0" w:rsidRPr="00781112" w:rsidRDefault="001628C0" w:rsidP="001628C0">
      <w:pPr>
        <w:rPr>
          <w:b/>
          <w:color w:val="000000" w:themeColor="text1"/>
        </w:rPr>
      </w:pPr>
      <w:r w:rsidRPr="00781112">
        <w:rPr>
          <w:b/>
          <w:color w:val="000000" w:themeColor="text1"/>
        </w:rPr>
        <w:t>The mechanisms and timelines for making the results of the target setting, data analysis, development of the improvement strategies, and evaluation available to the public.</w:t>
      </w:r>
    </w:p>
    <w:p w14:paraId="72E3C8EA" w14:textId="77777777" w:rsidR="001628C0" w:rsidRPr="00781112" w:rsidRDefault="001628C0" w:rsidP="001628C0">
      <w:pPr>
        <w:rPr>
          <w:color w:val="000000" w:themeColor="text1"/>
          <w:szCs w:val="16"/>
        </w:rPr>
      </w:pPr>
      <w:r w:rsidRPr="00781112">
        <w:rPr>
          <w:color w:val="000000" w:themeColor="text1"/>
          <w:szCs w:val="16"/>
        </w:rPr>
        <w:t>—WVACEEC receives annual summaries of LEA and SEA performance following completion of the Annual Desk Audit, publication of SPP/APR results, and issuance of annual SEA and LEA determinations.</w:t>
      </w:r>
    </w:p>
    <w:p w14:paraId="279FBC22" w14:textId="77777777" w:rsidR="00CA787A" w:rsidRDefault="003169E9">
      <w:r>
        <w:rPr>
          <w:color w:val="000000"/>
        </w:rPr>
        <w:t xml:space="preserve">—WVDE/OSE maintains an interactive data dashboard on the SSIP webpage, enabling stakeholders to track progress, identify improvement needs, and ensure LEA and school accountability. The dashboard provides access to metrics including graduation rates, dropout rates, secondary transition compliance, and other critical indicators such as post-school outcomes rates and SSIP grant award amounts, disaggregated by LEA. Embedded tooltips clarify technical terminology and acronyms to enhance accessibility for diverse audiences. The webpage includes an anonymous survey link through </w:t>
      </w:r>
      <w:r>
        <w:rPr>
          <w:color w:val="000000"/>
        </w:rPr>
        <w:lastRenderedPageBreak/>
        <w:t>which external stakeholders can submit feedback to inform ongoing enhancements to the website and available resources. [https://wvde.us/academics/special-education/wv-guideposts-graduation]</w:t>
      </w:r>
    </w:p>
    <w:p w14:paraId="36013965" w14:textId="77777777" w:rsidR="00CA787A" w:rsidRDefault="003169E9">
      <w:r>
        <w:rPr>
          <w:color w:val="000000"/>
        </w:rPr>
        <w:t xml:space="preserve">—For more detailed analysis, additional publicly reported data can be found on the </w:t>
      </w:r>
      <w:proofErr w:type="spellStart"/>
      <w:r>
        <w:rPr>
          <w:color w:val="000000"/>
        </w:rPr>
        <w:t>ZoomWV</w:t>
      </w:r>
      <w:proofErr w:type="spellEnd"/>
      <w:r>
        <w:rPr>
          <w:color w:val="000000"/>
        </w:rPr>
        <w:t xml:space="preserve"> Dashboard: [https://zoomwv.k12.wv.us/Dashboard/dashboard/6161]. Data are updated regularly following each collection certification.</w:t>
      </w:r>
    </w:p>
    <w:p w14:paraId="6803B7BF" w14:textId="77777777" w:rsidR="00F72E24" w:rsidRPr="00781112" w:rsidRDefault="00F72E24" w:rsidP="004369B2">
      <w:pPr>
        <w:rPr>
          <w:color w:val="000000" w:themeColor="text1"/>
        </w:rPr>
      </w:pPr>
    </w:p>
    <w:p w14:paraId="71AD1557" w14:textId="77777777" w:rsidR="00AF5649" w:rsidRPr="00781112" w:rsidRDefault="00AF5649" w:rsidP="004369B2">
      <w:pPr>
        <w:rPr>
          <w:color w:val="000000" w:themeColor="text1"/>
        </w:rPr>
      </w:pPr>
      <w:r w:rsidRPr="00781112">
        <w:rPr>
          <w:b/>
          <w:color w:val="000000" w:themeColor="text1"/>
        </w:rPr>
        <w:t>Reporting to the Public</w:t>
      </w:r>
    </w:p>
    <w:p w14:paraId="1818AD95" w14:textId="77777777" w:rsidR="00AF5649" w:rsidRPr="00781112" w:rsidRDefault="00AF5649" w:rsidP="004369B2">
      <w:pPr>
        <w:rPr>
          <w:b/>
          <w:color w:val="000000" w:themeColor="text1"/>
        </w:rPr>
      </w:pPr>
      <w:r w:rsidRPr="00781112">
        <w:rPr>
          <w:b/>
          <w:color w:val="000000" w:themeColor="text1"/>
        </w:rPr>
        <w:t>How and where the State reported to the public on the FFY 2023 performance of each LEA located in the State on the targets in the SPP/APR as soon as practicable, but no later than 120 days following the State’s submission of its FFY 2023 APR, as required by 34 CFR §300.602(b)(1)(</w:t>
      </w:r>
      <w:proofErr w:type="spellStart"/>
      <w:r w:rsidRPr="00781112">
        <w:rPr>
          <w:b/>
          <w:color w:val="000000" w:themeColor="text1"/>
        </w:rPr>
        <w:t>i</w:t>
      </w:r>
      <w:proofErr w:type="spellEnd"/>
      <w:r w:rsidRPr="00781112">
        <w:rPr>
          <w:b/>
          <w:color w:val="000000" w:themeColor="text1"/>
        </w:rPr>
        <w:t>)(A); and a description of where, on its Web site, a complete copy of the State’s SPP/APR, including any revisions if the State has revised the targets that it submitted with its FFY 2023 APR in 2025, is available.</w:t>
      </w:r>
    </w:p>
    <w:p w14:paraId="05C7F417" w14:textId="77777777" w:rsidR="000C24C2" w:rsidRPr="00781112" w:rsidRDefault="002B7490" w:rsidP="007925C6">
      <w:pPr>
        <w:rPr>
          <w:rFonts w:cs="Arial"/>
          <w:color w:val="000000" w:themeColor="text1"/>
          <w:szCs w:val="16"/>
        </w:rPr>
      </w:pPr>
      <w:r w:rsidRPr="00781112">
        <w:rPr>
          <w:rFonts w:cs="Arial"/>
          <w:color w:val="000000" w:themeColor="text1"/>
          <w:szCs w:val="16"/>
        </w:rPr>
        <w:t>West Virginia's SPP/APR is published annually within 120 days of OSEP's final report upload to EMAPS. Both the SPP/APR and LEA APRs are available on the WVDE website at [https://wvde.us/data-school-improvement/special-education-data-public-reporting]. LEA APR data are presented in an online spreadsheet with embedded hyperlinks to guide navigation. Each spreadsheet tab describes the indicator, identifies the target(s), and presents all LEA data, including whether the LEA achieved the state target for the reporting year. To protect student privacy, cell counts below 10 and calculated statistics (i.e., percentages) with a numerator below 10 or denominator below 20 are suppressed.</w:t>
      </w:r>
    </w:p>
    <w:p w14:paraId="62EBCA5B" w14:textId="77777777" w:rsidR="00466646" w:rsidRPr="00781112" w:rsidRDefault="00466646" w:rsidP="007925C6">
      <w:pPr>
        <w:rPr>
          <w:rFonts w:cs="Arial"/>
          <w:color w:val="000000" w:themeColor="text1"/>
          <w:szCs w:val="16"/>
        </w:rPr>
      </w:pPr>
    </w:p>
    <w:p w14:paraId="0ABEE126" w14:textId="77777777" w:rsidR="00AA4DAF" w:rsidRPr="00781112" w:rsidRDefault="00684B51" w:rsidP="008645AD">
      <w:pPr>
        <w:pStyle w:val="Heading2"/>
      </w:pPr>
      <w:r w:rsidRPr="00781112">
        <w:t xml:space="preserve">Intro - </w:t>
      </w:r>
      <w:r w:rsidR="006B0FD9" w:rsidRPr="00781112">
        <w:t xml:space="preserve">Prior FFY Required </w:t>
      </w:r>
      <w:r w:rsidR="00AA4DAF" w:rsidRPr="00781112">
        <w:t xml:space="preserve">Actions </w:t>
      </w:r>
    </w:p>
    <w:p w14:paraId="57D02B58" w14:textId="77777777" w:rsidR="000C24C2" w:rsidRPr="00781112" w:rsidRDefault="002B7490" w:rsidP="000B4AA4">
      <w:pPr>
        <w:rPr>
          <w:rFonts w:cs="Arial"/>
          <w:color w:val="000000" w:themeColor="text1"/>
          <w:szCs w:val="16"/>
        </w:rPr>
      </w:pPr>
      <w:r w:rsidRPr="00781112">
        <w:rPr>
          <w:rFonts w:cs="Arial"/>
          <w:color w:val="000000" w:themeColor="text1"/>
          <w:szCs w:val="16"/>
        </w:rPr>
        <w:t>The State's IDEA Part B determination for both 2024 and 2025 is Needs Assistance. In the State's 2025 determination letter, the Department advised the State of available sources of technical assistance, including OSEP-funded technical assistance centers, and required the State to work with appropriate entities. The Department directed the State to determine the results elements and/or compliance indicators, and improvement strategies, on which it will focus its use of available technical assistance, in order to improve its performance. The State must report, with its FFY 2024 SPP/APR submission, due February 1, 2026, on: (1) the technical assistance sources from which the State received assistance; and (2) the actions the State took as a result of that technical assistance.</w:t>
      </w:r>
    </w:p>
    <w:p w14:paraId="681BC62D" w14:textId="77777777" w:rsidR="008C56EE" w:rsidRPr="00781112" w:rsidRDefault="008C56EE" w:rsidP="000B4AA4">
      <w:pPr>
        <w:rPr>
          <w:rFonts w:cs="Arial"/>
          <w:color w:val="000000" w:themeColor="text1"/>
          <w:szCs w:val="16"/>
        </w:rPr>
      </w:pPr>
    </w:p>
    <w:p w14:paraId="0C8EAC2E" w14:textId="77777777" w:rsidR="009F764E" w:rsidRPr="00781112" w:rsidRDefault="007639D7" w:rsidP="004369B2">
      <w:pPr>
        <w:rPr>
          <w:b/>
          <w:color w:val="000000" w:themeColor="text1"/>
        </w:rPr>
      </w:pPr>
      <w:r>
        <w:rPr>
          <w:b/>
          <w:color w:val="000000" w:themeColor="text1"/>
        </w:rPr>
        <w:t>Response to actions required in FFY 2023 SPP/APR</w:t>
      </w:r>
    </w:p>
    <w:p w14:paraId="58700F8A" w14:textId="77777777" w:rsidR="000C24C2" w:rsidRPr="00781112" w:rsidRDefault="002B7490" w:rsidP="000E33D0">
      <w:pPr>
        <w:rPr>
          <w:rFonts w:cs="Arial"/>
          <w:color w:val="000000" w:themeColor="text1"/>
          <w:szCs w:val="16"/>
        </w:rPr>
      </w:pPr>
      <w:r w:rsidRPr="00781112">
        <w:rPr>
          <w:rFonts w:cs="Arial"/>
          <w:color w:val="000000" w:themeColor="text1"/>
          <w:szCs w:val="16"/>
        </w:rPr>
        <w:t>WVDE/OSE acknowledges the IDEA Part B determinations of "Needs Assistance" for 2024 and 2025 and is committed to achieving a "Meets Requirements" determination. The State has undertaken a thorough analysis to identify improvement priorities and has engaged technical assistance sources to address both results and compliance performance.</w:t>
      </w:r>
    </w:p>
    <w:p w14:paraId="5E110F20" w14:textId="77777777" w:rsidR="00CA787A" w:rsidRDefault="00CA787A"/>
    <w:p w14:paraId="4F7E3157" w14:textId="77777777" w:rsidR="00CA787A" w:rsidRDefault="003169E9">
      <w:r>
        <w:rPr>
          <w:color w:val="000000"/>
        </w:rPr>
        <w:t>The State's Compliance score improved significantly from 83.33% in 2024 to 95.00% in 2025 following successful correction of longstanding Indicator 11 noncompliance. While this represents substantial progress, the Results Matrix presents ongoing challenges that require sustained, strategic improvement efforts. The State's analysis indicates that the transition from "Meets Requirements" (2023) to "Needs Assistance" (2024) corresponded with a change in the Results Matrix scoring criteria, which reduced the total points available from 24 to 20. This led to a loss of four earned points (17 to 13), resulting in a 5.83 percentage point decrease in WV's Results score. The Results Matrix places substantial weight (60% of available points) on the biennial NAEP assessment using a comparative tertile system. This norm-referenced approach ensures that approximately one-third of states will score in each tertile regardless of absolute performance changes, creating a system where improvement depends on outpacing growth in other states. Because NAEP is administered biennially, the NAEP scores applied to the 2025 determination will also be applied to the 2026 determination. This creates a sustained focus on long-term instructional improvement, which the State has prioritized through its Specially Designed Instruction initiative and engagement with instructional TA centers. Analysis shows that earning just one additional point across the Results Matrix would have been sufficient to move the State's overall score into the "Meets Requirements" range for 2025.</w:t>
      </w:r>
    </w:p>
    <w:p w14:paraId="3737B3F8" w14:textId="77777777" w:rsidR="00CA787A" w:rsidRDefault="00CA787A"/>
    <w:p w14:paraId="6EFFF101" w14:textId="77777777" w:rsidR="00CA787A" w:rsidRDefault="003169E9">
      <w:r>
        <w:rPr>
          <w:color w:val="000000"/>
        </w:rPr>
        <w:t>Following this analysis, WVDE/OSE identified two priorities:</w:t>
      </w:r>
    </w:p>
    <w:p w14:paraId="6BCDB13E" w14:textId="77777777" w:rsidR="00CA787A" w:rsidRDefault="003169E9">
      <w:r>
        <w:rPr>
          <w:color w:val="000000"/>
        </w:rPr>
        <w:t>—enhancing instructional quality to improve long-term student achievement outcomes, particularly in reading and mathematics; and</w:t>
      </w:r>
    </w:p>
    <w:p w14:paraId="4D15775B" w14:textId="77777777" w:rsidR="00CA787A" w:rsidRDefault="003169E9">
      <w:r>
        <w:rPr>
          <w:color w:val="000000"/>
        </w:rPr>
        <w:t>—strengthening data systems, compliance infrastructure, and fiscal management to sustain compliance.</w:t>
      </w:r>
    </w:p>
    <w:p w14:paraId="4B90C42F" w14:textId="77777777" w:rsidR="00CA787A" w:rsidRDefault="003169E9">
      <w:r>
        <w:rPr>
          <w:color w:val="000000"/>
        </w:rPr>
        <w:t>WVDE/OSE engaged TA sources aligned with each priority area. The following sections describe the TA sources accessed and the specific actions taken as a result of that assistance.</w:t>
      </w:r>
    </w:p>
    <w:p w14:paraId="0BC32F05" w14:textId="77777777" w:rsidR="00CA787A" w:rsidRDefault="00CA787A"/>
    <w:p w14:paraId="59EF9487" w14:textId="77777777" w:rsidR="00CA787A" w:rsidRDefault="003169E9">
      <w:r>
        <w:rPr>
          <w:color w:val="000000"/>
        </w:rPr>
        <w:t>*TECHNICAL ASSISTANCE FOR INSTRUCTIONAL IMPROVEMENT &amp; STUDENT OUTCOMES*</w:t>
      </w:r>
    </w:p>
    <w:p w14:paraId="5721E458" w14:textId="77777777" w:rsidR="00CA787A" w:rsidRDefault="003169E9">
      <w:r>
        <w:rPr>
          <w:color w:val="000000"/>
        </w:rPr>
        <w:t>—WVDE/OSE leveraged resources from the PROGRESS Center, TIES Center, IRIS Center, Council for Exceptional Children (CEC), Center on Positive Behavioral Interventions and Supports (PBIS), the National Center on Educational Outcomes (NCEO), and the National Education Association (NEA) to strengthen instructional practices. As a result, the State developed and published a comprehensive Specially Designed Instruction (SDI) framework and resources, all housed on a dedicated SDI webpage at [https://wvde.us/academics/special-education/specially-designed-instruction-sdi]. Key resources developed include the SDI Guidance Document, High-Quality Literacy and Mathematical Instructional Practices, an SDI Resource Bank (available in both PDF and dashboard formats), and a tool for Matching Disability Categories, Learning Challenges, and SDI Strategies.</w:t>
      </w:r>
    </w:p>
    <w:p w14:paraId="4A41F3FC" w14:textId="77777777" w:rsidR="00CA787A" w:rsidRDefault="003169E9">
      <w:r>
        <w:rPr>
          <w:color w:val="000000"/>
        </w:rPr>
        <w:t>—WVDE/OSE participates in the National Center for Systemic Improvement (NCSI) Collaboratives (e.g., Effective Instruction, General Supervision, and SEA Leadership). The Effective Instruction Collaborative aligns directly with the State's SDI initiative to enhance instructional quality, and the SEA Leadership and General Supervision groups provide opportunities to collaborate with and learn from successes in other states. WVDE/OSE shares resources from these TA centers with LEAs to build LEA capacity to strengthen instructional practices and sustain systemic improvement.</w:t>
      </w:r>
    </w:p>
    <w:p w14:paraId="5F39F997" w14:textId="77777777" w:rsidR="00CA787A" w:rsidRDefault="003169E9">
      <w:r>
        <w:rPr>
          <w:color w:val="000000"/>
        </w:rPr>
        <w:t>—WVDE/OSE also utilizes NCEO's extensive library of resources and participates in the monthly 1% Communities of Practice to share strategies and receive guidance for meeting the statewide cap for alternate assessments. Furthermore, the State is engaged in the three-year MIDAS Project with NCEO and two other states. This collaborative project aims to build capacity at both the SEA and LEA levels by creating resources that help LEAs use multiple sources of student achievement data to improve instruction for SWDs transitioning from alternate assessments to the general assessment. These efforts align directly with the SEA’s priorities of improving reading and mathematics achievement. Specifically, the SDI resources support the goals of the "Ready Read Write" initiative for literacy, and the "Math4Life" and "Unite with Numeracy" initiatives for mathematics, ensuring that SWDs are provided the specialized instruction needed to access and benefit from these statewide academic initiatives.</w:t>
      </w:r>
    </w:p>
    <w:p w14:paraId="4E28F709" w14:textId="77777777" w:rsidR="00CA787A" w:rsidRDefault="00CA787A"/>
    <w:p w14:paraId="149A04AA" w14:textId="77777777" w:rsidR="00CA787A" w:rsidRDefault="003169E9">
      <w:r>
        <w:rPr>
          <w:color w:val="000000"/>
        </w:rPr>
        <w:t>*TECHNICAL ASSISTANCE FOR DATA MANAGEMENT, COMPLIANCE, &amp; SYSTEMS ENHANCEMENT*</w:t>
      </w:r>
    </w:p>
    <w:p w14:paraId="73B1B2EA" w14:textId="77777777" w:rsidR="00CA787A" w:rsidRDefault="003169E9">
      <w:r>
        <w:rPr>
          <w:color w:val="000000"/>
        </w:rPr>
        <w:lastRenderedPageBreak/>
        <w:t>—WVDE/OSE engaged with the Center for the Integration of IDEA Data (CIID), including receiving TA on Generate data system platform upgrades, development roadmaps, and clarifying data definitions for accurate Section 618 data reporting, as well as Generate Office Hour meeting attendance.</w:t>
      </w:r>
    </w:p>
    <w:p w14:paraId="0329ADF4" w14:textId="77777777" w:rsidR="00CA787A" w:rsidRDefault="003169E9">
      <w:r>
        <w:rPr>
          <w:color w:val="000000"/>
        </w:rPr>
        <w:t xml:space="preserve">—Support from the IDEA Data Center (IDC) was leveraged to enhance data integrity and preparation for </w:t>
      </w:r>
      <w:proofErr w:type="spellStart"/>
      <w:r>
        <w:rPr>
          <w:color w:val="000000"/>
        </w:rPr>
        <w:t>EDPass</w:t>
      </w:r>
      <w:proofErr w:type="spellEnd"/>
      <w:r>
        <w:rPr>
          <w:color w:val="000000"/>
        </w:rPr>
        <w:t xml:space="preserve"> data submissions through the use of their SEA and LEA Edit Check and file building tools for Section 618 </w:t>
      </w:r>
      <w:proofErr w:type="spellStart"/>
      <w:r>
        <w:rPr>
          <w:color w:val="000000"/>
        </w:rPr>
        <w:t>EDFacts</w:t>
      </w:r>
      <w:proofErr w:type="spellEnd"/>
      <w:r>
        <w:rPr>
          <w:color w:val="000000"/>
        </w:rPr>
        <w:t xml:space="preserve"> data, particularly the MOE/CEIS/CCEIS and Dispute Resolution file building tools, which were critical for navigating the transition to </w:t>
      </w:r>
      <w:proofErr w:type="spellStart"/>
      <w:r>
        <w:rPr>
          <w:color w:val="000000"/>
        </w:rPr>
        <w:t>EDPass</w:t>
      </w:r>
      <w:proofErr w:type="spellEnd"/>
      <w:r>
        <w:rPr>
          <w:color w:val="000000"/>
        </w:rPr>
        <w:t xml:space="preserve"> when file formats changed significantly from prior submissions. WVDE/OSE also attended IDC's 2025 Interactive Institute and SPP/APR Summit conferences.</w:t>
      </w:r>
    </w:p>
    <w:p w14:paraId="71030F54" w14:textId="77777777" w:rsidR="00CA787A" w:rsidRDefault="003169E9">
      <w:r>
        <w:rPr>
          <w:color w:val="000000"/>
        </w:rPr>
        <w:t>—WVDE/OSE engaged with the Center for IDEA Early Childhood Data Systems (DaSy) and the Early Childhood Technical Assistance Center (ECTA) for ongoing updates and support related to early childhood data. The bi-monthly Section 619 affinity group meetings offer essential support and valuable information. Additionally, the web resources and listserv are frequently utilized to address inquiries, with TA specialists providing individualized support and prompt responses to questions.</w:t>
      </w:r>
    </w:p>
    <w:p w14:paraId="1D6FF15F" w14:textId="77777777" w:rsidR="00CA787A" w:rsidRDefault="003169E9">
      <w:r>
        <w:rPr>
          <w:color w:val="000000"/>
        </w:rPr>
        <w:t>—WVDE/OSE received high-quality TA from the Center for IDEA Fiscal Reporting (CIFR) through conferences, webinars, and one-on-one support to improve the quality and use of Part B fiscal data. The support addressed critical fiscal requirements, including Maintenance of State Financial Support, LEA Maintenance of Effort, Coordinated Early Intervening Services, and understanding of excess cost. CIFR also provided guidance on the allowability of costs, the use of IDEA Part B Section 611 Funds reserved for State administration, and procedures for LEA Allocations, particularly regarding new charter schools.</w:t>
      </w:r>
    </w:p>
    <w:p w14:paraId="6A8B8A9F" w14:textId="77777777" w:rsidR="00CA787A" w:rsidRDefault="003169E9">
      <w:r>
        <w:rPr>
          <w:color w:val="000000"/>
        </w:rPr>
        <w:t>—The Data Center for Addressing Significant Disproportionality (DCASD) provided invaluable targeted TA in 2025 that resulted in revisions to WVDE/OSE's Comprehensive/Coordinated Early Intervening Services (C/CEIS) application and Policies, Procedures, and Practices review templates. These revisions incorporated self-assessment insights from the "Insight to Action Workshop" 2025 and strengthened guidance materials and resources for LEAs identified with significant disproportionality who are required to implement CCEIS.</w:t>
      </w:r>
    </w:p>
    <w:p w14:paraId="0651F00C" w14:textId="77777777" w:rsidR="00CA787A" w:rsidRDefault="00CA787A"/>
    <w:p w14:paraId="1072C09F" w14:textId="77777777" w:rsidR="00CA787A" w:rsidRDefault="003169E9">
      <w:r>
        <w:rPr>
          <w:color w:val="000000"/>
        </w:rPr>
        <w:t>WVDE/OSE remains committed to regular engagement with TA sources and will continue leveraging OSEP-funded TA centers to strengthen both instructional practices and system infrastructure. WVDE/OSE will monitor progress on Results indicators through ongoing data analysis and stakeholder engagement, with particular attention to alignment between TA activities and measurable improvements in student outcomes. WVDE/OSE is hopeful that these strategic efforts, along with continued engagement with TA providers, will support the State's progress toward a "Meets Requirements" determination.</w:t>
      </w:r>
    </w:p>
    <w:p w14:paraId="1D545973" w14:textId="77777777" w:rsidR="00CE6EB0" w:rsidRPr="00781112" w:rsidRDefault="00684B51" w:rsidP="008645AD">
      <w:pPr>
        <w:pStyle w:val="Heading2"/>
      </w:pPr>
      <w:r w:rsidRPr="00781112">
        <w:t xml:space="preserve">Intro - </w:t>
      </w:r>
      <w:r w:rsidR="00CE6EB0" w:rsidRPr="00781112">
        <w:t>OSEP Response</w:t>
      </w:r>
    </w:p>
    <w:p w14:paraId="47F84168" w14:textId="77777777" w:rsidR="000C24C2" w:rsidRPr="00781112" w:rsidRDefault="002B7490" w:rsidP="001F692C">
      <w:pPr>
        <w:rPr>
          <w:rFonts w:cs="Arial"/>
          <w:color w:val="000000" w:themeColor="text1"/>
          <w:szCs w:val="16"/>
        </w:rPr>
      </w:pPr>
      <w:r w:rsidRPr="00781112">
        <w:rPr>
          <w:rFonts w:cs="Arial"/>
          <w:color w:val="000000" w:themeColor="text1"/>
          <w:szCs w:val="16"/>
        </w:rPr>
        <w:t xml:space="preserve">The State's determinations for both 2024 and 2025 were Needs Assistance. Pursuant to Section 616(e)(1) of the IDEA and 34 C.F.R. § 300.604(a), OSEP's June 20, </w:t>
      </w:r>
      <w:proofErr w:type="gramStart"/>
      <w:r w:rsidRPr="00781112">
        <w:rPr>
          <w:rFonts w:cs="Arial"/>
          <w:color w:val="000000" w:themeColor="text1"/>
          <w:szCs w:val="16"/>
        </w:rPr>
        <w:t>2025</w:t>
      </w:r>
      <w:proofErr w:type="gramEnd"/>
      <w:r w:rsidRPr="00781112">
        <w:rPr>
          <w:rFonts w:cs="Arial"/>
          <w:color w:val="000000" w:themeColor="text1"/>
          <w:szCs w:val="16"/>
        </w:rPr>
        <w:t xml:space="preserve"> determination letter informed the State that it must report with its FFY 2024 SPP/APR submission, due February 2, 2026, on: (1) the technical assistance sources from which the State received assistance; and (2) the actions the State took as a result of that technical assistance. The State provided the required information.</w:t>
      </w:r>
    </w:p>
    <w:p w14:paraId="19F20834" w14:textId="77777777" w:rsidR="00CE6EB0" w:rsidRPr="00781112" w:rsidRDefault="00684B51" w:rsidP="008645AD">
      <w:pPr>
        <w:pStyle w:val="Heading2"/>
      </w:pPr>
      <w:r w:rsidRPr="00781112">
        <w:t>Intro - Required Actions</w:t>
      </w:r>
    </w:p>
    <w:p w14:paraId="75316910" w14:textId="77777777" w:rsidR="000C24C2" w:rsidRPr="00781112" w:rsidRDefault="002B7490" w:rsidP="001F692C">
      <w:pPr>
        <w:rPr>
          <w:rFonts w:cs="Arial"/>
          <w:color w:val="000000" w:themeColor="text1"/>
          <w:szCs w:val="16"/>
        </w:rPr>
      </w:pPr>
      <w:r w:rsidRPr="00781112">
        <w:rPr>
          <w:rFonts w:cs="Arial"/>
          <w:color w:val="000000" w:themeColor="text1"/>
          <w:szCs w:val="16"/>
        </w:rPr>
        <w:t>The State's IDEA Part B determination for both 2025 and 2026 is Needs Assistance. In the State's 2026 determination letter, the Department advised the State of available sources of technical assistance, including OSEP-funded technical assistance centers, and required the State to work with appropriate entities. The Department directed the State to determine the results elements and/or compliance indicators, and improvement strategies, on which it will focus its use of available technical assistance, in order to improve its performance. The State must report, with its FFY 2025 SPP/APR submission, due February 1, 2027, on: (1) the technical assistance sources from which the State received assistance; and (2) the actions the State took as a result of that technical assistance.</w:t>
      </w:r>
    </w:p>
    <w:p w14:paraId="0398712B" w14:textId="77777777" w:rsidR="00D37BF0" w:rsidRPr="00781112" w:rsidRDefault="00D37BF0">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0A3A36E5" w14:textId="77777777" w:rsidR="00EB0146" w:rsidRPr="00781112" w:rsidRDefault="00EB0146" w:rsidP="000444E2">
      <w:pPr>
        <w:pStyle w:val="Heading1"/>
        <w:rPr>
          <w:color w:val="000000" w:themeColor="text1"/>
          <w:sz w:val="22"/>
        </w:rPr>
      </w:pPr>
      <w:r w:rsidRPr="00781112">
        <w:rPr>
          <w:color w:val="000000" w:themeColor="text1"/>
          <w:sz w:val="22"/>
        </w:rPr>
        <w:lastRenderedPageBreak/>
        <w:t>Indicator 1: Graduation</w:t>
      </w:r>
      <w:bookmarkEnd w:id="1"/>
      <w:bookmarkEnd w:id="2"/>
    </w:p>
    <w:p w14:paraId="7658B279" w14:textId="77777777" w:rsidR="009A62A4" w:rsidRPr="002C274F" w:rsidRDefault="009A62A4" w:rsidP="002C274F">
      <w:pPr>
        <w:rPr>
          <w:b/>
          <w:bCs/>
          <w:sz w:val="20"/>
          <w:szCs w:val="20"/>
        </w:rPr>
      </w:pPr>
      <w:r w:rsidRPr="002C274F">
        <w:rPr>
          <w:b/>
          <w:bCs/>
          <w:sz w:val="20"/>
          <w:szCs w:val="20"/>
        </w:rPr>
        <w:t>Instructions and Measurement</w:t>
      </w:r>
    </w:p>
    <w:p w14:paraId="43C3D081" w14:textId="77777777" w:rsidR="004B782D" w:rsidRPr="00781112" w:rsidRDefault="004B782D" w:rsidP="004369B2">
      <w:pPr>
        <w:rPr>
          <w:color w:val="000000" w:themeColor="text1"/>
        </w:rPr>
      </w:pPr>
      <w:bookmarkStart w:id="4" w:name="_Toc392159259"/>
      <w:r w:rsidRPr="00781112">
        <w:rPr>
          <w:b/>
          <w:color w:val="000000" w:themeColor="text1"/>
        </w:rPr>
        <w:t>Monitoring Priority:</w:t>
      </w:r>
      <w:r w:rsidRPr="00781112">
        <w:rPr>
          <w:color w:val="000000" w:themeColor="text1"/>
        </w:rPr>
        <w:t xml:space="preserve"> FAPE in the LRE </w:t>
      </w:r>
    </w:p>
    <w:p w14:paraId="4A22CB24" w14:textId="77777777" w:rsidR="00531ED7" w:rsidRPr="00781112" w:rsidRDefault="004B782D" w:rsidP="009340E3">
      <w:pPr>
        <w:rPr>
          <w:color w:val="000000" w:themeColor="text1"/>
        </w:rPr>
      </w:pPr>
      <w:r w:rsidRPr="00781112">
        <w:rPr>
          <w:b/>
          <w:color w:val="000000" w:themeColor="text1"/>
        </w:rPr>
        <w:t>Results indicator:</w:t>
      </w:r>
      <w:r w:rsidRPr="00781112">
        <w:rPr>
          <w:color w:val="000000" w:themeColor="text1"/>
        </w:rPr>
        <w:t xml:space="preserve"> Percent of youth with</w:t>
      </w:r>
      <w:r w:rsidR="005F5514" w:rsidRPr="00781112">
        <w:rPr>
          <w:color w:val="000000" w:themeColor="text1"/>
        </w:rPr>
        <w:t xml:space="preserve"> Individualized Education </w:t>
      </w:r>
      <w:r w:rsidR="00DA7FAE" w:rsidRPr="00781112">
        <w:rPr>
          <w:color w:val="000000" w:themeColor="text1"/>
        </w:rPr>
        <w:t>Programs</w:t>
      </w:r>
      <w:r w:rsidRPr="00781112">
        <w:rPr>
          <w:color w:val="000000" w:themeColor="text1"/>
        </w:rPr>
        <w:t xml:space="preserve"> </w:t>
      </w:r>
      <w:r w:rsidR="005F5514" w:rsidRPr="00781112">
        <w:rPr>
          <w:color w:val="000000" w:themeColor="text1"/>
        </w:rPr>
        <w:t>(</w:t>
      </w:r>
      <w:r w:rsidRPr="00781112">
        <w:rPr>
          <w:color w:val="000000" w:themeColor="text1"/>
        </w:rPr>
        <w:t>IEPs</w:t>
      </w:r>
      <w:r w:rsidR="005F5514" w:rsidRPr="00781112">
        <w:rPr>
          <w:color w:val="000000" w:themeColor="text1"/>
        </w:rPr>
        <w:t>)</w:t>
      </w:r>
      <w:r w:rsidRPr="00781112">
        <w:rPr>
          <w:color w:val="000000" w:themeColor="text1"/>
        </w:rPr>
        <w:t xml:space="preserve"> </w:t>
      </w:r>
      <w:r w:rsidR="003068D4" w:rsidRPr="00781112">
        <w:rPr>
          <w:color w:val="000000" w:themeColor="text1"/>
        </w:rPr>
        <w:t>exiting</w:t>
      </w:r>
      <w:r w:rsidR="00EF4CAF" w:rsidRPr="00781112">
        <w:rPr>
          <w:color w:val="000000" w:themeColor="text1"/>
        </w:rPr>
        <w:t xml:space="preserve"> </w:t>
      </w:r>
      <w:r w:rsidR="00EF4CAF" w:rsidRPr="00781112">
        <w:rPr>
          <w:rFonts w:cs="Arial"/>
          <w:szCs w:val="16"/>
        </w:rPr>
        <w:t>special education due to graduating</w:t>
      </w:r>
      <w:r w:rsidR="003068D4" w:rsidRPr="00781112">
        <w:rPr>
          <w:color w:val="000000" w:themeColor="text1"/>
        </w:rPr>
        <w:t xml:space="preserve"> </w:t>
      </w:r>
      <w:r w:rsidRPr="00781112">
        <w:rPr>
          <w:color w:val="000000" w:themeColor="text1"/>
        </w:rPr>
        <w:t>with a regular</w:t>
      </w:r>
      <w:r w:rsidR="005F5514" w:rsidRPr="00781112">
        <w:rPr>
          <w:color w:val="000000" w:themeColor="text1"/>
        </w:rPr>
        <w:t xml:space="preserve"> high school diploma</w:t>
      </w:r>
      <w:r w:rsidRPr="00781112">
        <w:rPr>
          <w:color w:val="000000" w:themeColor="text1"/>
        </w:rPr>
        <w:t>.</w:t>
      </w:r>
      <w:r w:rsidR="00552927" w:rsidRPr="00781112">
        <w:rPr>
          <w:color w:val="000000" w:themeColor="text1"/>
        </w:rPr>
        <w:t xml:space="preserve"> </w:t>
      </w:r>
      <w:r w:rsidRPr="00781112">
        <w:rPr>
          <w:color w:val="000000" w:themeColor="text1"/>
        </w:rPr>
        <w:t>(20 U.S.C. 1416 (a)(3)(A))</w:t>
      </w:r>
    </w:p>
    <w:p w14:paraId="33D7FB98" w14:textId="77777777" w:rsidR="005F5514" w:rsidRPr="00781112" w:rsidRDefault="00460298" w:rsidP="004369B2">
      <w:pPr>
        <w:rPr>
          <w:rFonts w:cs="Arial"/>
          <w:bCs/>
          <w:color w:val="000000" w:themeColor="text1"/>
          <w:szCs w:val="16"/>
        </w:rPr>
      </w:pPr>
      <w:r w:rsidRPr="00781112">
        <w:rPr>
          <w:rFonts w:cs="Arial"/>
          <w:b/>
          <w:bCs/>
          <w:color w:val="000000" w:themeColor="text1"/>
          <w:szCs w:val="16"/>
        </w:rPr>
        <w:t>Data Source</w:t>
      </w:r>
    </w:p>
    <w:p w14:paraId="7FDBD60C" w14:textId="77777777" w:rsidR="005F5514" w:rsidRPr="00781112" w:rsidRDefault="00460298" w:rsidP="003A6167">
      <w:pPr>
        <w:rPr>
          <w:rFonts w:cs="Arial"/>
          <w:color w:val="000000" w:themeColor="text1"/>
          <w:szCs w:val="16"/>
        </w:rPr>
      </w:pPr>
      <w:r w:rsidRPr="00781112">
        <w:rPr>
          <w:rFonts w:cs="Arial"/>
          <w:color w:val="000000" w:themeColor="text1"/>
          <w:szCs w:val="16"/>
          <w:shd w:val="clear" w:color="auto" w:fill="FFFFFF"/>
        </w:rPr>
        <w:t xml:space="preserve">Same data as used for reporting to the Department </w:t>
      </w:r>
      <w:r w:rsidR="001A0C28" w:rsidRPr="00781112">
        <w:rPr>
          <w:rFonts w:cs="Arial"/>
          <w:szCs w:val="16"/>
          <w:shd w:val="clear" w:color="auto" w:fill="FFFFFF"/>
        </w:rPr>
        <w:t xml:space="preserve">under section 618 of the Individuals with Disabilities Education Act (IDEA), using the definitions in </w:t>
      </w:r>
      <w:proofErr w:type="spellStart"/>
      <w:r w:rsidR="001A0C28" w:rsidRPr="00781112">
        <w:rPr>
          <w:rFonts w:cs="Arial"/>
          <w:szCs w:val="16"/>
          <w:shd w:val="clear" w:color="auto" w:fill="FFFFFF"/>
        </w:rPr>
        <w:t>ED</w:t>
      </w:r>
      <w:r w:rsidR="001A0C28" w:rsidRPr="00BA3DBE">
        <w:rPr>
          <w:rFonts w:cs="Arial"/>
          <w:i/>
          <w:iCs/>
          <w:szCs w:val="16"/>
          <w:shd w:val="clear" w:color="auto" w:fill="FFFFFF"/>
        </w:rPr>
        <w:t>Facts</w:t>
      </w:r>
      <w:proofErr w:type="spellEnd"/>
      <w:r w:rsidR="001A0C28" w:rsidRPr="00781112">
        <w:rPr>
          <w:rFonts w:cs="Arial"/>
          <w:szCs w:val="16"/>
          <w:shd w:val="clear" w:color="auto" w:fill="FFFFFF"/>
        </w:rPr>
        <w:t xml:space="preserve"> file specification FS009</w:t>
      </w:r>
      <w:r w:rsidRPr="00781112">
        <w:rPr>
          <w:rFonts w:cs="Arial"/>
          <w:color w:val="000000" w:themeColor="text1"/>
          <w:szCs w:val="16"/>
          <w:shd w:val="clear" w:color="auto" w:fill="FFFFFF"/>
        </w:rPr>
        <w:t>.</w:t>
      </w:r>
    </w:p>
    <w:p w14:paraId="2FAF96C7" w14:textId="77777777" w:rsidR="005F5514" w:rsidRPr="00781112" w:rsidRDefault="005F5514" w:rsidP="004369B2">
      <w:pPr>
        <w:rPr>
          <w:color w:val="000000" w:themeColor="text1"/>
        </w:rPr>
      </w:pPr>
      <w:r w:rsidRPr="00781112">
        <w:rPr>
          <w:b/>
          <w:color w:val="000000" w:themeColor="text1"/>
        </w:rPr>
        <w:t>Measurement</w:t>
      </w:r>
    </w:p>
    <w:p w14:paraId="7E38130D" w14:textId="77777777" w:rsidR="005F5514" w:rsidRPr="00781112" w:rsidRDefault="005F5514" w:rsidP="003A6167">
      <w:pPr>
        <w:rPr>
          <w:rFonts w:cs="Arial"/>
          <w:color w:val="000000" w:themeColor="text1"/>
          <w:szCs w:val="16"/>
        </w:rPr>
      </w:pPr>
      <w:r w:rsidRPr="00781112">
        <w:rPr>
          <w:rFonts w:cs="Arial"/>
          <w:color w:val="000000" w:themeColor="text1"/>
          <w:szCs w:val="16"/>
          <w:shd w:val="clear" w:color="auto" w:fill="FFFFFF"/>
        </w:rPr>
        <w:t xml:space="preserve">States </w:t>
      </w:r>
      <w:r w:rsidR="0084727C" w:rsidRPr="00781112">
        <w:rPr>
          <w:rFonts w:cs="Arial"/>
          <w:szCs w:val="16"/>
          <w:shd w:val="clear" w:color="auto" w:fill="FFFFFF"/>
        </w:rPr>
        <w:t xml:space="preserve">must report a percentage using the number of youth with IEPs (ages 14-21) who exited special education due to graduating with a regular high school diploma in the numerator and the number of all youth with IEPs who </w:t>
      </w:r>
      <w:r w:rsidR="00CB505C" w:rsidRPr="00781112">
        <w:rPr>
          <w:rFonts w:cs="Arial"/>
          <w:szCs w:val="16"/>
          <w:shd w:val="clear" w:color="auto" w:fill="FFFFFF"/>
        </w:rPr>
        <w:t>exited</w:t>
      </w:r>
      <w:r w:rsidR="0084727C" w:rsidRPr="00781112">
        <w:rPr>
          <w:rFonts w:cs="Arial"/>
          <w:szCs w:val="16"/>
          <w:shd w:val="clear" w:color="auto" w:fill="FFFFFF"/>
        </w:rPr>
        <w:t xml:space="preserve"> high school (ages 14-21) in the denominator</w:t>
      </w:r>
      <w:r w:rsidRPr="00781112">
        <w:rPr>
          <w:rFonts w:cs="Arial"/>
          <w:color w:val="000000" w:themeColor="text1"/>
          <w:szCs w:val="16"/>
          <w:shd w:val="clear" w:color="auto" w:fill="FFFFFF"/>
        </w:rPr>
        <w:t>.</w:t>
      </w:r>
    </w:p>
    <w:p w14:paraId="483FD3DB" w14:textId="77777777" w:rsidR="005F5514" w:rsidRPr="00781112" w:rsidRDefault="005F5514" w:rsidP="004369B2">
      <w:pPr>
        <w:rPr>
          <w:color w:val="000000" w:themeColor="text1"/>
        </w:rPr>
      </w:pPr>
      <w:r w:rsidRPr="00781112">
        <w:rPr>
          <w:b/>
          <w:color w:val="000000" w:themeColor="text1"/>
        </w:rPr>
        <w:t>Instructions</w:t>
      </w:r>
    </w:p>
    <w:p w14:paraId="53AF5565" w14:textId="77777777" w:rsidR="005F5514" w:rsidRPr="00781112" w:rsidRDefault="005F5514" w:rsidP="004369B2">
      <w:pPr>
        <w:rPr>
          <w:i/>
          <w:color w:val="000000" w:themeColor="text1"/>
        </w:rPr>
      </w:pPr>
      <w:r w:rsidRPr="00781112">
        <w:rPr>
          <w:i/>
          <w:color w:val="000000" w:themeColor="text1"/>
        </w:rPr>
        <w:t>Sampling is not allowed.</w:t>
      </w:r>
    </w:p>
    <w:p w14:paraId="086BDF8F" w14:textId="77777777" w:rsidR="005F5514" w:rsidRPr="00781112" w:rsidRDefault="00815B9B" w:rsidP="003A6167">
      <w:pPr>
        <w:rPr>
          <w:rFonts w:cs="Arial"/>
          <w:color w:val="000000" w:themeColor="text1"/>
          <w:szCs w:val="16"/>
        </w:rPr>
      </w:pPr>
      <w:r w:rsidRPr="00781112">
        <w:t xml:space="preserve">Data for this indicator are “lag” data. </w:t>
      </w:r>
      <w:r w:rsidR="005F5514" w:rsidRPr="00781112">
        <w:rPr>
          <w:rFonts w:cs="Arial"/>
          <w:color w:val="000000" w:themeColor="text1"/>
          <w:szCs w:val="16"/>
        </w:rPr>
        <w:t xml:space="preserve">Describe the results of the State’s examination of the data for the year before the reporting year (e.g., for </w:t>
      </w:r>
      <w:r w:rsidR="007639D7">
        <w:rPr>
          <w:rFonts w:cs="Arial"/>
          <w:color w:val="000000" w:themeColor="text1"/>
          <w:szCs w:val="16"/>
        </w:rPr>
        <w:t xml:space="preserve">the FFY </w:t>
      </w:r>
      <w:r w:rsidR="0039210B">
        <w:rPr>
          <w:rFonts w:cs="Arial"/>
          <w:color w:val="000000" w:themeColor="text1"/>
          <w:szCs w:val="16"/>
        </w:rPr>
        <w:t>2024</w:t>
      </w:r>
      <w:r w:rsidR="007639D7">
        <w:rPr>
          <w:rFonts w:cs="Arial"/>
          <w:color w:val="000000" w:themeColor="text1"/>
          <w:szCs w:val="16"/>
        </w:rPr>
        <w:t xml:space="preserve"> SPP/APR, use data from </w:t>
      </w:r>
      <w:r w:rsidR="0039210B">
        <w:rPr>
          <w:rFonts w:cs="Arial"/>
          <w:color w:val="000000" w:themeColor="text1"/>
          <w:szCs w:val="16"/>
        </w:rPr>
        <w:t>2023</w:t>
      </w:r>
      <w:r w:rsidR="007639D7">
        <w:rPr>
          <w:rFonts w:cs="Arial"/>
          <w:color w:val="000000" w:themeColor="text1"/>
          <w:szCs w:val="16"/>
        </w:rPr>
        <w:t>-</w:t>
      </w:r>
      <w:r w:rsidR="0039210B">
        <w:rPr>
          <w:rFonts w:cs="Arial"/>
          <w:color w:val="000000" w:themeColor="text1"/>
          <w:szCs w:val="16"/>
        </w:rPr>
        <w:t>2024</w:t>
      </w:r>
      <w:r w:rsidR="005F5514" w:rsidRPr="00781112">
        <w:rPr>
          <w:rFonts w:cs="Arial"/>
          <w:color w:val="000000" w:themeColor="text1"/>
          <w:szCs w:val="16"/>
        </w:rPr>
        <w:t xml:space="preserve">), and compare the results to the target. </w:t>
      </w:r>
    </w:p>
    <w:p w14:paraId="2D6C1896" w14:textId="77777777" w:rsidR="003069AE" w:rsidRPr="00781112" w:rsidRDefault="003069AE" w:rsidP="003069AE">
      <w:r w:rsidRPr="00781112">
        <w:t xml:space="preserve">Include in the denominator the following exiting categories: (a) graduated with a regular high school diploma; (b) graduated with a state-defined alternate diploma; (c) received a certificate; (d) reached maximum age; or (e) dropped out. </w:t>
      </w:r>
    </w:p>
    <w:p w14:paraId="26F80FB4" w14:textId="77777777" w:rsidR="003069AE" w:rsidRPr="00781112" w:rsidRDefault="003069AE" w:rsidP="003A6167">
      <w:r w:rsidRPr="00781112">
        <w:t xml:space="preserve">Do not include in the denominator the number of youths with IEPs who exited special education due to: (a) transferring to regular education; or (b) who moved but are known to be continuing in an educational program. </w:t>
      </w:r>
    </w:p>
    <w:p w14:paraId="157F44BC" w14:textId="77777777" w:rsidR="005F5514" w:rsidRPr="00781112" w:rsidRDefault="005F5514" w:rsidP="003A6167">
      <w:pPr>
        <w:rPr>
          <w:rFonts w:cs="Arial"/>
          <w:color w:val="000000" w:themeColor="text1"/>
          <w:szCs w:val="16"/>
        </w:rPr>
      </w:pPr>
      <w:r w:rsidRPr="00781112">
        <w:rPr>
          <w:rFonts w:cs="Arial"/>
          <w:color w:val="000000" w:themeColor="text1"/>
          <w:szCs w:val="16"/>
        </w:rPr>
        <w:t>Provide a narrative that describes the conditions youth must meet in order to graduate with a regular high school diploma. If the conditions that youth with IEPs must meet in order to graduate with a regular high school diploma are different, please explain.</w:t>
      </w:r>
    </w:p>
    <w:p w14:paraId="4E7C99B1" w14:textId="77777777" w:rsidR="00B34EE6" w:rsidRPr="00781112" w:rsidRDefault="00B0742B" w:rsidP="008645AD">
      <w:pPr>
        <w:pStyle w:val="Heading2"/>
      </w:pPr>
      <w:r w:rsidRPr="00781112">
        <w:t>1</w:t>
      </w:r>
      <w:r w:rsidR="00684B51" w:rsidRPr="00781112">
        <w:t xml:space="preserve"> </w:t>
      </w:r>
      <w:r w:rsidRPr="00781112">
        <w:t xml:space="preserve">- </w:t>
      </w:r>
      <w:r w:rsidR="007742F1" w:rsidRPr="00781112">
        <w:t xml:space="preserve">Indicator </w:t>
      </w:r>
      <w:r w:rsidR="00B34EE6" w:rsidRPr="00781112">
        <w:t xml:space="preserve">Data </w:t>
      </w:r>
    </w:p>
    <w:bookmarkEnd w:id="4"/>
    <w:p w14:paraId="1D20FA63" w14:textId="77777777" w:rsidR="005E59DB" w:rsidRPr="00781112" w:rsidRDefault="005E59DB" w:rsidP="00B65C2C">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1BASELINEDATA"/>
      </w:tblPr>
      <w:tblGrid>
        <w:gridCol w:w="1797"/>
        <w:gridCol w:w="1798"/>
      </w:tblGrid>
      <w:tr w:rsidR="008F3F33" w:rsidRPr="00781112" w14:paraId="4AE0137F" w14:textId="77777777" w:rsidTr="0033429D">
        <w:trPr>
          <w:trHeight w:val="311"/>
          <w:tblHeader/>
        </w:trPr>
        <w:tc>
          <w:tcPr>
            <w:tcW w:w="1797" w:type="dxa"/>
          </w:tcPr>
          <w:p w14:paraId="15326EB3" w14:textId="77777777" w:rsidR="008F3F33" w:rsidRPr="00781112" w:rsidRDefault="008F3F33" w:rsidP="0033429D">
            <w:pPr>
              <w:jc w:val="center"/>
              <w:rPr>
                <w:b/>
                <w:color w:val="000000" w:themeColor="text1"/>
              </w:rPr>
            </w:pPr>
            <w:r w:rsidRPr="00781112">
              <w:rPr>
                <w:rFonts w:cs="Arial"/>
                <w:b/>
                <w:color w:val="000000" w:themeColor="text1"/>
                <w:szCs w:val="16"/>
              </w:rPr>
              <w:t>Baseline Year</w:t>
            </w:r>
          </w:p>
        </w:tc>
        <w:tc>
          <w:tcPr>
            <w:tcW w:w="1798" w:type="dxa"/>
          </w:tcPr>
          <w:p w14:paraId="4ACD8E7C" w14:textId="77777777" w:rsidR="008F3F33" w:rsidRPr="00781112" w:rsidRDefault="008F3F33" w:rsidP="0033429D">
            <w:pPr>
              <w:jc w:val="center"/>
              <w:rPr>
                <w:b/>
                <w:color w:val="000000" w:themeColor="text1"/>
              </w:rPr>
            </w:pPr>
            <w:r w:rsidRPr="00781112">
              <w:rPr>
                <w:b/>
                <w:color w:val="000000" w:themeColor="text1"/>
              </w:rPr>
              <w:t>Baseline Data</w:t>
            </w:r>
          </w:p>
        </w:tc>
      </w:tr>
      <w:tr w:rsidR="008F3F33" w:rsidRPr="00781112" w14:paraId="7E98C392" w14:textId="77777777" w:rsidTr="0033429D">
        <w:trPr>
          <w:trHeight w:val="311"/>
        </w:trPr>
        <w:tc>
          <w:tcPr>
            <w:tcW w:w="1797" w:type="dxa"/>
            <w:vAlign w:val="center"/>
          </w:tcPr>
          <w:p w14:paraId="1158D0EC" w14:textId="77777777" w:rsidR="008F3F33" w:rsidRPr="00781112" w:rsidRDefault="008F3F33" w:rsidP="0033429D">
            <w:pPr>
              <w:jc w:val="center"/>
              <w:rPr>
                <w:b/>
                <w:color w:val="000000" w:themeColor="text1"/>
              </w:rPr>
            </w:pPr>
            <w:r w:rsidRPr="00781112">
              <w:rPr>
                <w:rFonts w:cs="Arial"/>
                <w:color w:val="000000" w:themeColor="text1"/>
                <w:szCs w:val="16"/>
              </w:rPr>
              <w:t>2018</w:t>
            </w:r>
          </w:p>
        </w:tc>
        <w:tc>
          <w:tcPr>
            <w:tcW w:w="1798" w:type="dxa"/>
            <w:vAlign w:val="center"/>
          </w:tcPr>
          <w:p w14:paraId="1753A2C9" w14:textId="77777777" w:rsidR="008F3F33" w:rsidRPr="00781112" w:rsidRDefault="008F3F33" w:rsidP="0033429D">
            <w:pPr>
              <w:jc w:val="center"/>
              <w:rPr>
                <w:b/>
                <w:color w:val="000000" w:themeColor="text1"/>
              </w:rPr>
            </w:pPr>
            <w:r w:rsidRPr="00781112">
              <w:rPr>
                <w:rFonts w:cs="Arial"/>
                <w:color w:val="000000" w:themeColor="text1"/>
                <w:szCs w:val="16"/>
              </w:rPr>
              <w:t>83.21%</w:t>
            </w:r>
          </w:p>
        </w:tc>
      </w:tr>
    </w:tbl>
    <w:p w14:paraId="4593ADFA" w14:textId="77777777" w:rsidR="008F3F33" w:rsidRPr="00781112" w:rsidRDefault="008F3F33" w:rsidP="00B65C2C">
      <w:pPr>
        <w:rPr>
          <w:b/>
          <w:b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HISTDATA"/>
      </w:tblPr>
      <w:tblGrid>
        <w:gridCol w:w="1798"/>
        <w:gridCol w:w="1798"/>
        <w:gridCol w:w="1798"/>
        <w:gridCol w:w="1798"/>
        <w:gridCol w:w="1798"/>
        <w:gridCol w:w="1800"/>
      </w:tblGrid>
      <w:tr w:rsidR="005C29F8" w:rsidRPr="00781112" w14:paraId="7CAF6255" w14:textId="77777777" w:rsidTr="00087EB9">
        <w:trPr>
          <w:trHeight w:val="350"/>
        </w:trPr>
        <w:tc>
          <w:tcPr>
            <w:tcW w:w="833" w:type="pct"/>
            <w:tcBorders>
              <w:bottom w:val="single" w:sz="4" w:space="0" w:color="auto"/>
            </w:tcBorders>
          </w:tcPr>
          <w:p w14:paraId="4D862610" w14:textId="77777777" w:rsidR="007F24E2" w:rsidRPr="00781112" w:rsidRDefault="007F24E2" w:rsidP="00CD2DF5">
            <w:pPr>
              <w:jc w:val="center"/>
              <w:rPr>
                <w:rFonts w:cs="Arial"/>
                <w:b/>
                <w:color w:val="000000" w:themeColor="text1"/>
                <w:szCs w:val="16"/>
              </w:rPr>
            </w:pPr>
            <w:r w:rsidRPr="00781112">
              <w:rPr>
                <w:rFonts w:cs="Arial"/>
                <w:b/>
                <w:color w:val="000000" w:themeColor="text1"/>
                <w:szCs w:val="16"/>
              </w:rPr>
              <w:t>FFY</w:t>
            </w:r>
          </w:p>
        </w:tc>
        <w:tc>
          <w:tcPr>
            <w:tcW w:w="833" w:type="pct"/>
          </w:tcPr>
          <w:p w14:paraId="2E6F1047" w14:textId="77777777" w:rsidR="007F24E2" w:rsidRPr="00781112" w:rsidRDefault="002B7490" w:rsidP="00894709">
            <w:pPr>
              <w:jc w:val="center"/>
              <w:rPr>
                <w:rFonts w:cs="Arial"/>
                <w:b/>
                <w:color w:val="000000" w:themeColor="text1"/>
                <w:szCs w:val="16"/>
              </w:rPr>
            </w:pPr>
            <w:r w:rsidRPr="00781112">
              <w:rPr>
                <w:rFonts w:cs="Arial"/>
                <w:b/>
                <w:color w:val="000000" w:themeColor="text1"/>
                <w:szCs w:val="16"/>
              </w:rPr>
              <w:t>2019</w:t>
            </w:r>
          </w:p>
        </w:tc>
        <w:tc>
          <w:tcPr>
            <w:tcW w:w="833" w:type="pct"/>
          </w:tcPr>
          <w:p w14:paraId="75D02CCF" w14:textId="77777777" w:rsidR="007F24E2" w:rsidRPr="00781112" w:rsidRDefault="002B7490" w:rsidP="00894709">
            <w:pPr>
              <w:jc w:val="center"/>
              <w:rPr>
                <w:rFonts w:cs="Arial"/>
                <w:b/>
                <w:color w:val="000000" w:themeColor="text1"/>
                <w:szCs w:val="16"/>
              </w:rPr>
            </w:pPr>
            <w:r w:rsidRPr="00781112">
              <w:rPr>
                <w:rFonts w:cs="Arial"/>
                <w:b/>
                <w:color w:val="000000" w:themeColor="text1"/>
                <w:szCs w:val="16"/>
              </w:rPr>
              <w:t>2020</w:t>
            </w:r>
          </w:p>
        </w:tc>
        <w:tc>
          <w:tcPr>
            <w:tcW w:w="833" w:type="pct"/>
          </w:tcPr>
          <w:p w14:paraId="4E540A2B" w14:textId="77777777" w:rsidR="007F24E2" w:rsidRPr="00781112" w:rsidRDefault="002B7490" w:rsidP="00894709">
            <w:pPr>
              <w:jc w:val="center"/>
              <w:rPr>
                <w:rFonts w:cs="Arial"/>
                <w:b/>
                <w:color w:val="000000" w:themeColor="text1"/>
                <w:szCs w:val="16"/>
              </w:rPr>
            </w:pPr>
            <w:r w:rsidRPr="00781112">
              <w:rPr>
                <w:rFonts w:cs="Arial"/>
                <w:b/>
                <w:color w:val="000000" w:themeColor="text1"/>
                <w:szCs w:val="16"/>
              </w:rPr>
              <w:t>2021</w:t>
            </w:r>
          </w:p>
        </w:tc>
        <w:tc>
          <w:tcPr>
            <w:tcW w:w="833" w:type="pct"/>
          </w:tcPr>
          <w:p w14:paraId="0916EEF6" w14:textId="77777777" w:rsidR="007F24E2" w:rsidRPr="00781112" w:rsidRDefault="002B7490" w:rsidP="00894709">
            <w:pPr>
              <w:jc w:val="center"/>
              <w:rPr>
                <w:rFonts w:cs="Arial"/>
                <w:b/>
                <w:color w:val="000000" w:themeColor="text1"/>
                <w:szCs w:val="16"/>
              </w:rPr>
            </w:pPr>
            <w:r w:rsidRPr="00781112">
              <w:rPr>
                <w:rFonts w:cs="Arial"/>
                <w:b/>
                <w:color w:val="000000" w:themeColor="text1"/>
                <w:szCs w:val="16"/>
              </w:rPr>
              <w:t>2022</w:t>
            </w:r>
          </w:p>
        </w:tc>
        <w:tc>
          <w:tcPr>
            <w:tcW w:w="834" w:type="pct"/>
          </w:tcPr>
          <w:p w14:paraId="4FDA16F4" w14:textId="77777777" w:rsidR="007F24E2" w:rsidRPr="00781112" w:rsidRDefault="002B7490" w:rsidP="00894709">
            <w:pPr>
              <w:jc w:val="center"/>
              <w:rPr>
                <w:rFonts w:cs="Arial"/>
                <w:b/>
                <w:color w:val="000000" w:themeColor="text1"/>
                <w:szCs w:val="16"/>
              </w:rPr>
            </w:pPr>
            <w:r w:rsidRPr="00781112">
              <w:rPr>
                <w:rFonts w:cs="Arial"/>
                <w:b/>
                <w:color w:val="000000" w:themeColor="text1"/>
                <w:szCs w:val="16"/>
              </w:rPr>
              <w:t>2023</w:t>
            </w:r>
          </w:p>
        </w:tc>
      </w:tr>
      <w:tr w:rsidR="005C29F8" w:rsidRPr="00781112" w14:paraId="21AD282C" w14:textId="77777777" w:rsidTr="0033429D">
        <w:trPr>
          <w:trHeight w:val="357"/>
        </w:trPr>
        <w:tc>
          <w:tcPr>
            <w:tcW w:w="833" w:type="pct"/>
            <w:vAlign w:val="center"/>
          </w:tcPr>
          <w:p w14:paraId="6F5C52F5" w14:textId="77777777" w:rsidR="007F24E2" w:rsidRPr="00781112" w:rsidRDefault="007F24E2" w:rsidP="00BA3DBE">
            <w:pPr>
              <w:jc w:val="center"/>
              <w:rPr>
                <w:rFonts w:cs="Arial"/>
                <w:color w:val="000000" w:themeColor="text1"/>
                <w:szCs w:val="16"/>
              </w:rPr>
            </w:pPr>
            <w:r w:rsidRPr="00781112">
              <w:rPr>
                <w:rFonts w:cs="Arial"/>
                <w:color w:val="000000" w:themeColor="text1"/>
                <w:szCs w:val="16"/>
              </w:rPr>
              <w:t>Target &gt;=</w:t>
            </w:r>
          </w:p>
        </w:tc>
        <w:tc>
          <w:tcPr>
            <w:tcW w:w="833" w:type="pct"/>
            <w:vAlign w:val="center"/>
          </w:tcPr>
          <w:p w14:paraId="43E7796A" w14:textId="77777777" w:rsidR="007F24E2" w:rsidRPr="00781112" w:rsidRDefault="002B7490" w:rsidP="00E0321D">
            <w:pPr>
              <w:jc w:val="center"/>
              <w:rPr>
                <w:rFonts w:cs="Arial"/>
                <w:color w:val="000000" w:themeColor="text1"/>
                <w:szCs w:val="16"/>
              </w:rPr>
            </w:pPr>
            <w:r w:rsidRPr="00781112">
              <w:rPr>
                <w:rFonts w:cs="Arial"/>
                <w:color w:val="000000" w:themeColor="text1"/>
                <w:szCs w:val="16"/>
              </w:rPr>
              <w:t>80.80%</w:t>
            </w:r>
          </w:p>
        </w:tc>
        <w:tc>
          <w:tcPr>
            <w:tcW w:w="833" w:type="pct"/>
            <w:vAlign w:val="center"/>
          </w:tcPr>
          <w:p w14:paraId="2229AD74" w14:textId="77777777" w:rsidR="007F24E2" w:rsidRPr="00781112" w:rsidRDefault="002B7490" w:rsidP="00E0321D">
            <w:pPr>
              <w:jc w:val="center"/>
              <w:rPr>
                <w:rFonts w:cs="Arial"/>
                <w:color w:val="000000" w:themeColor="text1"/>
                <w:szCs w:val="16"/>
              </w:rPr>
            </w:pPr>
            <w:r w:rsidRPr="00781112">
              <w:rPr>
                <w:rFonts w:cs="Arial"/>
                <w:color w:val="000000" w:themeColor="text1"/>
                <w:szCs w:val="16"/>
              </w:rPr>
              <w:t>83.71%</w:t>
            </w:r>
          </w:p>
        </w:tc>
        <w:tc>
          <w:tcPr>
            <w:tcW w:w="833" w:type="pct"/>
            <w:vAlign w:val="center"/>
          </w:tcPr>
          <w:p w14:paraId="33EFFBBB" w14:textId="77777777" w:rsidR="007F24E2" w:rsidRPr="00781112" w:rsidRDefault="002B7490" w:rsidP="00E0321D">
            <w:pPr>
              <w:jc w:val="center"/>
              <w:rPr>
                <w:rFonts w:cs="Arial"/>
                <w:color w:val="000000" w:themeColor="text1"/>
                <w:szCs w:val="16"/>
              </w:rPr>
            </w:pPr>
            <w:r w:rsidRPr="00781112">
              <w:rPr>
                <w:rFonts w:cs="Arial"/>
                <w:color w:val="000000" w:themeColor="text1"/>
                <w:szCs w:val="16"/>
              </w:rPr>
              <w:t>84.21%</w:t>
            </w:r>
          </w:p>
        </w:tc>
        <w:tc>
          <w:tcPr>
            <w:tcW w:w="833" w:type="pct"/>
            <w:vAlign w:val="center"/>
          </w:tcPr>
          <w:p w14:paraId="1898FE71" w14:textId="77777777" w:rsidR="007F24E2" w:rsidRPr="00781112" w:rsidRDefault="002B7490" w:rsidP="00E0321D">
            <w:pPr>
              <w:jc w:val="center"/>
              <w:rPr>
                <w:rFonts w:cs="Arial"/>
                <w:color w:val="000000" w:themeColor="text1"/>
                <w:szCs w:val="16"/>
              </w:rPr>
            </w:pPr>
            <w:r w:rsidRPr="00781112">
              <w:rPr>
                <w:rFonts w:cs="Arial"/>
                <w:color w:val="000000" w:themeColor="text1"/>
                <w:szCs w:val="16"/>
              </w:rPr>
              <w:t>84.71%</w:t>
            </w:r>
          </w:p>
        </w:tc>
        <w:tc>
          <w:tcPr>
            <w:tcW w:w="834" w:type="pct"/>
            <w:vAlign w:val="center"/>
          </w:tcPr>
          <w:p w14:paraId="4065EFCB" w14:textId="77777777" w:rsidR="007F24E2" w:rsidRPr="00781112" w:rsidRDefault="002B7490" w:rsidP="00E0321D">
            <w:pPr>
              <w:jc w:val="center"/>
              <w:rPr>
                <w:rFonts w:cs="Arial"/>
                <w:color w:val="000000" w:themeColor="text1"/>
                <w:szCs w:val="16"/>
              </w:rPr>
            </w:pPr>
            <w:r w:rsidRPr="00781112">
              <w:rPr>
                <w:rFonts w:cs="Arial"/>
                <w:color w:val="000000" w:themeColor="text1"/>
                <w:szCs w:val="16"/>
              </w:rPr>
              <w:t>85.21%</w:t>
            </w:r>
          </w:p>
        </w:tc>
      </w:tr>
      <w:tr w:rsidR="005C29F8" w:rsidRPr="00781112" w14:paraId="5575FBB7" w14:textId="77777777" w:rsidTr="0033429D">
        <w:trPr>
          <w:trHeight w:val="85"/>
        </w:trPr>
        <w:tc>
          <w:tcPr>
            <w:tcW w:w="833" w:type="pct"/>
            <w:vAlign w:val="center"/>
          </w:tcPr>
          <w:p w14:paraId="0AEAE945" w14:textId="77777777" w:rsidR="007F24E2" w:rsidRPr="00781112" w:rsidRDefault="007F24E2" w:rsidP="00BA3DBE">
            <w:pPr>
              <w:jc w:val="center"/>
              <w:rPr>
                <w:rFonts w:cs="Arial"/>
                <w:color w:val="000000" w:themeColor="text1"/>
                <w:szCs w:val="16"/>
              </w:rPr>
            </w:pPr>
            <w:r w:rsidRPr="00781112">
              <w:rPr>
                <w:rFonts w:cs="Arial"/>
                <w:color w:val="000000" w:themeColor="text1"/>
                <w:szCs w:val="16"/>
              </w:rPr>
              <w:t>Data</w:t>
            </w:r>
          </w:p>
        </w:tc>
        <w:tc>
          <w:tcPr>
            <w:tcW w:w="833" w:type="pct"/>
            <w:vAlign w:val="center"/>
          </w:tcPr>
          <w:p w14:paraId="7103A1E7" w14:textId="77777777" w:rsidR="007F24E2" w:rsidRPr="00781112" w:rsidRDefault="002B7490" w:rsidP="00E0321D">
            <w:pPr>
              <w:jc w:val="center"/>
              <w:rPr>
                <w:rFonts w:cs="Arial"/>
                <w:color w:val="000000" w:themeColor="text1"/>
                <w:szCs w:val="16"/>
              </w:rPr>
            </w:pPr>
            <w:r w:rsidRPr="00781112">
              <w:rPr>
                <w:rFonts w:cs="Arial"/>
                <w:color w:val="000000" w:themeColor="text1"/>
                <w:szCs w:val="16"/>
              </w:rPr>
              <w:t>78.70%</w:t>
            </w:r>
          </w:p>
        </w:tc>
        <w:tc>
          <w:tcPr>
            <w:tcW w:w="833" w:type="pct"/>
            <w:vAlign w:val="center"/>
          </w:tcPr>
          <w:p w14:paraId="336710B5" w14:textId="77777777" w:rsidR="007F24E2" w:rsidRPr="00781112" w:rsidRDefault="002B7490" w:rsidP="00E0321D">
            <w:pPr>
              <w:jc w:val="center"/>
              <w:rPr>
                <w:rFonts w:cs="Arial"/>
                <w:color w:val="000000" w:themeColor="text1"/>
                <w:szCs w:val="16"/>
              </w:rPr>
            </w:pPr>
            <w:r w:rsidRPr="00781112">
              <w:rPr>
                <w:rFonts w:cs="Arial"/>
                <w:color w:val="000000" w:themeColor="text1"/>
                <w:szCs w:val="16"/>
              </w:rPr>
              <w:t>83.97%</w:t>
            </w:r>
          </w:p>
        </w:tc>
        <w:tc>
          <w:tcPr>
            <w:tcW w:w="833" w:type="pct"/>
            <w:tcBorders>
              <w:bottom w:val="single" w:sz="4" w:space="0" w:color="auto"/>
            </w:tcBorders>
            <w:vAlign w:val="center"/>
          </w:tcPr>
          <w:p w14:paraId="13F8B7EA" w14:textId="77777777" w:rsidR="007F24E2" w:rsidRPr="00781112" w:rsidRDefault="002B7490" w:rsidP="00E0321D">
            <w:pPr>
              <w:jc w:val="center"/>
              <w:rPr>
                <w:rFonts w:cs="Arial"/>
                <w:color w:val="000000" w:themeColor="text1"/>
                <w:szCs w:val="16"/>
              </w:rPr>
            </w:pPr>
            <w:r w:rsidRPr="00781112">
              <w:rPr>
                <w:rFonts w:cs="Arial"/>
                <w:color w:val="000000" w:themeColor="text1"/>
                <w:szCs w:val="16"/>
              </w:rPr>
              <w:t>84.38%</w:t>
            </w:r>
          </w:p>
        </w:tc>
        <w:tc>
          <w:tcPr>
            <w:tcW w:w="833" w:type="pct"/>
            <w:tcBorders>
              <w:bottom w:val="single" w:sz="4" w:space="0" w:color="auto"/>
            </w:tcBorders>
            <w:vAlign w:val="center"/>
          </w:tcPr>
          <w:p w14:paraId="47B43C69" w14:textId="77777777" w:rsidR="007F24E2" w:rsidRPr="00781112" w:rsidRDefault="002B7490" w:rsidP="00E0321D">
            <w:pPr>
              <w:jc w:val="center"/>
              <w:rPr>
                <w:rFonts w:cs="Arial"/>
                <w:color w:val="000000" w:themeColor="text1"/>
                <w:szCs w:val="16"/>
              </w:rPr>
            </w:pPr>
            <w:r w:rsidRPr="00781112">
              <w:rPr>
                <w:rFonts w:cs="Arial"/>
                <w:color w:val="000000" w:themeColor="text1"/>
                <w:szCs w:val="16"/>
              </w:rPr>
              <w:t>83.51%</w:t>
            </w:r>
          </w:p>
        </w:tc>
        <w:tc>
          <w:tcPr>
            <w:tcW w:w="834" w:type="pct"/>
            <w:tcBorders>
              <w:bottom w:val="single" w:sz="4" w:space="0" w:color="auto"/>
            </w:tcBorders>
            <w:vAlign w:val="center"/>
          </w:tcPr>
          <w:p w14:paraId="687E6F05" w14:textId="77777777" w:rsidR="007F24E2" w:rsidRPr="00781112" w:rsidRDefault="002B7490" w:rsidP="00E0321D">
            <w:pPr>
              <w:jc w:val="center"/>
              <w:rPr>
                <w:rFonts w:cs="Arial"/>
                <w:color w:val="000000" w:themeColor="text1"/>
                <w:szCs w:val="16"/>
              </w:rPr>
            </w:pPr>
            <w:r w:rsidRPr="00781112">
              <w:rPr>
                <w:rFonts w:cs="Arial"/>
                <w:color w:val="000000" w:themeColor="text1"/>
                <w:szCs w:val="16"/>
              </w:rPr>
              <w:t>84.22%</w:t>
            </w:r>
          </w:p>
        </w:tc>
      </w:tr>
    </w:tbl>
    <w:p w14:paraId="2A4680B6" w14:textId="77777777" w:rsidR="00654A4B" w:rsidRPr="00781112" w:rsidRDefault="00654A4B" w:rsidP="00B65C2C">
      <w:pPr>
        <w:rPr>
          <w:color w:val="000000" w:themeColor="text1"/>
        </w:rPr>
      </w:pPr>
    </w:p>
    <w:p w14:paraId="6DC488CD" w14:textId="77777777" w:rsidR="005E59DB" w:rsidRPr="00781112" w:rsidRDefault="005E59DB" w:rsidP="00B65C2C">
      <w:pPr>
        <w:rPr>
          <w:b/>
          <w:color w:val="000000" w:themeColor="text1"/>
        </w:rPr>
      </w:pPr>
      <w:r w:rsidRPr="00781112">
        <w:rPr>
          <w:b/>
          <w:color w:val="000000" w:themeColor="text1"/>
        </w:rPr>
        <w:t>Targets</w:t>
      </w:r>
    </w:p>
    <w:tbl>
      <w:tblPr>
        <w:tblW w:w="2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TARGETS"/>
      </w:tblPr>
      <w:tblGrid>
        <w:gridCol w:w="1157"/>
        <w:gridCol w:w="1612"/>
        <w:gridCol w:w="1612"/>
      </w:tblGrid>
      <w:tr w:rsidR="00A80E97" w:rsidRPr="00781112" w14:paraId="3978ED97" w14:textId="77777777" w:rsidTr="00924AD9">
        <w:trPr>
          <w:trHeight w:val="366"/>
        </w:trPr>
        <w:tc>
          <w:tcPr>
            <w:tcW w:w="1320" w:type="pct"/>
            <w:tcBorders>
              <w:bottom w:val="single" w:sz="4" w:space="0" w:color="auto"/>
            </w:tcBorders>
          </w:tcPr>
          <w:p w14:paraId="27C113A4" w14:textId="77777777" w:rsidR="00A80E97" w:rsidRPr="00781112" w:rsidRDefault="00A80E97" w:rsidP="00373F78">
            <w:pPr>
              <w:jc w:val="center"/>
              <w:rPr>
                <w:b/>
                <w:color w:val="000000" w:themeColor="text1"/>
              </w:rPr>
            </w:pPr>
            <w:r w:rsidRPr="00781112">
              <w:rPr>
                <w:b/>
                <w:color w:val="000000" w:themeColor="text1"/>
              </w:rPr>
              <w:t>FFY</w:t>
            </w:r>
          </w:p>
        </w:tc>
        <w:tc>
          <w:tcPr>
            <w:tcW w:w="1840" w:type="pct"/>
          </w:tcPr>
          <w:p w14:paraId="351B3519" w14:textId="77777777" w:rsidR="00A80E97" w:rsidRPr="00781112" w:rsidRDefault="00A80E97" w:rsidP="00373F78">
            <w:pPr>
              <w:jc w:val="center"/>
              <w:rPr>
                <w:b/>
                <w:color w:val="000000" w:themeColor="text1"/>
              </w:rPr>
            </w:pPr>
            <w:r w:rsidRPr="00781112">
              <w:rPr>
                <w:b/>
                <w:color w:val="000000" w:themeColor="text1"/>
              </w:rPr>
              <w:t>2024</w:t>
            </w:r>
          </w:p>
        </w:tc>
        <w:tc>
          <w:tcPr>
            <w:tcW w:w="1840" w:type="pct"/>
          </w:tcPr>
          <w:p w14:paraId="6FD0D499" w14:textId="77777777" w:rsidR="00A80E97" w:rsidRPr="00781112" w:rsidRDefault="00A80E97" w:rsidP="00373F78">
            <w:pPr>
              <w:jc w:val="center"/>
              <w:rPr>
                <w:b/>
                <w:color w:val="000000" w:themeColor="text1"/>
              </w:rPr>
            </w:pPr>
            <w:r w:rsidRPr="00781112">
              <w:rPr>
                <w:rFonts w:cs="Arial"/>
                <w:b/>
                <w:color w:val="000000" w:themeColor="text1"/>
                <w:szCs w:val="16"/>
              </w:rPr>
              <w:t>2025</w:t>
            </w:r>
          </w:p>
        </w:tc>
      </w:tr>
      <w:tr w:rsidR="00A80E97" w:rsidRPr="00781112" w14:paraId="3B1C8627" w14:textId="77777777" w:rsidTr="00924AD9">
        <w:trPr>
          <w:trHeight w:val="374"/>
        </w:trPr>
        <w:tc>
          <w:tcPr>
            <w:tcW w:w="1320" w:type="pct"/>
            <w:vAlign w:val="center"/>
          </w:tcPr>
          <w:p w14:paraId="6F3F8502" w14:textId="77777777" w:rsidR="00A80E97" w:rsidRPr="00781112" w:rsidRDefault="00A80E97" w:rsidP="00BA3DBE">
            <w:pPr>
              <w:jc w:val="center"/>
              <w:rPr>
                <w:rFonts w:cs="Arial"/>
                <w:color w:val="000000" w:themeColor="text1"/>
                <w:szCs w:val="16"/>
              </w:rPr>
            </w:pPr>
            <w:r w:rsidRPr="00781112">
              <w:rPr>
                <w:rFonts w:cs="Arial"/>
                <w:color w:val="000000" w:themeColor="text1"/>
                <w:szCs w:val="16"/>
              </w:rPr>
              <w:t>Target &gt;=</w:t>
            </w:r>
          </w:p>
        </w:tc>
        <w:tc>
          <w:tcPr>
            <w:tcW w:w="1840" w:type="pct"/>
            <w:vAlign w:val="center"/>
          </w:tcPr>
          <w:p w14:paraId="72DE7EAE" w14:textId="77777777" w:rsidR="00A80E97" w:rsidRPr="00781112" w:rsidRDefault="00A80E97" w:rsidP="00373F78">
            <w:pPr>
              <w:jc w:val="center"/>
              <w:rPr>
                <w:rFonts w:cs="Arial"/>
                <w:color w:val="000000" w:themeColor="text1"/>
                <w:szCs w:val="16"/>
              </w:rPr>
            </w:pPr>
            <w:r w:rsidRPr="00781112">
              <w:rPr>
                <w:rFonts w:cs="Arial"/>
                <w:color w:val="000000" w:themeColor="text1"/>
                <w:szCs w:val="16"/>
              </w:rPr>
              <w:t>85.71%</w:t>
            </w:r>
          </w:p>
        </w:tc>
        <w:tc>
          <w:tcPr>
            <w:tcW w:w="1840" w:type="pct"/>
          </w:tcPr>
          <w:p w14:paraId="5CAEDB36" w14:textId="77777777" w:rsidR="00A80E97" w:rsidRPr="00781112" w:rsidRDefault="00A80E97" w:rsidP="00373F78">
            <w:pPr>
              <w:jc w:val="center"/>
              <w:rPr>
                <w:rFonts w:cs="Arial"/>
                <w:color w:val="000000" w:themeColor="text1"/>
                <w:szCs w:val="16"/>
              </w:rPr>
            </w:pPr>
            <w:r w:rsidRPr="00781112">
              <w:rPr>
                <w:color w:val="000000" w:themeColor="text1"/>
                <w:szCs w:val="16"/>
              </w:rPr>
              <w:t>86.21%</w:t>
            </w:r>
          </w:p>
        </w:tc>
      </w:tr>
    </w:tbl>
    <w:p w14:paraId="50535059" w14:textId="77777777" w:rsidR="00654A4B" w:rsidRPr="00781112" w:rsidRDefault="00654A4B" w:rsidP="004369B2">
      <w:pPr>
        <w:rPr>
          <w:color w:val="000000" w:themeColor="text1"/>
        </w:rPr>
      </w:pPr>
    </w:p>
    <w:p w14:paraId="273E396E" w14:textId="77777777" w:rsidR="005E59DB" w:rsidRPr="00781112" w:rsidRDefault="005E59DB">
      <w:pPr>
        <w:rPr>
          <w:b/>
          <w:color w:val="000000" w:themeColor="text1"/>
        </w:rPr>
      </w:pPr>
      <w:r w:rsidRPr="00781112">
        <w:rPr>
          <w:b/>
          <w:color w:val="000000" w:themeColor="text1"/>
        </w:rPr>
        <w:t xml:space="preserve">Targets: Description of Stakeholder Input </w:t>
      </w:r>
    </w:p>
    <w:p w14:paraId="192DF54C" w14:textId="77777777" w:rsidR="0051170F" w:rsidRPr="00781112" w:rsidRDefault="0051170F" w:rsidP="004369B2">
      <w:pPr>
        <w:rPr>
          <w:rFonts w:cs="Arial"/>
          <w:color w:val="000000" w:themeColor="text1"/>
          <w:szCs w:val="16"/>
        </w:rPr>
      </w:pPr>
      <w:r w:rsidRPr="00781112">
        <w:rPr>
          <w:rFonts w:cs="Arial"/>
          <w:color w:val="000000" w:themeColor="text1"/>
          <w:szCs w:val="16"/>
        </w:rPr>
        <w:t>WVDE/OSE maintains robust stakeholder engagement through multiple communication and collaboration channels:</w:t>
      </w:r>
    </w:p>
    <w:p w14:paraId="13283144" w14:textId="77777777" w:rsidR="00CA787A" w:rsidRDefault="003169E9">
      <w:r>
        <w:rPr>
          <w:color w:val="000000"/>
        </w:rPr>
        <w:t>*DIRECT COMMUNICATION/CONSULTATION*</w:t>
      </w:r>
    </w:p>
    <w:p w14:paraId="07F6AA37" w14:textId="77777777" w:rsidR="00CA787A" w:rsidRDefault="003169E9">
      <w:r>
        <w:rPr>
          <w:color w:val="000000"/>
        </w:rPr>
        <w:t>—Engaging in one-on-one calls with parents, advocates, educators, and community stakeholders.</w:t>
      </w:r>
    </w:p>
    <w:p w14:paraId="1CECAF6A" w14:textId="77777777" w:rsidR="00CA787A" w:rsidRDefault="003169E9">
      <w:r>
        <w:rPr>
          <w:color w:val="000000"/>
        </w:rPr>
        <w:t>—Distributing emails and surveys to solicit input from diverse stakeholder groups.</w:t>
      </w:r>
    </w:p>
    <w:p w14:paraId="3F122829" w14:textId="77777777" w:rsidR="00CA787A" w:rsidRDefault="003169E9">
      <w:r>
        <w:rPr>
          <w:color w:val="000000"/>
        </w:rPr>
        <w:t>—Hosting bi-monthly secondary transition office hours to address Indicator 13 compliance and results, and to provide technical assistance for IEP development.</w:t>
      </w:r>
    </w:p>
    <w:p w14:paraId="369B7EA4" w14:textId="77777777" w:rsidR="00CA787A" w:rsidRDefault="003169E9">
      <w:r>
        <w:rPr>
          <w:color w:val="000000"/>
        </w:rPr>
        <w:t>—Monthly virtual meetings with stakeholders to identify and troubleshoot areas of concern throughout the state.</w:t>
      </w:r>
    </w:p>
    <w:p w14:paraId="065639F1" w14:textId="77777777" w:rsidR="00CA787A" w:rsidRDefault="003169E9">
      <w:r>
        <w:rPr>
          <w:color w:val="000000"/>
        </w:rPr>
        <w:t>*INFORMATION SHARING*</w:t>
      </w:r>
    </w:p>
    <w:p w14:paraId="34F9764B" w14:textId="77777777" w:rsidR="00CA787A" w:rsidRDefault="003169E9">
      <w:r>
        <w:rPr>
          <w:color w:val="000000"/>
        </w:rPr>
        <w:t>—Utilizing a dedicated Microsoft Teams platform for communication with LEAs.</w:t>
      </w:r>
    </w:p>
    <w:p w14:paraId="613BE75F" w14:textId="77777777" w:rsidR="00CA787A" w:rsidRDefault="003169E9">
      <w:r>
        <w:rPr>
          <w:color w:val="000000"/>
        </w:rPr>
        <w:t>—Maintaining a public input form on the WVDE website specifically for SSIP feedback.</w:t>
      </w:r>
    </w:p>
    <w:p w14:paraId="52281654" w14:textId="77777777" w:rsidR="00CA787A" w:rsidRDefault="003169E9">
      <w:r>
        <w:rPr>
          <w:color w:val="000000"/>
        </w:rPr>
        <w:t xml:space="preserve">—Collecting input from parents, students, and school personnel as required components of monitoring activities. </w:t>
      </w:r>
    </w:p>
    <w:p w14:paraId="66ED8727" w14:textId="77777777" w:rsidR="00CA787A" w:rsidRDefault="003169E9">
      <w:r>
        <w:rPr>
          <w:color w:val="000000"/>
        </w:rPr>
        <w:t>—Facilitating cross-office communication and coordination on general and special education initiatives.</w:t>
      </w:r>
    </w:p>
    <w:p w14:paraId="4166DFEC" w14:textId="77777777" w:rsidR="00CA787A" w:rsidRDefault="003169E9">
      <w:r>
        <w:rPr>
          <w:color w:val="000000"/>
        </w:rPr>
        <w:t>*COLLABORATIVE PARTNERSHIPS*</w:t>
      </w:r>
    </w:p>
    <w:p w14:paraId="22A94B22" w14:textId="77777777" w:rsidR="00CA787A" w:rsidRDefault="003169E9">
      <w:r>
        <w:rPr>
          <w:color w:val="000000"/>
        </w:rPr>
        <w:t>—Engaging in ongoing meetings and interagency teams dedicated to enhancing outcomes for individuals with disabilities.</w:t>
      </w:r>
    </w:p>
    <w:p w14:paraId="53B42E7E" w14:textId="77777777" w:rsidR="00CA787A" w:rsidRDefault="003169E9">
      <w:r>
        <w:rPr>
          <w:color w:val="000000"/>
        </w:rPr>
        <w:t>—Ensuring the state director's active participation in all WVACEEC meetings, including involvement in sessions, capacity-building efforts, and feedback collection from LEAs, parents, and community organizations.</w:t>
      </w:r>
    </w:p>
    <w:p w14:paraId="42687B21" w14:textId="77777777" w:rsidR="00CA787A" w:rsidRDefault="003169E9">
      <w:r>
        <w:rPr>
          <w:color w:val="000000"/>
        </w:rPr>
        <w:t>—Maintaining regular meetings and collaborative relationships with legislators, advocacy organizations, educator associations, and other stakeholders to strengthen stakeholder knowledge of IDEA procedures, improve SEA-stakeholder dialogue, and collaboratively develop strategies for ongoing improvement toward special education goals (e.g., the Developmental Disability Council (DD Council), Statewide Independent Living Council (SILC), State Rehabilitation Council (SRC), Employment First Task Force, Olmstead Council).</w:t>
      </w:r>
    </w:p>
    <w:p w14:paraId="3D487548" w14:textId="77777777" w:rsidR="000C24C2" w:rsidRPr="00781112" w:rsidRDefault="002B7490" w:rsidP="001011BB">
      <w:pPr>
        <w:rPr>
          <w:rFonts w:cs="Arial"/>
          <w:color w:val="000000" w:themeColor="text1"/>
          <w:szCs w:val="16"/>
        </w:rPr>
      </w:pPr>
      <w:r w:rsidRPr="00781112">
        <w:rPr>
          <w:rFonts w:cs="Arial"/>
          <w:color w:val="000000" w:themeColor="text1"/>
          <w:szCs w:val="16"/>
        </w:rPr>
        <w:lastRenderedPageBreak/>
        <w:t>Stakeholders did not indicate any interest in revising the Graduation targets during meetings held throughout the reporting period. However, WVDE/OSE remains open to considering any concerns or recommendations stakeholders may have regarding these targets.</w:t>
      </w:r>
    </w:p>
    <w:p w14:paraId="1FC83243" w14:textId="77777777" w:rsidR="00654A4B" w:rsidRPr="00781112" w:rsidRDefault="00654A4B" w:rsidP="00B65C2C">
      <w:pPr>
        <w:rPr>
          <w:color w:val="000000" w:themeColor="text1"/>
        </w:rPr>
      </w:pPr>
    </w:p>
    <w:p w14:paraId="5E3CE56B" w14:textId="77777777" w:rsidR="00995737" w:rsidRPr="00781112" w:rsidRDefault="00995737" w:rsidP="00B65C2C">
      <w:pPr>
        <w:rPr>
          <w:b/>
          <w:bCs/>
          <w:color w:val="000000" w:themeColor="text1"/>
        </w:rPr>
      </w:pPr>
      <w:r w:rsidRPr="00781112">
        <w:rPr>
          <w:b/>
          <w:bCs/>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PREPOPDATA"/>
      </w:tblPr>
      <w:tblGrid>
        <w:gridCol w:w="2909"/>
        <w:gridCol w:w="2130"/>
        <w:gridCol w:w="3507"/>
        <w:gridCol w:w="2244"/>
      </w:tblGrid>
      <w:tr w:rsidR="005C29F8" w:rsidRPr="00781112" w14:paraId="6A41B07C" w14:textId="77777777" w:rsidTr="00044B5C">
        <w:trPr>
          <w:trHeight w:val="372"/>
          <w:tblHeader/>
        </w:trPr>
        <w:tc>
          <w:tcPr>
            <w:tcW w:w="1348" w:type="pct"/>
          </w:tcPr>
          <w:p w14:paraId="613A12BC" w14:textId="77777777"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Source</w:t>
            </w:r>
          </w:p>
        </w:tc>
        <w:tc>
          <w:tcPr>
            <w:tcW w:w="987" w:type="pct"/>
          </w:tcPr>
          <w:p w14:paraId="0BEDA079" w14:textId="77777777"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Date</w:t>
            </w:r>
          </w:p>
        </w:tc>
        <w:tc>
          <w:tcPr>
            <w:tcW w:w="1625" w:type="pct"/>
          </w:tcPr>
          <w:p w14:paraId="36320432" w14:textId="77777777"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Description</w:t>
            </w:r>
          </w:p>
        </w:tc>
        <w:tc>
          <w:tcPr>
            <w:tcW w:w="1040" w:type="pct"/>
          </w:tcPr>
          <w:p w14:paraId="37D7BB85" w14:textId="77777777"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Data</w:t>
            </w:r>
          </w:p>
        </w:tc>
      </w:tr>
      <w:tr w:rsidR="005A75AD" w:rsidRPr="00781112" w14:paraId="7856A282" w14:textId="77777777" w:rsidTr="00044B5C">
        <w:trPr>
          <w:trHeight w:val="380"/>
        </w:trPr>
        <w:tc>
          <w:tcPr>
            <w:tcW w:w="1348" w:type="pct"/>
          </w:tcPr>
          <w:p w14:paraId="751C76B6" w14:textId="77777777" w:rsidR="005A75AD" w:rsidRPr="00781112" w:rsidRDefault="005A75AD" w:rsidP="005A75AD">
            <w:pPr>
              <w:jc w:val="center"/>
              <w:rPr>
                <w:rFonts w:cs="Arial"/>
                <w:color w:val="000000" w:themeColor="text1"/>
                <w:szCs w:val="16"/>
              </w:rPr>
            </w:pPr>
            <w:r w:rsidRPr="00781112">
              <w:rPr>
                <w:rFonts w:cs="Arial"/>
                <w:color w:val="000000" w:themeColor="text1"/>
                <w:szCs w:val="16"/>
              </w:rPr>
              <w:t>SY 2023-24 Children with Disabilities (IDEA) Exiting Special Education (</w:t>
            </w:r>
            <w:proofErr w:type="spellStart"/>
            <w:r w:rsidRPr="00781112">
              <w:rPr>
                <w:rFonts w:cs="Arial"/>
                <w:color w:val="000000" w:themeColor="text1"/>
                <w:szCs w:val="16"/>
              </w:rPr>
              <w:t>EDFacts</w:t>
            </w:r>
            <w:proofErr w:type="spellEnd"/>
            <w:r w:rsidRPr="00781112">
              <w:rPr>
                <w:rFonts w:cs="Arial"/>
                <w:color w:val="000000" w:themeColor="text1"/>
                <w:szCs w:val="16"/>
              </w:rPr>
              <w:t xml:space="preserve"> file spec FS009; Data group 85)</w:t>
            </w:r>
          </w:p>
        </w:tc>
        <w:tc>
          <w:tcPr>
            <w:tcW w:w="987" w:type="pct"/>
          </w:tcPr>
          <w:p w14:paraId="60031302" w14:textId="77777777" w:rsidR="005A75AD" w:rsidRPr="00781112" w:rsidRDefault="005A75AD" w:rsidP="005A75AD">
            <w:pPr>
              <w:jc w:val="center"/>
              <w:rPr>
                <w:rFonts w:cs="Arial"/>
                <w:color w:val="000000" w:themeColor="text1"/>
                <w:szCs w:val="16"/>
              </w:rPr>
            </w:pPr>
            <w:r w:rsidRPr="00781112">
              <w:rPr>
                <w:rFonts w:cs="Arial"/>
                <w:color w:val="000000" w:themeColor="text1"/>
                <w:szCs w:val="16"/>
              </w:rPr>
              <w:t>03/05/2025</w:t>
            </w:r>
          </w:p>
        </w:tc>
        <w:tc>
          <w:tcPr>
            <w:tcW w:w="1625" w:type="pct"/>
          </w:tcPr>
          <w:p w14:paraId="70FD2D55" w14:textId="77777777" w:rsidR="005A75AD" w:rsidRPr="00781112" w:rsidRDefault="005A75AD" w:rsidP="005A75AD">
            <w:pPr>
              <w:rPr>
                <w:rFonts w:cs="Arial"/>
                <w:color w:val="000000" w:themeColor="text1"/>
                <w:szCs w:val="16"/>
              </w:rPr>
            </w:pPr>
            <w:r w:rsidRPr="00781112">
              <w:rPr>
                <w:rFonts w:cs="Arial"/>
                <w:szCs w:val="16"/>
              </w:rPr>
              <w:t>Number of youth with IEPs (ages 14-21) who exited special education by graduating with a regular high school diploma (a)</w:t>
            </w:r>
          </w:p>
        </w:tc>
        <w:tc>
          <w:tcPr>
            <w:tcW w:w="1040" w:type="pct"/>
          </w:tcPr>
          <w:p w14:paraId="3BC10E84" w14:textId="77777777" w:rsidR="005A75AD" w:rsidRPr="00781112" w:rsidRDefault="005A75AD" w:rsidP="005A75AD">
            <w:pPr>
              <w:jc w:val="center"/>
              <w:rPr>
                <w:rFonts w:cs="Arial"/>
                <w:color w:val="000000" w:themeColor="text1"/>
                <w:szCs w:val="16"/>
              </w:rPr>
            </w:pPr>
            <w:r w:rsidRPr="00781112">
              <w:rPr>
                <w:rFonts w:cs="Arial"/>
                <w:color w:val="000000" w:themeColor="text1"/>
                <w:szCs w:val="16"/>
              </w:rPr>
              <w:t>2,395</w:t>
            </w:r>
          </w:p>
        </w:tc>
      </w:tr>
      <w:tr w:rsidR="005A75AD" w:rsidRPr="00781112" w14:paraId="20BD96EB" w14:textId="77777777" w:rsidTr="00044B5C">
        <w:trPr>
          <w:trHeight w:val="380"/>
        </w:trPr>
        <w:tc>
          <w:tcPr>
            <w:tcW w:w="1348" w:type="pct"/>
          </w:tcPr>
          <w:p w14:paraId="2EA55D26" w14:textId="77777777" w:rsidR="005A75AD" w:rsidRPr="00781112" w:rsidRDefault="005A75AD" w:rsidP="005A75AD">
            <w:pPr>
              <w:jc w:val="center"/>
              <w:rPr>
                <w:rFonts w:cs="Arial"/>
                <w:color w:val="000000" w:themeColor="text1"/>
                <w:szCs w:val="16"/>
              </w:rPr>
            </w:pPr>
            <w:r w:rsidRPr="00781112">
              <w:rPr>
                <w:rFonts w:cs="Arial"/>
                <w:color w:val="000000" w:themeColor="text1"/>
                <w:szCs w:val="16"/>
              </w:rPr>
              <w:t>SY 2023-24 Children with Disabilities (IDEA) Exiting Special Education (</w:t>
            </w:r>
            <w:proofErr w:type="spellStart"/>
            <w:r w:rsidRPr="00781112">
              <w:rPr>
                <w:rFonts w:cs="Arial"/>
                <w:color w:val="000000" w:themeColor="text1"/>
                <w:szCs w:val="16"/>
              </w:rPr>
              <w:t>EDFacts</w:t>
            </w:r>
            <w:proofErr w:type="spellEnd"/>
            <w:r w:rsidRPr="00781112">
              <w:rPr>
                <w:rFonts w:cs="Arial"/>
                <w:color w:val="000000" w:themeColor="text1"/>
                <w:szCs w:val="16"/>
              </w:rPr>
              <w:t xml:space="preserve"> file spec FS009; Data group 85)</w:t>
            </w:r>
          </w:p>
        </w:tc>
        <w:tc>
          <w:tcPr>
            <w:tcW w:w="987" w:type="pct"/>
          </w:tcPr>
          <w:p w14:paraId="18F34177" w14:textId="77777777" w:rsidR="005A75AD" w:rsidRPr="00781112" w:rsidRDefault="005A75AD" w:rsidP="005A75AD">
            <w:pPr>
              <w:jc w:val="center"/>
              <w:rPr>
                <w:rFonts w:cs="Arial"/>
                <w:color w:val="000000" w:themeColor="text1"/>
                <w:szCs w:val="16"/>
              </w:rPr>
            </w:pPr>
            <w:r w:rsidRPr="00781112">
              <w:rPr>
                <w:rFonts w:cs="Arial"/>
                <w:color w:val="000000" w:themeColor="text1"/>
                <w:szCs w:val="16"/>
              </w:rPr>
              <w:t>03/05/2025</w:t>
            </w:r>
          </w:p>
        </w:tc>
        <w:tc>
          <w:tcPr>
            <w:tcW w:w="1625" w:type="pct"/>
          </w:tcPr>
          <w:p w14:paraId="472330B8" w14:textId="77777777" w:rsidR="005A75AD" w:rsidRPr="00781112" w:rsidRDefault="005A75AD" w:rsidP="005A75AD">
            <w:pPr>
              <w:rPr>
                <w:rFonts w:cs="Arial"/>
                <w:color w:val="000000" w:themeColor="text1"/>
                <w:szCs w:val="16"/>
              </w:rPr>
            </w:pPr>
            <w:r w:rsidRPr="00781112">
              <w:rPr>
                <w:rFonts w:cs="Arial"/>
                <w:szCs w:val="16"/>
              </w:rPr>
              <w:t>Number of youth with IEPs (ages 14-21) who exited special education by graduating with a state-defined alternate diploma (b)</w:t>
            </w:r>
          </w:p>
        </w:tc>
        <w:tc>
          <w:tcPr>
            <w:tcW w:w="1040" w:type="pct"/>
          </w:tcPr>
          <w:p w14:paraId="2C10EF6B" w14:textId="77777777" w:rsidR="005A75AD" w:rsidRPr="00781112" w:rsidRDefault="005A75AD" w:rsidP="005A75AD">
            <w:pPr>
              <w:jc w:val="center"/>
              <w:rPr>
                <w:rFonts w:cs="Arial"/>
                <w:color w:val="000000" w:themeColor="text1"/>
                <w:szCs w:val="16"/>
              </w:rPr>
            </w:pPr>
            <w:r w:rsidRPr="00781112">
              <w:rPr>
                <w:rFonts w:cs="Arial"/>
                <w:color w:val="000000" w:themeColor="text1"/>
                <w:szCs w:val="16"/>
              </w:rPr>
              <w:t>244</w:t>
            </w:r>
          </w:p>
        </w:tc>
      </w:tr>
      <w:tr w:rsidR="005A75AD" w:rsidRPr="00781112" w14:paraId="79F56BF2" w14:textId="77777777" w:rsidTr="00044B5C">
        <w:trPr>
          <w:trHeight w:val="380"/>
        </w:trPr>
        <w:tc>
          <w:tcPr>
            <w:tcW w:w="1348" w:type="pct"/>
          </w:tcPr>
          <w:p w14:paraId="24536DF2" w14:textId="77777777" w:rsidR="005A75AD" w:rsidRPr="00781112" w:rsidRDefault="005A75AD" w:rsidP="005A75AD">
            <w:pPr>
              <w:jc w:val="center"/>
              <w:rPr>
                <w:rFonts w:cs="Arial"/>
                <w:color w:val="000000" w:themeColor="text1"/>
                <w:szCs w:val="16"/>
              </w:rPr>
            </w:pPr>
            <w:r w:rsidRPr="00781112">
              <w:rPr>
                <w:rFonts w:cs="Arial"/>
                <w:color w:val="000000" w:themeColor="text1"/>
                <w:szCs w:val="16"/>
              </w:rPr>
              <w:t>SY 2023-24 Children with Disabilities (IDEA) Exiting Special Education (</w:t>
            </w:r>
            <w:proofErr w:type="spellStart"/>
            <w:r w:rsidRPr="00781112">
              <w:rPr>
                <w:rFonts w:cs="Arial"/>
                <w:color w:val="000000" w:themeColor="text1"/>
                <w:szCs w:val="16"/>
              </w:rPr>
              <w:t>EDFacts</w:t>
            </w:r>
            <w:proofErr w:type="spellEnd"/>
            <w:r w:rsidRPr="00781112">
              <w:rPr>
                <w:rFonts w:cs="Arial"/>
                <w:color w:val="000000" w:themeColor="text1"/>
                <w:szCs w:val="16"/>
              </w:rPr>
              <w:t xml:space="preserve"> file spec FS009; Data group 85)</w:t>
            </w:r>
          </w:p>
        </w:tc>
        <w:tc>
          <w:tcPr>
            <w:tcW w:w="987" w:type="pct"/>
          </w:tcPr>
          <w:p w14:paraId="2FAD95B6" w14:textId="77777777" w:rsidR="005A75AD" w:rsidRPr="00781112" w:rsidRDefault="005A75AD" w:rsidP="005A75AD">
            <w:pPr>
              <w:jc w:val="center"/>
              <w:rPr>
                <w:rFonts w:cs="Arial"/>
                <w:color w:val="000000" w:themeColor="text1"/>
                <w:szCs w:val="16"/>
              </w:rPr>
            </w:pPr>
            <w:r w:rsidRPr="00781112">
              <w:rPr>
                <w:rFonts w:cs="Arial"/>
                <w:color w:val="000000" w:themeColor="text1"/>
                <w:szCs w:val="16"/>
              </w:rPr>
              <w:t>03/05/2025</w:t>
            </w:r>
          </w:p>
        </w:tc>
        <w:tc>
          <w:tcPr>
            <w:tcW w:w="1625" w:type="pct"/>
          </w:tcPr>
          <w:p w14:paraId="315534D2" w14:textId="77777777" w:rsidR="005A75AD" w:rsidRPr="00781112" w:rsidRDefault="005A75AD" w:rsidP="005A75AD">
            <w:pPr>
              <w:rPr>
                <w:rFonts w:cs="Arial"/>
                <w:color w:val="000000" w:themeColor="text1"/>
                <w:szCs w:val="16"/>
              </w:rPr>
            </w:pPr>
            <w:r w:rsidRPr="00781112">
              <w:rPr>
                <w:rFonts w:cs="Arial"/>
                <w:szCs w:val="16"/>
              </w:rPr>
              <w:t>Number of youth with IEPs (ages 14-21) who exited special education by receiving a certificate (c)</w:t>
            </w:r>
          </w:p>
        </w:tc>
        <w:tc>
          <w:tcPr>
            <w:tcW w:w="1040" w:type="pct"/>
          </w:tcPr>
          <w:p w14:paraId="2CD81DA1" w14:textId="77777777" w:rsidR="005A75AD" w:rsidRPr="00781112" w:rsidRDefault="005A75AD" w:rsidP="005A75AD">
            <w:pPr>
              <w:jc w:val="center"/>
              <w:rPr>
                <w:rFonts w:cs="Arial"/>
                <w:color w:val="000000" w:themeColor="text1"/>
                <w:szCs w:val="16"/>
              </w:rPr>
            </w:pPr>
          </w:p>
        </w:tc>
      </w:tr>
      <w:tr w:rsidR="00E1624B" w:rsidRPr="00781112" w14:paraId="73274F5D" w14:textId="77777777" w:rsidTr="00044B5C">
        <w:trPr>
          <w:trHeight w:val="380"/>
        </w:trPr>
        <w:tc>
          <w:tcPr>
            <w:tcW w:w="1348" w:type="pct"/>
          </w:tcPr>
          <w:p w14:paraId="573B2789" w14:textId="77777777" w:rsidR="00E1624B" w:rsidRPr="00781112" w:rsidRDefault="00E1624B" w:rsidP="00E1624B">
            <w:pPr>
              <w:jc w:val="center"/>
              <w:rPr>
                <w:rFonts w:cs="Arial"/>
                <w:color w:val="000000" w:themeColor="text1"/>
                <w:szCs w:val="16"/>
              </w:rPr>
            </w:pPr>
            <w:r w:rsidRPr="00781112">
              <w:rPr>
                <w:rFonts w:cs="Arial"/>
                <w:color w:val="000000" w:themeColor="text1"/>
                <w:szCs w:val="16"/>
              </w:rPr>
              <w:t>SY 2023-24 Children with Disabilities (IDEA) Exiting Special Education (</w:t>
            </w:r>
            <w:proofErr w:type="spellStart"/>
            <w:r w:rsidRPr="00781112">
              <w:rPr>
                <w:rFonts w:cs="Arial"/>
                <w:color w:val="000000" w:themeColor="text1"/>
                <w:szCs w:val="16"/>
              </w:rPr>
              <w:t>EDFacts</w:t>
            </w:r>
            <w:proofErr w:type="spellEnd"/>
            <w:r w:rsidRPr="00781112">
              <w:rPr>
                <w:rFonts w:cs="Arial"/>
                <w:color w:val="000000" w:themeColor="text1"/>
                <w:szCs w:val="16"/>
              </w:rPr>
              <w:t xml:space="preserve"> file spec FS009; Data group 85)</w:t>
            </w:r>
          </w:p>
        </w:tc>
        <w:tc>
          <w:tcPr>
            <w:tcW w:w="987" w:type="pct"/>
          </w:tcPr>
          <w:p w14:paraId="1368A018" w14:textId="77777777" w:rsidR="00E1624B" w:rsidRPr="00781112" w:rsidRDefault="00E1624B" w:rsidP="00E1624B">
            <w:pPr>
              <w:jc w:val="center"/>
              <w:rPr>
                <w:rFonts w:cs="Arial"/>
                <w:color w:val="000000" w:themeColor="text1"/>
                <w:szCs w:val="16"/>
              </w:rPr>
            </w:pPr>
            <w:r w:rsidRPr="00781112">
              <w:rPr>
                <w:rFonts w:cs="Arial"/>
                <w:color w:val="000000" w:themeColor="text1"/>
                <w:szCs w:val="16"/>
              </w:rPr>
              <w:t>03/05/2025</w:t>
            </w:r>
          </w:p>
        </w:tc>
        <w:tc>
          <w:tcPr>
            <w:tcW w:w="1625" w:type="pct"/>
          </w:tcPr>
          <w:p w14:paraId="2FD26CB8" w14:textId="77777777" w:rsidR="00E1624B" w:rsidRPr="00781112" w:rsidRDefault="00E1624B">
            <w:pPr>
              <w:rPr>
                <w:rFonts w:cs="Arial"/>
                <w:szCs w:val="16"/>
              </w:rPr>
            </w:pPr>
            <w:r w:rsidRPr="00781112">
              <w:rPr>
                <w:rFonts w:cs="Arial"/>
                <w:szCs w:val="16"/>
              </w:rPr>
              <w:t>Number of youth with IEPs (ages 14-21) who exited special education by reaching maximum age (d)</w:t>
            </w:r>
          </w:p>
        </w:tc>
        <w:tc>
          <w:tcPr>
            <w:tcW w:w="1040" w:type="pct"/>
          </w:tcPr>
          <w:p w14:paraId="36A1AAEE" w14:textId="77777777" w:rsidR="00E1624B" w:rsidRPr="00781112" w:rsidRDefault="00E1624B" w:rsidP="00E1624B">
            <w:pPr>
              <w:jc w:val="center"/>
              <w:rPr>
                <w:rFonts w:cs="Arial"/>
                <w:color w:val="000000" w:themeColor="text1"/>
                <w:szCs w:val="16"/>
              </w:rPr>
            </w:pPr>
            <w:r w:rsidRPr="00781112">
              <w:rPr>
                <w:rFonts w:cs="Arial"/>
                <w:color w:val="000000" w:themeColor="text1"/>
                <w:szCs w:val="16"/>
              </w:rPr>
              <w:t>16</w:t>
            </w:r>
          </w:p>
        </w:tc>
      </w:tr>
      <w:tr w:rsidR="00E1624B" w:rsidRPr="00781112" w14:paraId="6150862C" w14:textId="77777777" w:rsidTr="00044B5C">
        <w:trPr>
          <w:trHeight w:val="380"/>
        </w:trPr>
        <w:tc>
          <w:tcPr>
            <w:tcW w:w="1348" w:type="pct"/>
          </w:tcPr>
          <w:p w14:paraId="461C99FF" w14:textId="77777777" w:rsidR="00E1624B" w:rsidRPr="00781112" w:rsidRDefault="00E1624B" w:rsidP="00E1624B">
            <w:pPr>
              <w:jc w:val="center"/>
              <w:rPr>
                <w:rFonts w:cs="Arial"/>
                <w:color w:val="000000" w:themeColor="text1"/>
                <w:szCs w:val="16"/>
              </w:rPr>
            </w:pPr>
            <w:r w:rsidRPr="00781112">
              <w:rPr>
                <w:rFonts w:cs="Arial"/>
                <w:color w:val="000000" w:themeColor="text1"/>
                <w:szCs w:val="16"/>
              </w:rPr>
              <w:t>SY 2023-24 Children with Disabilities (IDEA) Exiting Special Education (</w:t>
            </w:r>
            <w:proofErr w:type="spellStart"/>
            <w:r w:rsidRPr="00781112">
              <w:rPr>
                <w:rFonts w:cs="Arial"/>
                <w:color w:val="000000" w:themeColor="text1"/>
                <w:szCs w:val="16"/>
              </w:rPr>
              <w:t>EDFacts</w:t>
            </w:r>
            <w:proofErr w:type="spellEnd"/>
            <w:r w:rsidRPr="00781112">
              <w:rPr>
                <w:rFonts w:cs="Arial"/>
                <w:color w:val="000000" w:themeColor="text1"/>
                <w:szCs w:val="16"/>
              </w:rPr>
              <w:t xml:space="preserve"> file spec FS009; Data group 85)</w:t>
            </w:r>
          </w:p>
        </w:tc>
        <w:tc>
          <w:tcPr>
            <w:tcW w:w="987" w:type="pct"/>
          </w:tcPr>
          <w:p w14:paraId="524CA52D" w14:textId="77777777" w:rsidR="00E1624B" w:rsidRPr="00781112" w:rsidRDefault="00E1624B" w:rsidP="00E1624B">
            <w:pPr>
              <w:jc w:val="center"/>
              <w:rPr>
                <w:rFonts w:cs="Arial"/>
                <w:color w:val="000000" w:themeColor="text1"/>
                <w:szCs w:val="16"/>
              </w:rPr>
            </w:pPr>
            <w:r w:rsidRPr="00781112">
              <w:rPr>
                <w:rFonts w:cs="Arial"/>
                <w:color w:val="000000" w:themeColor="text1"/>
                <w:szCs w:val="16"/>
              </w:rPr>
              <w:t>03/05/2025</w:t>
            </w:r>
          </w:p>
        </w:tc>
        <w:tc>
          <w:tcPr>
            <w:tcW w:w="1625" w:type="pct"/>
          </w:tcPr>
          <w:p w14:paraId="61698B82" w14:textId="77777777" w:rsidR="00E1624B" w:rsidRPr="00781112" w:rsidRDefault="00E1624B" w:rsidP="00E1624B">
            <w:pPr>
              <w:rPr>
                <w:rFonts w:cs="Arial"/>
                <w:szCs w:val="16"/>
              </w:rPr>
            </w:pPr>
            <w:r w:rsidRPr="00781112">
              <w:rPr>
                <w:rFonts w:cs="Arial"/>
                <w:szCs w:val="16"/>
              </w:rPr>
              <w:t>Number of youth with IEPs (ages 14-21) who exited special education due to dropping out (e)</w:t>
            </w:r>
          </w:p>
        </w:tc>
        <w:tc>
          <w:tcPr>
            <w:tcW w:w="1040" w:type="pct"/>
          </w:tcPr>
          <w:p w14:paraId="2919E41A" w14:textId="77777777" w:rsidR="00E1624B" w:rsidRPr="00781112" w:rsidRDefault="00E1624B" w:rsidP="00E1624B">
            <w:pPr>
              <w:jc w:val="center"/>
              <w:rPr>
                <w:rFonts w:cs="Arial"/>
                <w:color w:val="000000" w:themeColor="text1"/>
                <w:szCs w:val="16"/>
              </w:rPr>
            </w:pPr>
            <w:r w:rsidRPr="00781112">
              <w:rPr>
                <w:rFonts w:cs="Arial"/>
                <w:color w:val="000000" w:themeColor="text1"/>
                <w:szCs w:val="16"/>
              </w:rPr>
              <w:t>181</w:t>
            </w:r>
          </w:p>
        </w:tc>
      </w:tr>
    </w:tbl>
    <w:p w14:paraId="69381FD2" w14:textId="77777777" w:rsidR="00654A4B" w:rsidRPr="00781112" w:rsidRDefault="00654A4B" w:rsidP="00B65C2C">
      <w:pPr>
        <w:rPr>
          <w:color w:val="000000" w:themeColor="text1"/>
        </w:rPr>
      </w:pPr>
    </w:p>
    <w:p w14:paraId="2929B353" w14:textId="77777777" w:rsidR="00995737" w:rsidRPr="00781112" w:rsidRDefault="0047313F" w:rsidP="00C74928">
      <w:pPr>
        <w:keepNext/>
        <w:rPr>
          <w:b/>
          <w:bCs/>
          <w:color w:val="000000" w:themeColor="text1"/>
        </w:rPr>
      </w:pPr>
      <w:r>
        <w:rPr>
          <w:b/>
          <w:bCs/>
          <w:color w:val="000000" w:themeColor="text1"/>
        </w:rPr>
        <w:t>FFY 2024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1CFFYAPRDATA"/>
      </w:tblPr>
      <w:tblGrid>
        <w:gridCol w:w="1502"/>
        <w:gridCol w:w="1688"/>
        <w:gridCol w:w="1344"/>
        <w:gridCol w:w="2022"/>
        <w:gridCol w:w="1208"/>
        <w:gridCol w:w="1539"/>
        <w:gridCol w:w="1487"/>
      </w:tblGrid>
      <w:tr w:rsidR="0047313F" w:rsidRPr="00781112" w14:paraId="18BC26B5" w14:textId="77777777" w:rsidTr="0047313F">
        <w:trPr>
          <w:trHeight w:val="333"/>
          <w:tblHeader/>
        </w:trPr>
        <w:tc>
          <w:tcPr>
            <w:tcW w:w="696" w:type="pct"/>
            <w:vAlign w:val="bottom"/>
          </w:tcPr>
          <w:p w14:paraId="3FD1508B" w14:textId="77777777" w:rsidR="0047313F" w:rsidRPr="00781112" w:rsidRDefault="0047313F" w:rsidP="0047313F">
            <w:pPr>
              <w:spacing w:after="0"/>
              <w:jc w:val="center"/>
              <w:rPr>
                <w:rFonts w:cs="Arial"/>
                <w:b/>
                <w:color w:val="000000" w:themeColor="text1"/>
                <w:szCs w:val="16"/>
              </w:rPr>
            </w:pPr>
            <w:r w:rsidRPr="00781112">
              <w:rPr>
                <w:rFonts w:cs="Arial"/>
                <w:b/>
                <w:color w:val="000000" w:themeColor="text1"/>
                <w:szCs w:val="16"/>
              </w:rPr>
              <w:t>Number of youth with IEPs (ages 14-21) who exited special education due to graduating with a regular high school diploma</w:t>
            </w:r>
          </w:p>
        </w:tc>
        <w:tc>
          <w:tcPr>
            <w:tcW w:w="782" w:type="pct"/>
            <w:vAlign w:val="bottom"/>
          </w:tcPr>
          <w:p w14:paraId="5C0BB2B8" w14:textId="77777777" w:rsidR="0047313F" w:rsidRPr="00781112" w:rsidRDefault="0047313F" w:rsidP="0047313F">
            <w:pPr>
              <w:spacing w:after="0"/>
              <w:jc w:val="center"/>
              <w:rPr>
                <w:rFonts w:cs="Arial"/>
                <w:b/>
                <w:bCs/>
                <w:color w:val="000000" w:themeColor="text1"/>
                <w:szCs w:val="16"/>
              </w:rPr>
            </w:pPr>
            <w:r w:rsidRPr="00781112">
              <w:rPr>
                <w:b/>
                <w:bCs/>
              </w:rPr>
              <w:t xml:space="preserve">Number of all youth with IEPs who exited special education (ages 14-21)  </w:t>
            </w:r>
          </w:p>
        </w:tc>
        <w:tc>
          <w:tcPr>
            <w:tcW w:w="623" w:type="pct"/>
            <w:vAlign w:val="bottom"/>
          </w:tcPr>
          <w:p w14:paraId="47D42EF6" w14:textId="77777777" w:rsidR="0047313F" w:rsidRPr="00073BD7" w:rsidRDefault="0047313F" w:rsidP="0047313F">
            <w:pPr>
              <w:spacing w:after="0"/>
              <w:jc w:val="center"/>
              <w:rPr>
                <w:rFonts w:cs="Arial"/>
                <w:b/>
                <w:bCs/>
                <w:color w:val="000000" w:themeColor="text1"/>
                <w:szCs w:val="16"/>
              </w:rPr>
            </w:pPr>
            <w:r w:rsidRPr="00073BD7">
              <w:rPr>
                <w:b/>
                <w:bCs/>
              </w:rPr>
              <w:t>FFY 2023 Data</w:t>
            </w:r>
          </w:p>
        </w:tc>
        <w:tc>
          <w:tcPr>
            <w:tcW w:w="937" w:type="pct"/>
            <w:vAlign w:val="bottom"/>
          </w:tcPr>
          <w:p w14:paraId="321A5F58" w14:textId="77777777" w:rsidR="0047313F" w:rsidRPr="00073BD7" w:rsidRDefault="0047313F" w:rsidP="0047313F">
            <w:pPr>
              <w:spacing w:after="0"/>
              <w:jc w:val="center"/>
              <w:rPr>
                <w:rFonts w:cs="Arial"/>
                <w:b/>
                <w:bCs/>
                <w:color w:val="000000" w:themeColor="text1"/>
                <w:szCs w:val="16"/>
              </w:rPr>
            </w:pPr>
            <w:r w:rsidRPr="00073BD7">
              <w:rPr>
                <w:b/>
                <w:bCs/>
              </w:rPr>
              <w:t>FFY 2024 Target</w:t>
            </w:r>
          </w:p>
        </w:tc>
        <w:tc>
          <w:tcPr>
            <w:tcW w:w="560" w:type="pct"/>
            <w:vAlign w:val="bottom"/>
          </w:tcPr>
          <w:p w14:paraId="38C893DA" w14:textId="77777777" w:rsidR="0047313F" w:rsidRPr="00073BD7" w:rsidRDefault="0047313F" w:rsidP="0047313F">
            <w:pPr>
              <w:spacing w:after="0"/>
              <w:jc w:val="center"/>
              <w:rPr>
                <w:rFonts w:cs="Arial"/>
                <w:b/>
                <w:bCs/>
                <w:color w:val="000000" w:themeColor="text1"/>
                <w:szCs w:val="16"/>
              </w:rPr>
            </w:pPr>
            <w:r w:rsidRPr="00073BD7">
              <w:rPr>
                <w:b/>
                <w:bCs/>
              </w:rPr>
              <w:t>FFY 2024 Data</w:t>
            </w:r>
          </w:p>
        </w:tc>
        <w:tc>
          <w:tcPr>
            <w:tcW w:w="713" w:type="pct"/>
            <w:vAlign w:val="bottom"/>
          </w:tcPr>
          <w:p w14:paraId="01DCE6B8" w14:textId="77777777" w:rsidR="0047313F" w:rsidRPr="00781112" w:rsidRDefault="0047313F" w:rsidP="0047313F">
            <w:pPr>
              <w:spacing w:after="0"/>
              <w:jc w:val="center"/>
              <w:rPr>
                <w:rFonts w:cs="Arial"/>
                <w:b/>
                <w:color w:val="000000" w:themeColor="text1"/>
                <w:szCs w:val="16"/>
              </w:rPr>
            </w:pPr>
            <w:r w:rsidRPr="00781112">
              <w:rPr>
                <w:rFonts w:cs="Arial"/>
                <w:b/>
                <w:color w:val="000000" w:themeColor="text1"/>
                <w:szCs w:val="16"/>
              </w:rPr>
              <w:t>Status</w:t>
            </w:r>
          </w:p>
        </w:tc>
        <w:tc>
          <w:tcPr>
            <w:tcW w:w="690" w:type="pct"/>
            <w:vAlign w:val="bottom"/>
          </w:tcPr>
          <w:p w14:paraId="128BD020" w14:textId="77777777" w:rsidR="0047313F" w:rsidRPr="00781112" w:rsidRDefault="0047313F" w:rsidP="0047313F">
            <w:pPr>
              <w:spacing w:after="0"/>
              <w:jc w:val="center"/>
              <w:rPr>
                <w:rFonts w:cs="Arial"/>
                <w:b/>
                <w:color w:val="000000" w:themeColor="text1"/>
                <w:szCs w:val="16"/>
              </w:rPr>
            </w:pPr>
            <w:r w:rsidRPr="00781112">
              <w:rPr>
                <w:rFonts w:cs="Arial"/>
                <w:b/>
                <w:color w:val="000000" w:themeColor="text1"/>
                <w:szCs w:val="16"/>
              </w:rPr>
              <w:t>Slippage</w:t>
            </w:r>
          </w:p>
        </w:tc>
      </w:tr>
      <w:tr w:rsidR="005C29F8" w:rsidRPr="00781112" w14:paraId="0D33557D" w14:textId="77777777" w:rsidTr="0047313F">
        <w:trPr>
          <w:trHeight w:val="340"/>
        </w:trPr>
        <w:tc>
          <w:tcPr>
            <w:tcW w:w="696" w:type="pct"/>
            <w:vAlign w:val="center"/>
          </w:tcPr>
          <w:p w14:paraId="0525B863" w14:textId="77777777" w:rsidR="0098478C" w:rsidRPr="00781112" w:rsidRDefault="002B7490" w:rsidP="00A018D4">
            <w:pPr>
              <w:jc w:val="center"/>
              <w:rPr>
                <w:rFonts w:cs="Arial"/>
                <w:color w:val="000000" w:themeColor="text1"/>
                <w:szCs w:val="16"/>
              </w:rPr>
            </w:pPr>
            <w:r w:rsidRPr="00781112">
              <w:rPr>
                <w:rFonts w:cs="Arial"/>
                <w:color w:val="000000" w:themeColor="text1"/>
                <w:szCs w:val="16"/>
              </w:rPr>
              <w:t>2,395</w:t>
            </w:r>
          </w:p>
        </w:tc>
        <w:tc>
          <w:tcPr>
            <w:tcW w:w="782" w:type="pct"/>
          </w:tcPr>
          <w:p w14:paraId="131F5E26" w14:textId="77777777" w:rsidR="0098478C" w:rsidRPr="00781112" w:rsidRDefault="002B7490" w:rsidP="00A018D4">
            <w:pPr>
              <w:jc w:val="center"/>
              <w:rPr>
                <w:rFonts w:cs="Arial"/>
                <w:color w:val="000000" w:themeColor="text1"/>
                <w:szCs w:val="16"/>
              </w:rPr>
            </w:pPr>
            <w:r w:rsidRPr="00781112">
              <w:rPr>
                <w:rFonts w:cs="Arial"/>
                <w:color w:val="000000" w:themeColor="text1"/>
                <w:szCs w:val="16"/>
              </w:rPr>
              <w:t>2,836</w:t>
            </w:r>
          </w:p>
        </w:tc>
        <w:tc>
          <w:tcPr>
            <w:tcW w:w="623" w:type="pct"/>
          </w:tcPr>
          <w:p w14:paraId="356B836A" w14:textId="77777777" w:rsidR="0098478C" w:rsidRPr="00781112" w:rsidRDefault="002B7490" w:rsidP="00A018D4">
            <w:pPr>
              <w:jc w:val="center"/>
              <w:rPr>
                <w:rFonts w:cs="Arial"/>
                <w:color w:val="000000" w:themeColor="text1"/>
                <w:szCs w:val="16"/>
              </w:rPr>
            </w:pPr>
            <w:r w:rsidRPr="00781112">
              <w:rPr>
                <w:rFonts w:cs="Arial"/>
                <w:color w:val="000000" w:themeColor="text1"/>
                <w:szCs w:val="16"/>
              </w:rPr>
              <w:t>84.22%</w:t>
            </w:r>
          </w:p>
        </w:tc>
        <w:tc>
          <w:tcPr>
            <w:tcW w:w="937" w:type="pct"/>
          </w:tcPr>
          <w:p w14:paraId="789D4867" w14:textId="77777777" w:rsidR="0098478C" w:rsidRPr="00781112" w:rsidRDefault="002B7490" w:rsidP="00A018D4">
            <w:pPr>
              <w:jc w:val="center"/>
              <w:rPr>
                <w:rFonts w:cs="Arial"/>
                <w:color w:val="000000" w:themeColor="text1"/>
                <w:szCs w:val="16"/>
              </w:rPr>
            </w:pPr>
            <w:r w:rsidRPr="00781112">
              <w:rPr>
                <w:rFonts w:cs="Arial"/>
                <w:color w:val="000000" w:themeColor="text1"/>
                <w:szCs w:val="16"/>
              </w:rPr>
              <w:t>85.71%</w:t>
            </w:r>
          </w:p>
        </w:tc>
        <w:tc>
          <w:tcPr>
            <w:tcW w:w="560" w:type="pct"/>
          </w:tcPr>
          <w:p w14:paraId="44EFA1E3" w14:textId="77777777" w:rsidR="0098478C" w:rsidRPr="00781112" w:rsidRDefault="002B7490" w:rsidP="00A018D4">
            <w:pPr>
              <w:jc w:val="center"/>
              <w:rPr>
                <w:rFonts w:cs="Arial"/>
                <w:color w:val="000000" w:themeColor="text1"/>
                <w:szCs w:val="16"/>
              </w:rPr>
            </w:pPr>
            <w:r w:rsidRPr="00781112">
              <w:rPr>
                <w:rFonts w:cs="Arial"/>
                <w:color w:val="000000" w:themeColor="text1"/>
                <w:szCs w:val="16"/>
              </w:rPr>
              <w:t>84.45%</w:t>
            </w:r>
          </w:p>
        </w:tc>
        <w:tc>
          <w:tcPr>
            <w:tcW w:w="713" w:type="pct"/>
          </w:tcPr>
          <w:p w14:paraId="38224EB7" w14:textId="77777777" w:rsidR="0098478C"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90" w:type="pct"/>
          </w:tcPr>
          <w:p w14:paraId="1732A6BD" w14:textId="77777777" w:rsidR="0098478C"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05635210" w14:textId="77777777" w:rsidR="005E59DB" w:rsidRPr="00781112" w:rsidRDefault="005E59DB" w:rsidP="004369B2">
      <w:pPr>
        <w:rPr>
          <w:color w:val="000000" w:themeColor="text1"/>
        </w:rPr>
      </w:pPr>
      <w:r w:rsidRPr="00781112">
        <w:rPr>
          <w:b/>
          <w:color w:val="000000" w:themeColor="text1"/>
        </w:rPr>
        <w:t xml:space="preserve">Graduation Conditions </w:t>
      </w:r>
    </w:p>
    <w:p w14:paraId="4E4FE563" w14:textId="77777777" w:rsidR="005E59DB" w:rsidRPr="00781112" w:rsidRDefault="00C14D48" w:rsidP="00552927">
      <w:pPr>
        <w:rPr>
          <w:rFonts w:cs="Arial"/>
          <w:b/>
          <w:i/>
          <w:color w:val="000000" w:themeColor="text1"/>
          <w:szCs w:val="16"/>
        </w:rPr>
      </w:pPr>
      <w:r w:rsidRPr="00781112">
        <w:rPr>
          <w:rFonts w:cs="Arial"/>
          <w:b/>
          <w:color w:val="000000" w:themeColor="text1"/>
          <w:szCs w:val="16"/>
        </w:rPr>
        <w:t xml:space="preserve">Provide a narrative that describes the conditions youth must meet in order to graduate with a regular high school diploma. </w:t>
      </w:r>
    </w:p>
    <w:p w14:paraId="6A1FDBEE" w14:textId="77777777" w:rsidR="002D145D" w:rsidRPr="00781112" w:rsidRDefault="002B7490" w:rsidP="006618C8">
      <w:pPr>
        <w:rPr>
          <w:rFonts w:cs="Arial"/>
          <w:color w:val="000000" w:themeColor="text1"/>
          <w:szCs w:val="16"/>
        </w:rPr>
      </w:pPr>
      <w:r w:rsidRPr="00781112">
        <w:rPr>
          <w:rFonts w:cs="Arial"/>
          <w:color w:val="000000" w:themeColor="text1"/>
          <w:szCs w:val="16"/>
        </w:rPr>
        <w:t>West Virginia Board of Education (WVBE) Policy 2510: “Assuring the Quality of Education: Regulations for Education Programs” (effective July 1, 2022) contains the graduation requirements for all WV youth, including those with IEPs. The graduation requirements for FFY 2024  were as follows:</w:t>
      </w:r>
    </w:p>
    <w:p w14:paraId="634538EA" w14:textId="77777777" w:rsidR="00CA787A" w:rsidRDefault="00CA787A"/>
    <w:p w14:paraId="71A541B8" w14:textId="77777777" w:rsidR="00CA787A" w:rsidRDefault="003169E9">
      <w:r>
        <w:rPr>
          <w:color w:val="000000"/>
        </w:rPr>
        <w:t>22 total credits (12 prescribed and 10 personalized)</w:t>
      </w:r>
    </w:p>
    <w:p w14:paraId="6BD73271" w14:textId="77777777" w:rsidR="00CA787A" w:rsidRDefault="00CA787A"/>
    <w:p w14:paraId="39B709F8" w14:textId="77777777" w:rsidR="00CA787A" w:rsidRDefault="003169E9">
      <w:r>
        <w:rPr>
          <w:color w:val="000000"/>
        </w:rPr>
        <w:t xml:space="preserve">The specific requirements are as follows: </w:t>
      </w:r>
    </w:p>
    <w:p w14:paraId="3E063EBE" w14:textId="77777777" w:rsidR="00CA787A" w:rsidRDefault="003169E9">
      <w:r>
        <w:rPr>
          <w:color w:val="000000"/>
        </w:rPr>
        <w:t xml:space="preserve">— English Language Arts = 4 credits (3 prescribed/1 personalized); </w:t>
      </w:r>
    </w:p>
    <w:p w14:paraId="10A1DC16" w14:textId="77777777" w:rsidR="00CA787A" w:rsidRDefault="003169E9">
      <w:r>
        <w:rPr>
          <w:color w:val="000000"/>
        </w:rPr>
        <w:t xml:space="preserve">— Mathematics = 4 credits (2 prescribed/2 personalized); </w:t>
      </w:r>
    </w:p>
    <w:p w14:paraId="2C850266" w14:textId="77777777" w:rsidR="00CA787A" w:rsidRDefault="003169E9">
      <w:r>
        <w:rPr>
          <w:color w:val="000000"/>
        </w:rPr>
        <w:t xml:space="preserve">— Science = 3 credits (2 prescribed/1 personalized); </w:t>
      </w:r>
    </w:p>
    <w:p w14:paraId="05B9C4B2" w14:textId="77777777" w:rsidR="00CA787A" w:rsidRDefault="003169E9">
      <w:r>
        <w:rPr>
          <w:color w:val="000000"/>
        </w:rPr>
        <w:t xml:space="preserve">— Social Studies = 4 credits (3 prescribed/1 personalized); </w:t>
      </w:r>
    </w:p>
    <w:p w14:paraId="42BB98A3" w14:textId="77777777" w:rsidR="00CA787A" w:rsidRDefault="003169E9">
      <w:r>
        <w:rPr>
          <w:color w:val="000000"/>
        </w:rPr>
        <w:t xml:space="preserve">— Physical Education = 1 credit (prescribed); </w:t>
      </w:r>
    </w:p>
    <w:p w14:paraId="31DB72FE" w14:textId="77777777" w:rsidR="00CA787A" w:rsidRDefault="003169E9">
      <w:r>
        <w:rPr>
          <w:color w:val="000000"/>
        </w:rPr>
        <w:t xml:space="preserve">— Health = 1 credit (prescribed); </w:t>
      </w:r>
    </w:p>
    <w:p w14:paraId="4AD74294" w14:textId="77777777" w:rsidR="00CA787A" w:rsidRDefault="003169E9">
      <w:r>
        <w:rPr>
          <w:color w:val="000000"/>
        </w:rPr>
        <w:t xml:space="preserve">— Art = 1 credit (personalized); and </w:t>
      </w:r>
    </w:p>
    <w:p w14:paraId="3F220C78" w14:textId="77777777" w:rsidR="00CA787A" w:rsidRDefault="003169E9">
      <w:r>
        <w:rPr>
          <w:color w:val="000000"/>
        </w:rPr>
        <w:t xml:space="preserve">— Personalized Education Plan (PEP) = 4 credits (personalized). </w:t>
      </w:r>
    </w:p>
    <w:p w14:paraId="1845363B" w14:textId="77777777" w:rsidR="00CA787A" w:rsidRDefault="00CA787A"/>
    <w:p w14:paraId="323E38B8" w14:textId="77777777" w:rsidR="00CA787A" w:rsidRDefault="003169E9">
      <w:r>
        <w:rPr>
          <w:color w:val="000000"/>
        </w:rPr>
        <w:t>All courses needed for graduation require mastery of approved content standards (WV Code §126-42-6.2 High School Programming). In addition, all public secondary schools are required to offer programs of study for Career and Technical Education, Computer Science, World Languages, Driver Education, a Social Emotional Advisory System for Student Success, and no less than 4 AP course offerings per school year.</w:t>
      </w:r>
    </w:p>
    <w:p w14:paraId="1812C908" w14:textId="77777777" w:rsidR="00F672DF" w:rsidRPr="00781112" w:rsidRDefault="00F672DF" w:rsidP="006618C8">
      <w:pPr>
        <w:rPr>
          <w:rFonts w:cs="Arial"/>
          <w:b/>
          <w:color w:val="000000" w:themeColor="text1"/>
          <w:szCs w:val="16"/>
        </w:rPr>
      </w:pPr>
      <w:r w:rsidRPr="00781112">
        <w:rPr>
          <w:rFonts w:cs="Arial"/>
          <w:b/>
          <w:color w:val="000000" w:themeColor="text1"/>
          <w:szCs w:val="16"/>
        </w:rPr>
        <w:t>Are the conditions that youth with IEPs must meet to graduate with a regular high school diploma different from the conditions noted above? (yes/no)</w:t>
      </w:r>
    </w:p>
    <w:p w14:paraId="23B6F7BF" w14:textId="77777777" w:rsidR="00F672DF" w:rsidRPr="00781112" w:rsidRDefault="00F672DF" w:rsidP="006618C8">
      <w:pPr>
        <w:rPr>
          <w:rFonts w:cs="Arial"/>
          <w:color w:val="000000" w:themeColor="text1"/>
          <w:szCs w:val="16"/>
        </w:rPr>
      </w:pPr>
      <w:r w:rsidRPr="00781112">
        <w:rPr>
          <w:rFonts w:cs="Arial"/>
          <w:color w:val="000000" w:themeColor="text1"/>
          <w:szCs w:val="16"/>
        </w:rPr>
        <w:t>NO</w:t>
      </w:r>
    </w:p>
    <w:p w14:paraId="3D4B2AEF" w14:textId="77777777" w:rsidR="0098478C" w:rsidRPr="00781112" w:rsidRDefault="0098478C" w:rsidP="004369B2">
      <w:pPr>
        <w:rPr>
          <w:b/>
          <w:color w:val="000000" w:themeColor="text1"/>
        </w:rPr>
      </w:pPr>
      <w:r w:rsidRPr="00781112">
        <w:rPr>
          <w:b/>
          <w:color w:val="000000" w:themeColor="text1"/>
        </w:rPr>
        <w:t>Provide additional information about this indicator (optional)</w:t>
      </w:r>
    </w:p>
    <w:p w14:paraId="07BAF6C8" w14:textId="77777777" w:rsidR="002D145D" w:rsidRPr="00781112" w:rsidRDefault="002B7490" w:rsidP="000E33D0">
      <w:pPr>
        <w:rPr>
          <w:rFonts w:cs="Arial"/>
          <w:color w:val="000000" w:themeColor="text1"/>
          <w:szCs w:val="16"/>
        </w:rPr>
      </w:pPr>
      <w:r w:rsidRPr="00781112">
        <w:rPr>
          <w:rFonts w:cs="Arial"/>
          <w:color w:val="000000" w:themeColor="text1"/>
          <w:szCs w:val="16"/>
        </w:rPr>
        <w:t xml:space="preserve">A revision of Policy 2510 was filed in May 2024 and made effective July 1, 2024. Revisions to any graduation requirements will be reflected in the appropriate SPP/APR submission. </w:t>
      </w:r>
    </w:p>
    <w:p w14:paraId="2A9A15F9" w14:textId="77777777" w:rsidR="00CA787A" w:rsidRDefault="00CA787A"/>
    <w:p w14:paraId="7449B796" w14:textId="77777777" w:rsidR="00CA787A" w:rsidRDefault="003169E9">
      <w:r>
        <w:rPr>
          <w:color w:val="000000"/>
        </w:rPr>
        <w:t>Link to WV Board of Education Policies: [https://wvde.state.wv.us/policies/]</w:t>
      </w:r>
    </w:p>
    <w:p w14:paraId="4B14F64B" w14:textId="77777777" w:rsidR="000C60E1" w:rsidRPr="00781112" w:rsidRDefault="00B0742B" w:rsidP="008645AD">
      <w:pPr>
        <w:pStyle w:val="Heading2"/>
      </w:pPr>
      <w:bookmarkStart w:id="5" w:name="_Toc382082358"/>
      <w:r w:rsidRPr="00781112">
        <w:t>1</w:t>
      </w:r>
      <w:r w:rsidR="00684B51" w:rsidRPr="00781112">
        <w:t xml:space="preserve"> </w:t>
      </w:r>
      <w:r w:rsidRPr="00781112">
        <w:t xml:space="preserve">- </w:t>
      </w:r>
      <w:r w:rsidR="002D145D" w:rsidRPr="00781112">
        <w:t>Prior FFY Required Actions</w:t>
      </w:r>
    </w:p>
    <w:p w14:paraId="7E397E5F" w14:textId="77777777" w:rsidR="002D145D" w:rsidRPr="00781112" w:rsidRDefault="002B7490" w:rsidP="00CE5723">
      <w:pPr>
        <w:rPr>
          <w:rFonts w:cs="Arial"/>
          <w:color w:val="000000" w:themeColor="text1"/>
          <w:szCs w:val="16"/>
        </w:rPr>
      </w:pPr>
      <w:r w:rsidRPr="00781112">
        <w:rPr>
          <w:rFonts w:cs="Arial"/>
          <w:color w:val="000000" w:themeColor="text1"/>
          <w:szCs w:val="16"/>
        </w:rPr>
        <w:t>None</w:t>
      </w:r>
    </w:p>
    <w:p w14:paraId="7EB20EA0" w14:textId="77777777" w:rsidR="00A2794A" w:rsidRPr="00781112" w:rsidRDefault="00A2794A" w:rsidP="00CE5723">
      <w:pPr>
        <w:rPr>
          <w:rFonts w:cs="Arial"/>
          <w:color w:val="000000" w:themeColor="text1"/>
          <w:szCs w:val="16"/>
        </w:rPr>
      </w:pPr>
    </w:p>
    <w:p w14:paraId="0FE803BE" w14:textId="77777777" w:rsidR="004C462E" w:rsidRPr="00781112" w:rsidRDefault="00862B20" w:rsidP="008645AD">
      <w:pPr>
        <w:pStyle w:val="Heading2"/>
      </w:pPr>
      <w:r w:rsidRPr="00781112">
        <w:t>1</w:t>
      </w:r>
      <w:r w:rsidR="00684B51" w:rsidRPr="00781112">
        <w:t xml:space="preserve"> </w:t>
      </w:r>
      <w:r w:rsidRPr="00781112">
        <w:t xml:space="preserve">- </w:t>
      </w:r>
      <w:r w:rsidR="004C462E" w:rsidRPr="00781112">
        <w:t>OSEP Response</w:t>
      </w:r>
    </w:p>
    <w:p w14:paraId="52E44DFD" w14:textId="77777777" w:rsidR="002D145D" w:rsidRPr="00781112" w:rsidRDefault="002D145D" w:rsidP="001F692C">
      <w:pPr>
        <w:rPr>
          <w:rFonts w:cs="Arial"/>
          <w:color w:val="000000" w:themeColor="text1"/>
          <w:szCs w:val="16"/>
        </w:rPr>
      </w:pPr>
    </w:p>
    <w:p w14:paraId="1B90C512" w14:textId="77777777" w:rsidR="004C462E" w:rsidRPr="00781112" w:rsidRDefault="00B0742B" w:rsidP="008645AD">
      <w:pPr>
        <w:pStyle w:val="Heading2"/>
      </w:pPr>
      <w:bookmarkStart w:id="6" w:name="_Hlk21352084"/>
      <w:r w:rsidRPr="00781112">
        <w:t xml:space="preserve">1 - </w:t>
      </w:r>
      <w:bookmarkEnd w:id="6"/>
      <w:r w:rsidR="004C462E" w:rsidRPr="00781112">
        <w:t>Required Actions</w:t>
      </w:r>
    </w:p>
    <w:p w14:paraId="1BE4F512" w14:textId="77777777" w:rsidR="002D145D" w:rsidRPr="00781112" w:rsidRDefault="002D145D" w:rsidP="001F692C">
      <w:pPr>
        <w:rPr>
          <w:rFonts w:cs="Arial"/>
          <w:color w:val="000000" w:themeColor="text1"/>
          <w:szCs w:val="16"/>
        </w:rPr>
      </w:pPr>
    </w:p>
    <w:p w14:paraId="399A697D" w14:textId="77777777" w:rsidR="00D37BF0" w:rsidRPr="00781112" w:rsidRDefault="00D37BF0">
      <w:pPr>
        <w:spacing w:before="0" w:after="200" w:line="276" w:lineRule="auto"/>
        <w:rPr>
          <w:rFonts w:eastAsiaTheme="majorEastAsia" w:cs="Arial"/>
          <w:b/>
          <w:bCs/>
          <w:color w:val="000000" w:themeColor="text1"/>
          <w:szCs w:val="16"/>
        </w:rPr>
      </w:pPr>
      <w:bookmarkStart w:id="7" w:name="_Toc392159262"/>
      <w:r w:rsidRPr="00781112">
        <w:rPr>
          <w:rFonts w:cs="Arial"/>
          <w:color w:val="000000" w:themeColor="text1"/>
          <w:szCs w:val="16"/>
        </w:rPr>
        <w:br w:type="page"/>
      </w:r>
    </w:p>
    <w:p w14:paraId="73CDB1DB" w14:textId="77777777" w:rsidR="00D21EAA" w:rsidRPr="00781112" w:rsidRDefault="00D21EAA">
      <w:pPr>
        <w:pStyle w:val="Heading1"/>
        <w:rPr>
          <w:color w:val="000000" w:themeColor="text1"/>
          <w:sz w:val="22"/>
        </w:rPr>
      </w:pPr>
      <w:r w:rsidRPr="00781112">
        <w:rPr>
          <w:color w:val="000000" w:themeColor="text1"/>
          <w:sz w:val="22"/>
        </w:rPr>
        <w:lastRenderedPageBreak/>
        <w:t>Indicator 2: Drop Out</w:t>
      </w:r>
      <w:bookmarkEnd w:id="5"/>
      <w:bookmarkEnd w:id="7"/>
    </w:p>
    <w:p w14:paraId="352D0968" w14:textId="77777777" w:rsidR="002C60D5" w:rsidRPr="002C274F" w:rsidRDefault="002C60D5" w:rsidP="002C274F">
      <w:pPr>
        <w:rPr>
          <w:b/>
          <w:bCs/>
          <w:sz w:val="20"/>
          <w:szCs w:val="20"/>
        </w:rPr>
      </w:pPr>
      <w:r w:rsidRPr="002C274F">
        <w:rPr>
          <w:b/>
          <w:bCs/>
          <w:sz w:val="20"/>
          <w:szCs w:val="20"/>
        </w:rPr>
        <w:t>Instructions and Measurement</w:t>
      </w:r>
    </w:p>
    <w:p w14:paraId="1BCEB586" w14:textId="77777777" w:rsidR="00820751" w:rsidRPr="00651E83" w:rsidRDefault="00820751" w:rsidP="00820751">
      <w:pPr>
        <w:pStyle w:val="Subhed"/>
      </w:pPr>
      <w:bookmarkStart w:id="8" w:name="_Toc392159263"/>
      <w:r w:rsidRPr="00651E83">
        <w:t xml:space="preserve">Monitoring Priority: </w:t>
      </w:r>
      <w:r w:rsidRPr="004A6DE5">
        <w:rPr>
          <w:b w:val="0"/>
        </w:rPr>
        <w:t>FAPE in the LRE</w:t>
      </w:r>
    </w:p>
    <w:p w14:paraId="641687E1" w14:textId="77777777" w:rsidR="00820751" w:rsidRPr="00651E83" w:rsidRDefault="00820751" w:rsidP="00820751">
      <w:pPr>
        <w:rPr>
          <w:rFonts w:cs="Arial"/>
          <w:szCs w:val="16"/>
        </w:rPr>
      </w:pPr>
      <w:r w:rsidRPr="00DC263A">
        <w:rPr>
          <w:rFonts w:cs="Arial"/>
          <w:b/>
          <w:szCs w:val="16"/>
        </w:rPr>
        <w:t>Results indicator</w:t>
      </w:r>
      <w:r w:rsidRPr="00651E83">
        <w:rPr>
          <w:rFonts w:cs="Arial"/>
          <w:szCs w:val="16"/>
        </w:rPr>
        <w:t>: Percent of youth with IEPs</w:t>
      </w:r>
      <w:r>
        <w:rPr>
          <w:rFonts w:cs="Arial"/>
          <w:szCs w:val="16"/>
        </w:rPr>
        <w:t xml:space="preserve"> who exited special education due to</w:t>
      </w:r>
      <w:r w:rsidRPr="00651E83">
        <w:rPr>
          <w:rFonts w:cs="Arial"/>
          <w:szCs w:val="16"/>
        </w:rPr>
        <w:t xml:space="preserve"> dropping out. (20 U.S.C. 1416 (a)(3)(A))</w:t>
      </w:r>
    </w:p>
    <w:p w14:paraId="4F67B767" w14:textId="77777777" w:rsidR="00820751" w:rsidRPr="00651E83" w:rsidRDefault="00820751" w:rsidP="00820751">
      <w:pPr>
        <w:pStyle w:val="Subhed"/>
      </w:pPr>
      <w:r w:rsidRPr="00651E83">
        <w:t>Data Source</w:t>
      </w:r>
    </w:p>
    <w:p w14:paraId="58F3BD23" w14:textId="77777777" w:rsidR="00820751" w:rsidRPr="00651E83" w:rsidRDefault="00820751" w:rsidP="00820751">
      <w:pPr>
        <w:rPr>
          <w:rFonts w:cs="Arial"/>
          <w:szCs w:val="16"/>
        </w:rPr>
      </w:pPr>
      <w:bookmarkStart w:id="9" w:name="_Hlk51055176"/>
      <w:r w:rsidRPr="00651E83">
        <w:rPr>
          <w:rFonts w:cs="Arial"/>
          <w:szCs w:val="16"/>
        </w:rPr>
        <w:t xml:space="preserve">Same data as used for reporting to the Department under section 618 of the Individuals with Disabilities Education Act (IDEA), using the definitions in </w:t>
      </w:r>
      <w:proofErr w:type="spellStart"/>
      <w:r w:rsidRPr="00651E83">
        <w:rPr>
          <w:rFonts w:cs="Arial"/>
          <w:szCs w:val="16"/>
        </w:rPr>
        <w:t>ED</w:t>
      </w:r>
      <w:r w:rsidRPr="00BA3DBE">
        <w:rPr>
          <w:rFonts w:cs="Arial"/>
          <w:i/>
          <w:iCs/>
          <w:szCs w:val="16"/>
        </w:rPr>
        <w:t>Facts</w:t>
      </w:r>
      <w:proofErr w:type="spellEnd"/>
      <w:r w:rsidRPr="00651E83">
        <w:rPr>
          <w:rFonts w:cs="Arial"/>
          <w:szCs w:val="16"/>
        </w:rPr>
        <w:t xml:space="preserve"> file specification FS009.</w:t>
      </w:r>
    </w:p>
    <w:bookmarkEnd w:id="9"/>
    <w:p w14:paraId="19ABD5F0" w14:textId="77777777" w:rsidR="00820751" w:rsidRPr="00651E83" w:rsidRDefault="00820751" w:rsidP="00820751">
      <w:pPr>
        <w:pStyle w:val="Subhed"/>
      </w:pPr>
      <w:r w:rsidRPr="00651E83">
        <w:t>Measurement</w:t>
      </w:r>
    </w:p>
    <w:p w14:paraId="703B1314" w14:textId="77777777" w:rsidR="00820751" w:rsidRPr="00651E83" w:rsidRDefault="00820751" w:rsidP="00820751">
      <w:pPr>
        <w:rPr>
          <w:rFonts w:cs="Arial"/>
          <w:szCs w:val="16"/>
        </w:rPr>
      </w:pPr>
      <w:r w:rsidRPr="00651E83">
        <w:rPr>
          <w:rFonts w:cs="Arial"/>
          <w:szCs w:val="16"/>
        </w:rPr>
        <w:t>States must report a percentage using the number of youth with IEPs (ages 14-21) who exited special education due to dropping out in the numerator and the number of all youth with IEPs who exited special education (ages 14-21) in the denominator.</w:t>
      </w:r>
    </w:p>
    <w:p w14:paraId="2557DDA1" w14:textId="77777777" w:rsidR="00820751" w:rsidRPr="00651E83" w:rsidRDefault="00820751" w:rsidP="00820751">
      <w:pPr>
        <w:pStyle w:val="Subhed"/>
      </w:pPr>
      <w:r w:rsidRPr="00651E83">
        <w:t>Instructions</w:t>
      </w:r>
    </w:p>
    <w:p w14:paraId="36DE2A9A" w14:textId="77777777" w:rsidR="00820751" w:rsidRPr="00FE4C6C" w:rsidRDefault="00820751" w:rsidP="00820751">
      <w:pPr>
        <w:rPr>
          <w:rFonts w:cs="Arial"/>
          <w:i/>
          <w:iCs/>
          <w:szCs w:val="16"/>
        </w:rPr>
      </w:pPr>
      <w:r w:rsidRPr="00FE4C6C">
        <w:rPr>
          <w:rFonts w:cs="Arial"/>
          <w:i/>
          <w:iCs/>
          <w:szCs w:val="16"/>
        </w:rPr>
        <w:t>Sampling is not allowed.</w:t>
      </w:r>
    </w:p>
    <w:p w14:paraId="041529DE" w14:textId="77777777" w:rsidR="00820751" w:rsidRDefault="00820751" w:rsidP="00820751">
      <w:pPr>
        <w:rPr>
          <w:rFonts w:cs="Arial"/>
          <w:szCs w:val="16"/>
        </w:rPr>
      </w:pPr>
      <w:r w:rsidRPr="00937503">
        <w:rPr>
          <w:rFonts w:cs="Arial"/>
          <w:szCs w:val="16"/>
        </w:rPr>
        <w:t>Data for this indicator are “lag” data. Describe the results of the State’s examination of the section 618 exiting data for the year before the reporting year (e.g., for the FFY 2024 SPP/APR, use data from 2023-2024), and compare the results to the target.</w:t>
      </w:r>
    </w:p>
    <w:p w14:paraId="3AF3EDE9" w14:textId="77777777" w:rsidR="00820751" w:rsidRPr="00651E83" w:rsidRDefault="00820751" w:rsidP="00820751">
      <w:pPr>
        <w:rPr>
          <w:rFonts w:cs="Arial"/>
          <w:szCs w:val="16"/>
        </w:rPr>
      </w:pPr>
      <w:r w:rsidRPr="00651E83">
        <w:rPr>
          <w:rFonts w:cs="Arial"/>
          <w:szCs w:val="16"/>
        </w:rPr>
        <w:t xml:space="preserve">Include in the denominator the following exiting categories: (a) graduated with a regular high school diploma; (b) graduated with a state-defined alternate diploma; (c) received a certificate; (d) reached maximum age; or (e) dropped out. </w:t>
      </w:r>
    </w:p>
    <w:p w14:paraId="3AFAC954" w14:textId="77777777" w:rsidR="00820751" w:rsidRPr="00651E83" w:rsidRDefault="00820751" w:rsidP="00820751">
      <w:pPr>
        <w:rPr>
          <w:rFonts w:cs="Arial"/>
          <w:szCs w:val="16"/>
        </w:rPr>
      </w:pPr>
      <w:r w:rsidRPr="00651E83">
        <w:rPr>
          <w:rFonts w:cs="Arial"/>
          <w:szCs w:val="16"/>
        </w:rPr>
        <w:t>Do not include in the denominator the number of youths with IEPs who exited special education due to: (a) transferring to regular education; or (b) who moved but are known to be continuing in an educational program.</w:t>
      </w:r>
    </w:p>
    <w:p w14:paraId="420A7282" w14:textId="77777777" w:rsidR="00820751" w:rsidRDefault="00820751" w:rsidP="00820751">
      <w:pPr>
        <w:rPr>
          <w:rFonts w:cs="Arial"/>
          <w:szCs w:val="16"/>
        </w:rPr>
      </w:pPr>
      <w:r w:rsidRPr="0019013F">
        <w:rPr>
          <w:rFonts w:cs="Arial"/>
          <w:szCs w:val="16"/>
        </w:rPr>
        <w:t>Provide a narrative that describes what counts as dropping out for all youth. Please explain if there is a difference between what counts as dropping out for all students and what counts as dropping out for students with IEPs.</w:t>
      </w:r>
    </w:p>
    <w:bookmarkEnd w:id="8"/>
    <w:p w14:paraId="25D7BAA6" w14:textId="77777777" w:rsidR="002C60D5" w:rsidRPr="00781112" w:rsidRDefault="00F914B4" w:rsidP="008645AD">
      <w:pPr>
        <w:pStyle w:val="Heading2"/>
      </w:pPr>
      <w:r w:rsidRPr="00781112">
        <w:t>2</w:t>
      </w:r>
      <w:r w:rsidR="00684B51" w:rsidRPr="00781112">
        <w:t xml:space="preserve"> </w:t>
      </w:r>
      <w:r w:rsidRPr="00781112">
        <w:t xml:space="preserve">- </w:t>
      </w:r>
      <w:r w:rsidR="002C60D5" w:rsidRPr="00781112">
        <w:t>Indicator Data</w:t>
      </w:r>
    </w:p>
    <w:p w14:paraId="6020287A" w14:textId="77777777" w:rsidR="00907A35" w:rsidRPr="00781112" w:rsidRDefault="00907A35"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2BASELINEDATA"/>
      </w:tblPr>
      <w:tblGrid>
        <w:gridCol w:w="1797"/>
        <w:gridCol w:w="1798"/>
      </w:tblGrid>
      <w:tr w:rsidR="008F3F33" w:rsidRPr="00781112" w14:paraId="4EE57FCE" w14:textId="77777777" w:rsidTr="0033429D">
        <w:trPr>
          <w:trHeight w:val="311"/>
          <w:tblHeader/>
        </w:trPr>
        <w:tc>
          <w:tcPr>
            <w:tcW w:w="1797" w:type="dxa"/>
          </w:tcPr>
          <w:p w14:paraId="4CBDB6AC" w14:textId="77777777" w:rsidR="008F3F33" w:rsidRPr="00781112" w:rsidRDefault="008F3F33" w:rsidP="002B6965">
            <w:pPr>
              <w:jc w:val="center"/>
              <w:rPr>
                <w:b/>
                <w:color w:val="000000" w:themeColor="text1"/>
              </w:rPr>
            </w:pPr>
            <w:r w:rsidRPr="00781112">
              <w:rPr>
                <w:rFonts w:cs="Arial"/>
                <w:b/>
                <w:color w:val="000000" w:themeColor="text1"/>
                <w:szCs w:val="16"/>
              </w:rPr>
              <w:t>Baseline Year</w:t>
            </w:r>
          </w:p>
        </w:tc>
        <w:tc>
          <w:tcPr>
            <w:tcW w:w="1798" w:type="dxa"/>
          </w:tcPr>
          <w:p w14:paraId="2515C2F9" w14:textId="77777777" w:rsidR="008F3F33" w:rsidRPr="00781112" w:rsidRDefault="008F3F33" w:rsidP="002B6965">
            <w:pPr>
              <w:jc w:val="center"/>
              <w:rPr>
                <w:b/>
                <w:color w:val="000000" w:themeColor="text1"/>
              </w:rPr>
            </w:pPr>
            <w:r w:rsidRPr="00781112">
              <w:rPr>
                <w:b/>
                <w:color w:val="000000" w:themeColor="text1"/>
              </w:rPr>
              <w:t>Baseline Data</w:t>
            </w:r>
          </w:p>
        </w:tc>
      </w:tr>
      <w:tr w:rsidR="008F3F33" w:rsidRPr="00781112" w14:paraId="7D7C3E55" w14:textId="77777777" w:rsidTr="0033429D">
        <w:trPr>
          <w:trHeight w:val="311"/>
        </w:trPr>
        <w:tc>
          <w:tcPr>
            <w:tcW w:w="1797" w:type="dxa"/>
            <w:vAlign w:val="center"/>
          </w:tcPr>
          <w:p w14:paraId="5564E843" w14:textId="77777777" w:rsidR="008F3F33" w:rsidRPr="00781112" w:rsidRDefault="008F3F33" w:rsidP="002B6965">
            <w:pPr>
              <w:jc w:val="center"/>
              <w:rPr>
                <w:bCs/>
                <w:color w:val="000000" w:themeColor="text1"/>
              </w:rPr>
            </w:pPr>
            <w:r w:rsidRPr="00781112">
              <w:rPr>
                <w:bCs/>
                <w:color w:val="000000" w:themeColor="text1"/>
              </w:rPr>
              <w:t>2018</w:t>
            </w:r>
          </w:p>
        </w:tc>
        <w:tc>
          <w:tcPr>
            <w:tcW w:w="1798" w:type="dxa"/>
            <w:vAlign w:val="center"/>
          </w:tcPr>
          <w:p w14:paraId="1B2F37CC" w14:textId="77777777" w:rsidR="008F3F33" w:rsidRPr="00781112" w:rsidRDefault="008F3F33" w:rsidP="002B6965">
            <w:pPr>
              <w:jc w:val="center"/>
              <w:rPr>
                <w:bCs/>
                <w:color w:val="000000" w:themeColor="text1"/>
              </w:rPr>
            </w:pPr>
            <w:r w:rsidRPr="00781112">
              <w:rPr>
                <w:bCs/>
                <w:color w:val="000000" w:themeColor="text1"/>
              </w:rPr>
              <w:t>6.17%</w:t>
            </w:r>
          </w:p>
        </w:tc>
      </w:tr>
    </w:tbl>
    <w:p w14:paraId="2270500C" w14:textId="77777777" w:rsidR="008F3F33" w:rsidRPr="00781112" w:rsidRDefault="008F3F33"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HISTDATA"/>
      </w:tblPr>
      <w:tblGrid>
        <w:gridCol w:w="1798"/>
        <w:gridCol w:w="1798"/>
        <w:gridCol w:w="1798"/>
        <w:gridCol w:w="1798"/>
        <w:gridCol w:w="1798"/>
        <w:gridCol w:w="1800"/>
      </w:tblGrid>
      <w:tr w:rsidR="005C29F8" w:rsidRPr="00781112" w14:paraId="72F104D3" w14:textId="77777777" w:rsidTr="00DF4C35">
        <w:trPr>
          <w:trHeight w:val="350"/>
        </w:trPr>
        <w:tc>
          <w:tcPr>
            <w:tcW w:w="833" w:type="pct"/>
            <w:tcBorders>
              <w:bottom w:val="single" w:sz="4" w:space="0" w:color="auto"/>
            </w:tcBorders>
          </w:tcPr>
          <w:p w14:paraId="49BB97ED" w14:textId="77777777" w:rsidR="00907A35" w:rsidRPr="00781112" w:rsidRDefault="00907A35" w:rsidP="004369B2">
            <w:pPr>
              <w:jc w:val="center"/>
              <w:rPr>
                <w:b/>
                <w:color w:val="000000" w:themeColor="text1"/>
              </w:rPr>
            </w:pPr>
            <w:r w:rsidRPr="00781112">
              <w:rPr>
                <w:b/>
                <w:color w:val="000000" w:themeColor="text1"/>
              </w:rPr>
              <w:t>FFY</w:t>
            </w:r>
          </w:p>
        </w:tc>
        <w:tc>
          <w:tcPr>
            <w:tcW w:w="833" w:type="pct"/>
          </w:tcPr>
          <w:p w14:paraId="3CC04873" w14:textId="77777777" w:rsidR="00907A35" w:rsidRPr="00781112" w:rsidRDefault="002B7490" w:rsidP="00894709">
            <w:pPr>
              <w:jc w:val="center"/>
              <w:rPr>
                <w:b/>
                <w:color w:val="000000" w:themeColor="text1"/>
              </w:rPr>
            </w:pPr>
            <w:r w:rsidRPr="00781112">
              <w:rPr>
                <w:b/>
                <w:color w:val="000000" w:themeColor="text1"/>
              </w:rPr>
              <w:t>2019</w:t>
            </w:r>
          </w:p>
        </w:tc>
        <w:tc>
          <w:tcPr>
            <w:tcW w:w="833" w:type="pct"/>
          </w:tcPr>
          <w:p w14:paraId="37A82617" w14:textId="77777777" w:rsidR="00907A35" w:rsidRPr="00781112" w:rsidRDefault="002B7490" w:rsidP="00894709">
            <w:pPr>
              <w:jc w:val="center"/>
              <w:rPr>
                <w:b/>
                <w:color w:val="000000" w:themeColor="text1"/>
              </w:rPr>
            </w:pPr>
            <w:r w:rsidRPr="00781112">
              <w:rPr>
                <w:b/>
                <w:color w:val="000000" w:themeColor="text1"/>
              </w:rPr>
              <w:t>2020</w:t>
            </w:r>
          </w:p>
        </w:tc>
        <w:tc>
          <w:tcPr>
            <w:tcW w:w="833" w:type="pct"/>
          </w:tcPr>
          <w:p w14:paraId="48CA10AE" w14:textId="77777777" w:rsidR="00907A35" w:rsidRPr="00781112" w:rsidRDefault="002B7490" w:rsidP="00894709">
            <w:pPr>
              <w:jc w:val="center"/>
              <w:rPr>
                <w:b/>
                <w:color w:val="000000" w:themeColor="text1"/>
              </w:rPr>
            </w:pPr>
            <w:r w:rsidRPr="00781112">
              <w:rPr>
                <w:b/>
                <w:color w:val="000000" w:themeColor="text1"/>
              </w:rPr>
              <w:t>2021</w:t>
            </w:r>
          </w:p>
        </w:tc>
        <w:tc>
          <w:tcPr>
            <w:tcW w:w="833" w:type="pct"/>
          </w:tcPr>
          <w:p w14:paraId="0AEEB244" w14:textId="77777777" w:rsidR="00907A35" w:rsidRPr="00781112" w:rsidRDefault="002B7490" w:rsidP="00894709">
            <w:pPr>
              <w:jc w:val="center"/>
              <w:rPr>
                <w:b/>
                <w:color w:val="000000" w:themeColor="text1"/>
              </w:rPr>
            </w:pPr>
            <w:r w:rsidRPr="00781112">
              <w:rPr>
                <w:b/>
                <w:color w:val="000000" w:themeColor="text1"/>
              </w:rPr>
              <w:t>2022</w:t>
            </w:r>
          </w:p>
        </w:tc>
        <w:tc>
          <w:tcPr>
            <w:tcW w:w="834" w:type="pct"/>
          </w:tcPr>
          <w:p w14:paraId="02398006" w14:textId="77777777" w:rsidR="00907A35" w:rsidRPr="00781112" w:rsidRDefault="002B7490" w:rsidP="00894709">
            <w:pPr>
              <w:jc w:val="center"/>
              <w:rPr>
                <w:b/>
                <w:color w:val="000000" w:themeColor="text1"/>
              </w:rPr>
            </w:pPr>
            <w:r w:rsidRPr="00781112">
              <w:rPr>
                <w:b/>
                <w:color w:val="000000" w:themeColor="text1"/>
              </w:rPr>
              <w:t>2023</w:t>
            </w:r>
          </w:p>
        </w:tc>
      </w:tr>
      <w:tr w:rsidR="005C29F8" w:rsidRPr="00781112" w14:paraId="02A4D6C1" w14:textId="77777777" w:rsidTr="00DF4C35">
        <w:trPr>
          <w:trHeight w:val="357"/>
        </w:trPr>
        <w:tc>
          <w:tcPr>
            <w:tcW w:w="833" w:type="pct"/>
            <w:vAlign w:val="center"/>
          </w:tcPr>
          <w:p w14:paraId="2352F7A9" w14:textId="77777777" w:rsidR="00907A35" w:rsidRPr="00781112" w:rsidRDefault="00907A35" w:rsidP="00BA3DBE">
            <w:pPr>
              <w:jc w:val="center"/>
              <w:rPr>
                <w:rFonts w:cs="Arial"/>
                <w:color w:val="000000" w:themeColor="text1"/>
                <w:szCs w:val="16"/>
              </w:rPr>
            </w:pPr>
            <w:r w:rsidRPr="00781112">
              <w:rPr>
                <w:rFonts w:cs="Arial"/>
                <w:color w:val="000000" w:themeColor="text1"/>
                <w:szCs w:val="16"/>
              </w:rPr>
              <w:t xml:space="preserve">Target </w:t>
            </w:r>
            <w:r w:rsidR="0051170F" w:rsidRPr="00781112">
              <w:rPr>
                <w:rFonts w:cs="Arial"/>
                <w:color w:val="000000" w:themeColor="text1"/>
                <w:szCs w:val="16"/>
                <w:shd w:val="clear" w:color="auto" w:fill="FFFFFF"/>
              </w:rPr>
              <w:t>&lt;=</w:t>
            </w:r>
          </w:p>
        </w:tc>
        <w:tc>
          <w:tcPr>
            <w:tcW w:w="833" w:type="pct"/>
            <w:vAlign w:val="center"/>
          </w:tcPr>
          <w:p w14:paraId="40F3D341" w14:textId="77777777" w:rsidR="00907A35" w:rsidRPr="00781112" w:rsidRDefault="002B7490" w:rsidP="00E0321D">
            <w:pPr>
              <w:jc w:val="center"/>
              <w:rPr>
                <w:rFonts w:cs="Arial"/>
                <w:color w:val="000000" w:themeColor="text1"/>
                <w:szCs w:val="16"/>
              </w:rPr>
            </w:pPr>
            <w:r w:rsidRPr="00781112">
              <w:rPr>
                <w:rFonts w:cs="Arial"/>
                <w:color w:val="000000" w:themeColor="text1"/>
                <w:szCs w:val="16"/>
              </w:rPr>
              <w:t>1.75%</w:t>
            </w:r>
          </w:p>
        </w:tc>
        <w:tc>
          <w:tcPr>
            <w:tcW w:w="833" w:type="pct"/>
            <w:vAlign w:val="center"/>
          </w:tcPr>
          <w:p w14:paraId="64FC3BAE" w14:textId="77777777" w:rsidR="00907A35" w:rsidRPr="00781112" w:rsidRDefault="002B7490" w:rsidP="00E0321D">
            <w:pPr>
              <w:jc w:val="center"/>
              <w:rPr>
                <w:rFonts w:cs="Arial"/>
                <w:color w:val="000000" w:themeColor="text1"/>
                <w:szCs w:val="16"/>
              </w:rPr>
            </w:pPr>
            <w:r w:rsidRPr="00781112">
              <w:rPr>
                <w:rFonts w:cs="Arial"/>
                <w:color w:val="000000" w:themeColor="text1"/>
                <w:szCs w:val="16"/>
              </w:rPr>
              <w:t>5.67%</w:t>
            </w:r>
          </w:p>
        </w:tc>
        <w:tc>
          <w:tcPr>
            <w:tcW w:w="833" w:type="pct"/>
            <w:vAlign w:val="center"/>
          </w:tcPr>
          <w:p w14:paraId="3B8A5E99" w14:textId="77777777" w:rsidR="00907A35" w:rsidRPr="00781112" w:rsidRDefault="002B7490" w:rsidP="00E0321D">
            <w:pPr>
              <w:jc w:val="center"/>
              <w:rPr>
                <w:rFonts w:cs="Arial"/>
                <w:color w:val="000000" w:themeColor="text1"/>
                <w:szCs w:val="16"/>
              </w:rPr>
            </w:pPr>
            <w:r w:rsidRPr="00781112">
              <w:rPr>
                <w:rFonts w:cs="Arial"/>
                <w:color w:val="000000" w:themeColor="text1"/>
                <w:szCs w:val="16"/>
              </w:rPr>
              <w:t>5.17%</w:t>
            </w:r>
          </w:p>
        </w:tc>
        <w:tc>
          <w:tcPr>
            <w:tcW w:w="833" w:type="pct"/>
            <w:vAlign w:val="center"/>
          </w:tcPr>
          <w:p w14:paraId="465BEBFF" w14:textId="77777777" w:rsidR="00907A35" w:rsidRPr="00781112" w:rsidRDefault="002B7490" w:rsidP="00E0321D">
            <w:pPr>
              <w:jc w:val="center"/>
              <w:rPr>
                <w:rFonts w:cs="Arial"/>
                <w:color w:val="000000" w:themeColor="text1"/>
                <w:szCs w:val="16"/>
              </w:rPr>
            </w:pPr>
            <w:r w:rsidRPr="00781112">
              <w:rPr>
                <w:rFonts w:cs="Arial"/>
                <w:color w:val="000000" w:themeColor="text1"/>
                <w:szCs w:val="16"/>
              </w:rPr>
              <w:t>4.67%</w:t>
            </w:r>
          </w:p>
        </w:tc>
        <w:tc>
          <w:tcPr>
            <w:tcW w:w="834" w:type="pct"/>
            <w:vAlign w:val="center"/>
          </w:tcPr>
          <w:p w14:paraId="4F797C5D" w14:textId="77777777" w:rsidR="00907A35" w:rsidRPr="00781112" w:rsidRDefault="002B7490" w:rsidP="00E0321D">
            <w:pPr>
              <w:jc w:val="center"/>
              <w:rPr>
                <w:rFonts w:cs="Arial"/>
                <w:color w:val="000000" w:themeColor="text1"/>
                <w:szCs w:val="16"/>
              </w:rPr>
            </w:pPr>
            <w:r w:rsidRPr="00781112">
              <w:rPr>
                <w:rFonts w:cs="Arial"/>
                <w:color w:val="000000" w:themeColor="text1"/>
                <w:szCs w:val="16"/>
              </w:rPr>
              <w:t>4.17%</w:t>
            </w:r>
          </w:p>
        </w:tc>
      </w:tr>
      <w:tr w:rsidR="005C29F8" w:rsidRPr="00781112" w14:paraId="5EE81FB5" w14:textId="77777777" w:rsidTr="00DF4C35">
        <w:trPr>
          <w:trHeight w:val="85"/>
        </w:trPr>
        <w:tc>
          <w:tcPr>
            <w:tcW w:w="833" w:type="pct"/>
            <w:vAlign w:val="center"/>
          </w:tcPr>
          <w:p w14:paraId="08CF4ADC" w14:textId="77777777" w:rsidR="00907A35" w:rsidRPr="00781112" w:rsidRDefault="00907A35" w:rsidP="00BA3DBE">
            <w:pPr>
              <w:jc w:val="center"/>
              <w:rPr>
                <w:rFonts w:cs="Arial"/>
                <w:color w:val="000000" w:themeColor="text1"/>
                <w:szCs w:val="16"/>
              </w:rPr>
            </w:pPr>
            <w:r w:rsidRPr="00781112">
              <w:rPr>
                <w:rFonts w:cs="Arial"/>
                <w:color w:val="000000" w:themeColor="text1"/>
                <w:szCs w:val="16"/>
              </w:rPr>
              <w:t>Data</w:t>
            </w:r>
          </w:p>
        </w:tc>
        <w:tc>
          <w:tcPr>
            <w:tcW w:w="833" w:type="pct"/>
            <w:vAlign w:val="center"/>
          </w:tcPr>
          <w:p w14:paraId="13779BDD" w14:textId="77777777" w:rsidR="00907A35" w:rsidRPr="00781112" w:rsidRDefault="002B7490" w:rsidP="00E0321D">
            <w:pPr>
              <w:jc w:val="center"/>
              <w:rPr>
                <w:rFonts w:cs="Arial"/>
                <w:color w:val="000000" w:themeColor="text1"/>
                <w:szCs w:val="16"/>
              </w:rPr>
            </w:pPr>
            <w:r w:rsidRPr="00781112">
              <w:rPr>
                <w:rFonts w:cs="Arial"/>
                <w:color w:val="000000" w:themeColor="text1"/>
                <w:szCs w:val="16"/>
              </w:rPr>
              <w:t>0.73%</w:t>
            </w:r>
          </w:p>
        </w:tc>
        <w:tc>
          <w:tcPr>
            <w:tcW w:w="833" w:type="pct"/>
            <w:vAlign w:val="center"/>
          </w:tcPr>
          <w:p w14:paraId="6EA331C2" w14:textId="77777777" w:rsidR="00907A35" w:rsidRPr="00781112" w:rsidRDefault="002B7490" w:rsidP="00E0321D">
            <w:pPr>
              <w:jc w:val="center"/>
              <w:rPr>
                <w:rFonts w:cs="Arial"/>
                <w:color w:val="000000" w:themeColor="text1"/>
                <w:szCs w:val="16"/>
              </w:rPr>
            </w:pPr>
            <w:r w:rsidRPr="00781112">
              <w:rPr>
                <w:rFonts w:cs="Arial"/>
                <w:color w:val="000000" w:themeColor="text1"/>
                <w:szCs w:val="16"/>
              </w:rPr>
              <w:t>4.61%</w:t>
            </w:r>
          </w:p>
        </w:tc>
        <w:tc>
          <w:tcPr>
            <w:tcW w:w="833" w:type="pct"/>
            <w:tcBorders>
              <w:bottom w:val="single" w:sz="4" w:space="0" w:color="auto"/>
            </w:tcBorders>
            <w:vAlign w:val="center"/>
          </w:tcPr>
          <w:p w14:paraId="05B8D12F" w14:textId="77777777" w:rsidR="00907A35" w:rsidRPr="00781112" w:rsidRDefault="002B7490" w:rsidP="00E0321D">
            <w:pPr>
              <w:jc w:val="center"/>
              <w:rPr>
                <w:rFonts w:cs="Arial"/>
                <w:color w:val="000000" w:themeColor="text1"/>
                <w:szCs w:val="16"/>
              </w:rPr>
            </w:pPr>
            <w:r w:rsidRPr="00781112">
              <w:rPr>
                <w:rFonts w:cs="Arial"/>
                <w:color w:val="000000" w:themeColor="text1"/>
                <w:szCs w:val="16"/>
              </w:rPr>
              <w:t>6.04%</w:t>
            </w:r>
          </w:p>
        </w:tc>
        <w:tc>
          <w:tcPr>
            <w:tcW w:w="833" w:type="pct"/>
            <w:tcBorders>
              <w:bottom w:val="single" w:sz="4" w:space="0" w:color="auto"/>
            </w:tcBorders>
            <w:vAlign w:val="center"/>
          </w:tcPr>
          <w:p w14:paraId="1E3DB0F2" w14:textId="77777777" w:rsidR="00907A35" w:rsidRPr="00781112" w:rsidRDefault="002B7490" w:rsidP="00E0321D">
            <w:pPr>
              <w:jc w:val="center"/>
              <w:rPr>
                <w:rFonts w:cs="Arial"/>
                <w:color w:val="000000" w:themeColor="text1"/>
                <w:szCs w:val="16"/>
              </w:rPr>
            </w:pPr>
            <w:r w:rsidRPr="00781112">
              <w:rPr>
                <w:rFonts w:cs="Arial"/>
                <w:color w:val="000000" w:themeColor="text1"/>
                <w:szCs w:val="16"/>
              </w:rPr>
              <w:t>7.61%</w:t>
            </w:r>
          </w:p>
        </w:tc>
        <w:tc>
          <w:tcPr>
            <w:tcW w:w="834" w:type="pct"/>
            <w:tcBorders>
              <w:bottom w:val="single" w:sz="4" w:space="0" w:color="auto"/>
            </w:tcBorders>
            <w:vAlign w:val="center"/>
          </w:tcPr>
          <w:p w14:paraId="3FBA0895" w14:textId="77777777" w:rsidR="00907A35" w:rsidRPr="00781112" w:rsidRDefault="002B7490" w:rsidP="00E0321D">
            <w:pPr>
              <w:jc w:val="center"/>
              <w:rPr>
                <w:rFonts w:cs="Arial"/>
                <w:color w:val="000000" w:themeColor="text1"/>
                <w:szCs w:val="16"/>
              </w:rPr>
            </w:pPr>
            <w:r w:rsidRPr="00781112">
              <w:rPr>
                <w:rFonts w:cs="Arial"/>
                <w:color w:val="000000" w:themeColor="text1"/>
                <w:szCs w:val="16"/>
              </w:rPr>
              <w:t>6.58%</w:t>
            </w:r>
          </w:p>
        </w:tc>
      </w:tr>
    </w:tbl>
    <w:p w14:paraId="0A154BF5" w14:textId="77777777" w:rsidR="00654A4B" w:rsidRPr="00781112" w:rsidRDefault="00654A4B" w:rsidP="004369B2">
      <w:pPr>
        <w:rPr>
          <w:color w:val="000000" w:themeColor="text1"/>
        </w:rPr>
      </w:pPr>
    </w:p>
    <w:p w14:paraId="6E0FAA60" w14:textId="77777777" w:rsidR="00907A35" w:rsidRPr="00781112" w:rsidRDefault="00907A35" w:rsidP="004369B2">
      <w:pPr>
        <w:rPr>
          <w:color w:val="000000" w:themeColor="text1"/>
        </w:rPr>
      </w:pPr>
      <w:r w:rsidRPr="00781112">
        <w:rPr>
          <w:b/>
          <w:color w:val="000000" w:themeColor="text1"/>
        </w:rPr>
        <w:t>Targets</w:t>
      </w:r>
    </w:p>
    <w:tbl>
      <w:tblPr>
        <w:tblW w:w="1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TARGETS"/>
      </w:tblPr>
      <w:tblGrid>
        <w:gridCol w:w="735"/>
        <w:gridCol w:w="1676"/>
        <w:gridCol w:w="1676"/>
      </w:tblGrid>
      <w:tr w:rsidR="00A80E97" w:rsidRPr="00781112" w14:paraId="69451553" w14:textId="77777777" w:rsidTr="00924AD9">
        <w:trPr>
          <w:trHeight w:val="378"/>
        </w:trPr>
        <w:tc>
          <w:tcPr>
            <w:tcW w:w="898" w:type="pct"/>
            <w:tcBorders>
              <w:bottom w:val="single" w:sz="4" w:space="0" w:color="auto"/>
            </w:tcBorders>
          </w:tcPr>
          <w:p w14:paraId="6A0823CD" w14:textId="77777777" w:rsidR="00A80E97" w:rsidRPr="00781112" w:rsidRDefault="00A80E97" w:rsidP="00373F78">
            <w:pPr>
              <w:jc w:val="center"/>
              <w:rPr>
                <w:b/>
                <w:color w:val="000000" w:themeColor="text1"/>
              </w:rPr>
            </w:pPr>
            <w:r w:rsidRPr="00781112">
              <w:rPr>
                <w:b/>
                <w:color w:val="000000" w:themeColor="text1"/>
              </w:rPr>
              <w:t>FFY</w:t>
            </w:r>
          </w:p>
        </w:tc>
        <w:tc>
          <w:tcPr>
            <w:tcW w:w="2051" w:type="pct"/>
            <w:vAlign w:val="center"/>
          </w:tcPr>
          <w:p w14:paraId="55526449" w14:textId="77777777" w:rsidR="00A80E97" w:rsidRPr="00781112" w:rsidRDefault="00A80E97" w:rsidP="00373F78">
            <w:pPr>
              <w:jc w:val="center"/>
              <w:rPr>
                <w:b/>
                <w:color w:val="000000" w:themeColor="text1"/>
              </w:rPr>
            </w:pPr>
            <w:r w:rsidRPr="00781112">
              <w:rPr>
                <w:b/>
                <w:color w:val="000000" w:themeColor="text1"/>
              </w:rPr>
              <w:t>2024</w:t>
            </w:r>
          </w:p>
        </w:tc>
        <w:tc>
          <w:tcPr>
            <w:tcW w:w="2051" w:type="pct"/>
          </w:tcPr>
          <w:p w14:paraId="54DE252D" w14:textId="77777777" w:rsidR="00A80E97" w:rsidRPr="00781112" w:rsidRDefault="00A80E97" w:rsidP="00373F78">
            <w:pPr>
              <w:jc w:val="center"/>
              <w:rPr>
                <w:b/>
                <w:color w:val="000000" w:themeColor="text1"/>
              </w:rPr>
            </w:pPr>
            <w:r w:rsidRPr="00781112">
              <w:rPr>
                <w:rFonts w:cs="Arial"/>
                <w:b/>
                <w:color w:val="000000" w:themeColor="text1"/>
                <w:szCs w:val="16"/>
              </w:rPr>
              <w:t>2025</w:t>
            </w:r>
          </w:p>
        </w:tc>
      </w:tr>
      <w:tr w:rsidR="00A80E97" w:rsidRPr="00781112" w14:paraId="482B68AA" w14:textId="77777777" w:rsidTr="00924AD9">
        <w:trPr>
          <w:trHeight w:val="386"/>
        </w:trPr>
        <w:tc>
          <w:tcPr>
            <w:tcW w:w="898" w:type="pct"/>
            <w:vAlign w:val="center"/>
          </w:tcPr>
          <w:p w14:paraId="1A4FF329" w14:textId="77777777" w:rsidR="00A80E97" w:rsidRPr="00781112" w:rsidRDefault="00A80E97" w:rsidP="00BA3DBE">
            <w:pPr>
              <w:jc w:val="center"/>
              <w:rPr>
                <w:rFonts w:cs="Arial"/>
                <w:color w:val="000000" w:themeColor="text1"/>
                <w:szCs w:val="16"/>
              </w:rPr>
            </w:pPr>
            <w:r w:rsidRPr="00781112">
              <w:rPr>
                <w:rFonts w:cs="Arial"/>
                <w:color w:val="000000" w:themeColor="text1"/>
                <w:szCs w:val="16"/>
              </w:rPr>
              <w:t>Target &lt;=</w:t>
            </w:r>
          </w:p>
        </w:tc>
        <w:tc>
          <w:tcPr>
            <w:tcW w:w="2051" w:type="pct"/>
            <w:vAlign w:val="center"/>
          </w:tcPr>
          <w:p w14:paraId="083035DA" w14:textId="77777777" w:rsidR="00A80E97" w:rsidRPr="00781112" w:rsidRDefault="00A80E97" w:rsidP="00373F78">
            <w:pPr>
              <w:jc w:val="center"/>
              <w:rPr>
                <w:rFonts w:cs="Arial"/>
                <w:color w:val="000000" w:themeColor="text1"/>
                <w:szCs w:val="16"/>
              </w:rPr>
            </w:pPr>
            <w:r w:rsidRPr="00781112">
              <w:rPr>
                <w:rFonts w:cs="Arial"/>
                <w:color w:val="000000" w:themeColor="text1"/>
                <w:szCs w:val="16"/>
              </w:rPr>
              <w:t>3.67%</w:t>
            </w:r>
          </w:p>
        </w:tc>
        <w:tc>
          <w:tcPr>
            <w:tcW w:w="2051" w:type="pct"/>
          </w:tcPr>
          <w:p w14:paraId="3C8EAA63" w14:textId="77777777" w:rsidR="00A80E97" w:rsidRPr="00781112" w:rsidRDefault="00A80E97" w:rsidP="00373F78">
            <w:pPr>
              <w:jc w:val="center"/>
              <w:rPr>
                <w:rFonts w:cs="Arial"/>
                <w:color w:val="000000" w:themeColor="text1"/>
                <w:szCs w:val="16"/>
              </w:rPr>
            </w:pPr>
            <w:r w:rsidRPr="00781112">
              <w:rPr>
                <w:color w:val="000000" w:themeColor="text1"/>
                <w:szCs w:val="16"/>
              </w:rPr>
              <w:t>3.17%</w:t>
            </w:r>
          </w:p>
        </w:tc>
      </w:tr>
    </w:tbl>
    <w:p w14:paraId="445B0D49" w14:textId="77777777" w:rsidR="002D145D" w:rsidRPr="00781112" w:rsidRDefault="002D145D">
      <w:pPr>
        <w:rPr>
          <w:b/>
          <w:color w:val="000000" w:themeColor="text1"/>
        </w:rPr>
      </w:pPr>
      <w:r w:rsidRPr="00781112">
        <w:rPr>
          <w:b/>
          <w:color w:val="000000" w:themeColor="text1"/>
        </w:rPr>
        <w:t>Targets: Description of Stakeholder Input</w:t>
      </w:r>
    </w:p>
    <w:p w14:paraId="741986F4" w14:textId="77777777" w:rsidR="0051170F" w:rsidRPr="00781112" w:rsidRDefault="0051170F" w:rsidP="004369B2">
      <w:pPr>
        <w:rPr>
          <w:rFonts w:cs="Arial"/>
          <w:color w:val="000000" w:themeColor="text1"/>
          <w:szCs w:val="16"/>
        </w:rPr>
      </w:pPr>
      <w:r w:rsidRPr="00781112">
        <w:rPr>
          <w:rFonts w:cs="Arial"/>
          <w:color w:val="000000" w:themeColor="text1"/>
          <w:szCs w:val="16"/>
        </w:rPr>
        <w:t>WVDE/OSE maintains robust stakeholder engagement through multiple communication and collaboration channels:</w:t>
      </w:r>
    </w:p>
    <w:p w14:paraId="125B2BE4" w14:textId="77777777" w:rsidR="00CA787A" w:rsidRDefault="003169E9">
      <w:r>
        <w:rPr>
          <w:color w:val="000000"/>
        </w:rPr>
        <w:t>*DIRECT COMMUNICATION/CONSULTATION*</w:t>
      </w:r>
    </w:p>
    <w:p w14:paraId="4EAF7702" w14:textId="77777777" w:rsidR="00CA787A" w:rsidRDefault="003169E9">
      <w:r>
        <w:rPr>
          <w:color w:val="000000"/>
        </w:rPr>
        <w:t>—Engaging in one-on-one calls with parents, advocates, educators, and community stakeholders.</w:t>
      </w:r>
    </w:p>
    <w:p w14:paraId="3C7575DF" w14:textId="77777777" w:rsidR="00CA787A" w:rsidRDefault="003169E9">
      <w:r>
        <w:rPr>
          <w:color w:val="000000"/>
        </w:rPr>
        <w:t>—Distributing emails and surveys to solicit input from diverse stakeholder groups.</w:t>
      </w:r>
    </w:p>
    <w:p w14:paraId="0137C64E" w14:textId="77777777" w:rsidR="00CA787A" w:rsidRDefault="003169E9">
      <w:r>
        <w:rPr>
          <w:color w:val="000000"/>
        </w:rPr>
        <w:t>—Hosting bi-monthly secondary transition office hours to address Indicator 13 compliance and results, and to provide technical assistance for IEP development.</w:t>
      </w:r>
    </w:p>
    <w:p w14:paraId="53BF4D17" w14:textId="77777777" w:rsidR="00CA787A" w:rsidRDefault="003169E9">
      <w:r>
        <w:rPr>
          <w:color w:val="000000"/>
        </w:rPr>
        <w:t>—Monthly virtual meetings with stakeholders to identify and troubleshoot areas of concern throughout the state.</w:t>
      </w:r>
    </w:p>
    <w:p w14:paraId="6CFD5261" w14:textId="77777777" w:rsidR="00CA787A" w:rsidRDefault="003169E9">
      <w:r>
        <w:rPr>
          <w:color w:val="000000"/>
        </w:rPr>
        <w:t>*INFORMATION SHARING*</w:t>
      </w:r>
    </w:p>
    <w:p w14:paraId="4D4E558A" w14:textId="77777777" w:rsidR="00CA787A" w:rsidRDefault="003169E9">
      <w:r>
        <w:rPr>
          <w:color w:val="000000"/>
        </w:rPr>
        <w:t>—Utilizing a dedicated Microsoft Teams platform for communication with LEAs.</w:t>
      </w:r>
    </w:p>
    <w:p w14:paraId="5134642D" w14:textId="77777777" w:rsidR="00CA787A" w:rsidRDefault="003169E9">
      <w:r>
        <w:rPr>
          <w:color w:val="000000"/>
        </w:rPr>
        <w:t>—Maintaining a public input form on the WVDE website specifically for SSIP feedback.</w:t>
      </w:r>
    </w:p>
    <w:p w14:paraId="61F3F267" w14:textId="77777777" w:rsidR="00CA787A" w:rsidRDefault="003169E9">
      <w:r>
        <w:rPr>
          <w:color w:val="000000"/>
        </w:rPr>
        <w:t xml:space="preserve">—Collecting input from parents, students, and school personnel as required components of monitoring activities. </w:t>
      </w:r>
    </w:p>
    <w:p w14:paraId="66A75460" w14:textId="77777777" w:rsidR="00CA787A" w:rsidRDefault="003169E9">
      <w:r>
        <w:rPr>
          <w:color w:val="000000"/>
        </w:rPr>
        <w:t>—Facilitating cross-office communication and coordination on general and special education initiatives.</w:t>
      </w:r>
    </w:p>
    <w:p w14:paraId="3C5CC37D" w14:textId="77777777" w:rsidR="00CA787A" w:rsidRDefault="003169E9">
      <w:r>
        <w:rPr>
          <w:color w:val="000000"/>
        </w:rPr>
        <w:t>*COLLABORATIVE PARTNERSHIPS*</w:t>
      </w:r>
    </w:p>
    <w:p w14:paraId="4DC4595E" w14:textId="77777777" w:rsidR="00CA787A" w:rsidRDefault="003169E9">
      <w:r>
        <w:rPr>
          <w:color w:val="000000"/>
        </w:rPr>
        <w:t>—Engaging in ongoing meetings and interagency teams dedicated to enhancing outcomes for individuals with disabilities.</w:t>
      </w:r>
    </w:p>
    <w:p w14:paraId="00A54584" w14:textId="77777777" w:rsidR="00CA787A" w:rsidRDefault="003169E9">
      <w:r>
        <w:rPr>
          <w:color w:val="000000"/>
        </w:rPr>
        <w:t>—Ensuring the state director's active participation in all WVACEEC meetings, including involvement in sessions, capacity-building efforts, and feedback collection from LEAs, parents, and community organizations.</w:t>
      </w:r>
    </w:p>
    <w:p w14:paraId="5F688EAD" w14:textId="77777777" w:rsidR="00CA787A" w:rsidRDefault="003169E9">
      <w:r>
        <w:rPr>
          <w:color w:val="000000"/>
        </w:rPr>
        <w:t>—Maintaining regular meetings and collaborative relationships with legislators, advocacy organizations, educator associations, and other stakeholders to strengthen stakeholder knowledge of IDEA procedures, improve SEA-stakeholder dialogue, and collaboratively develop strategies for ongoing improvement toward special education goals (e.g., the Developmental Disability Council (DD Council), Statewide Independent Living Council (SILC), State Rehabilitation Council (SRC), Employment First Task Force, Olmstead Council).</w:t>
      </w:r>
    </w:p>
    <w:p w14:paraId="493665C1" w14:textId="77777777" w:rsidR="002D145D" w:rsidRPr="00781112" w:rsidRDefault="002B7490" w:rsidP="002D145D">
      <w:pPr>
        <w:rPr>
          <w:rFonts w:cs="Arial"/>
          <w:color w:val="000000" w:themeColor="text1"/>
          <w:szCs w:val="16"/>
        </w:rPr>
      </w:pPr>
      <w:r w:rsidRPr="00781112">
        <w:rPr>
          <w:rFonts w:cs="Arial"/>
          <w:color w:val="000000" w:themeColor="text1"/>
          <w:szCs w:val="16"/>
        </w:rPr>
        <w:t>Stakeholders did not indicate any interest in revising the Dropout targets during meetings held throughout the reporting period. However, WVDE/OSE remains open to considering any concerns or recommendations stakeholders may have regarding these targets.</w:t>
      </w:r>
    </w:p>
    <w:p w14:paraId="46EA796D" w14:textId="77777777" w:rsidR="00650510" w:rsidRDefault="00650510" w:rsidP="004369B2">
      <w:pPr>
        <w:rPr>
          <w:b/>
          <w:color w:val="000000" w:themeColor="text1"/>
        </w:rPr>
      </w:pPr>
    </w:p>
    <w:p w14:paraId="2C411C0C" w14:textId="77777777" w:rsidR="00002962" w:rsidRPr="00781112" w:rsidRDefault="00002962" w:rsidP="004369B2">
      <w:pPr>
        <w:rPr>
          <w:color w:val="000000" w:themeColor="text1"/>
        </w:rPr>
      </w:pPr>
      <w:r w:rsidRPr="00781112">
        <w:rPr>
          <w:b/>
          <w:color w:val="000000" w:themeColor="text1"/>
        </w:rPr>
        <w:lastRenderedPageBreak/>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PREPOPDATA"/>
      </w:tblPr>
      <w:tblGrid>
        <w:gridCol w:w="2164"/>
        <w:gridCol w:w="2130"/>
        <w:gridCol w:w="4929"/>
        <w:gridCol w:w="1567"/>
      </w:tblGrid>
      <w:tr w:rsidR="005C29F8" w:rsidRPr="00781112" w14:paraId="33CFAB3F" w14:textId="77777777" w:rsidTr="0011161A">
        <w:trPr>
          <w:trHeight w:val="372"/>
          <w:tblHeader/>
        </w:trPr>
        <w:tc>
          <w:tcPr>
            <w:tcW w:w="1003" w:type="pct"/>
          </w:tcPr>
          <w:p w14:paraId="58DDBCD8"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Source</w:t>
            </w:r>
          </w:p>
        </w:tc>
        <w:tc>
          <w:tcPr>
            <w:tcW w:w="987" w:type="pct"/>
          </w:tcPr>
          <w:p w14:paraId="4DA2850E"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Date</w:t>
            </w:r>
          </w:p>
        </w:tc>
        <w:tc>
          <w:tcPr>
            <w:tcW w:w="2284" w:type="pct"/>
          </w:tcPr>
          <w:p w14:paraId="6ED75B13"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Description</w:t>
            </w:r>
          </w:p>
        </w:tc>
        <w:tc>
          <w:tcPr>
            <w:tcW w:w="726" w:type="pct"/>
          </w:tcPr>
          <w:p w14:paraId="56CDE4CF"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2D60DEFE" w14:textId="77777777" w:rsidTr="0011161A">
        <w:trPr>
          <w:trHeight w:val="380"/>
        </w:trPr>
        <w:tc>
          <w:tcPr>
            <w:tcW w:w="1003" w:type="pct"/>
          </w:tcPr>
          <w:p w14:paraId="40E965C1" w14:textId="77777777" w:rsidR="001D55EC" w:rsidRPr="00781112" w:rsidRDefault="008A2533" w:rsidP="00A018D4">
            <w:pPr>
              <w:jc w:val="center"/>
              <w:rPr>
                <w:rFonts w:cs="Arial"/>
                <w:color w:val="000000" w:themeColor="text1"/>
                <w:szCs w:val="16"/>
              </w:rPr>
            </w:pPr>
            <w:r w:rsidRPr="00781112">
              <w:rPr>
                <w:rFonts w:cs="Arial"/>
                <w:color w:val="000000" w:themeColor="text1"/>
                <w:szCs w:val="16"/>
              </w:rPr>
              <w:t>SY 2023-24 Children with Disabilities (IDEA) Exiting Special Education (</w:t>
            </w:r>
            <w:proofErr w:type="spellStart"/>
            <w:r w:rsidRPr="00781112">
              <w:rPr>
                <w:rFonts w:cs="Arial"/>
                <w:color w:val="000000" w:themeColor="text1"/>
                <w:szCs w:val="16"/>
              </w:rPr>
              <w:t>EDFacts</w:t>
            </w:r>
            <w:proofErr w:type="spellEnd"/>
            <w:r w:rsidRPr="00781112">
              <w:rPr>
                <w:rFonts w:cs="Arial"/>
                <w:color w:val="000000" w:themeColor="text1"/>
                <w:szCs w:val="16"/>
              </w:rPr>
              <w:t xml:space="preserve"> file spec FS009; Data group 85)</w:t>
            </w:r>
          </w:p>
        </w:tc>
        <w:tc>
          <w:tcPr>
            <w:tcW w:w="987" w:type="pct"/>
          </w:tcPr>
          <w:p w14:paraId="54F17D18" w14:textId="77777777" w:rsidR="001D55EC" w:rsidRPr="00781112" w:rsidRDefault="008A2533" w:rsidP="00A018D4">
            <w:pPr>
              <w:jc w:val="center"/>
              <w:rPr>
                <w:rFonts w:cs="Arial"/>
                <w:color w:val="000000" w:themeColor="text1"/>
                <w:szCs w:val="16"/>
              </w:rPr>
            </w:pPr>
            <w:r w:rsidRPr="00781112">
              <w:rPr>
                <w:rFonts w:cs="Arial"/>
                <w:color w:val="000000" w:themeColor="text1"/>
                <w:szCs w:val="16"/>
              </w:rPr>
              <w:t>03/05/2025</w:t>
            </w:r>
          </w:p>
        </w:tc>
        <w:tc>
          <w:tcPr>
            <w:tcW w:w="2284" w:type="pct"/>
          </w:tcPr>
          <w:p w14:paraId="4F58F5B5" w14:textId="77777777" w:rsidR="001D55EC" w:rsidRPr="00781112" w:rsidRDefault="00E619AC" w:rsidP="001D55EC">
            <w:pPr>
              <w:rPr>
                <w:rFonts w:cs="Arial"/>
                <w:color w:val="000000" w:themeColor="text1"/>
                <w:szCs w:val="16"/>
              </w:rPr>
            </w:pPr>
            <w:r w:rsidRPr="00781112">
              <w:rPr>
                <w:rFonts w:cs="Arial"/>
                <w:color w:val="000000" w:themeColor="text1"/>
                <w:szCs w:val="16"/>
              </w:rPr>
              <w:t>Number of youth with IEPs (ages 14-21) who exited special education by graduating with a regular high school diploma (a)</w:t>
            </w:r>
          </w:p>
        </w:tc>
        <w:tc>
          <w:tcPr>
            <w:tcW w:w="726" w:type="pct"/>
          </w:tcPr>
          <w:p w14:paraId="22D7017D" w14:textId="77777777" w:rsidR="001D55EC" w:rsidRPr="00781112" w:rsidRDefault="002B7490" w:rsidP="00A018D4">
            <w:pPr>
              <w:jc w:val="center"/>
              <w:rPr>
                <w:rFonts w:cs="Arial"/>
                <w:color w:val="000000" w:themeColor="text1"/>
                <w:szCs w:val="16"/>
              </w:rPr>
            </w:pPr>
            <w:r w:rsidRPr="00781112">
              <w:rPr>
                <w:rFonts w:cs="Arial"/>
                <w:color w:val="000000" w:themeColor="text1"/>
                <w:szCs w:val="16"/>
              </w:rPr>
              <w:t>2,395</w:t>
            </w:r>
          </w:p>
        </w:tc>
      </w:tr>
      <w:tr w:rsidR="00FE0F05" w:rsidRPr="00781112" w14:paraId="4ADA0F4D" w14:textId="77777777" w:rsidTr="0011161A">
        <w:trPr>
          <w:trHeight w:val="380"/>
        </w:trPr>
        <w:tc>
          <w:tcPr>
            <w:tcW w:w="1003" w:type="pct"/>
          </w:tcPr>
          <w:p w14:paraId="78579428" w14:textId="77777777" w:rsidR="00FE0F05" w:rsidRPr="00781112" w:rsidRDefault="00FE0F05" w:rsidP="00FE0F05">
            <w:pPr>
              <w:jc w:val="center"/>
              <w:rPr>
                <w:rFonts w:cs="Arial"/>
                <w:color w:val="000000" w:themeColor="text1"/>
                <w:szCs w:val="16"/>
              </w:rPr>
            </w:pPr>
            <w:r w:rsidRPr="00781112">
              <w:rPr>
                <w:rFonts w:cs="Arial"/>
                <w:color w:val="000000" w:themeColor="text1"/>
                <w:szCs w:val="16"/>
              </w:rPr>
              <w:t>SY 2023-24 Children with Disabilities (IDEA) Exiting Special Education (</w:t>
            </w:r>
            <w:proofErr w:type="spellStart"/>
            <w:r w:rsidRPr="00781112">
              <w:rPr>
                <w:rFonts w:cs="Arial"/>
                <w:color w:val="000000" w:themeColor="text1"/>
                <w:szCs w:val="16"/>
              </w:rPr>
              <w:t>EDFacts</w:t>
            </w:r>
            <w:proofErr w:type="spellEnd"/>
            <w:r w:rsidRPr="00781112">
              <w:rPr>
                <w:rFonts w:cs="Arial"/>
                <w:color w:val="000000" w:themeColor="text1"/>
                <w:szCs w:val="16"/>
              </w:rPr>
              <w:t xml:space="preserve"> file spec FS009; Data group 85)</w:t>
            </w:r>
          </w:p>
        </w:tc>
        <w:tc>
          <w:tcPr>
            <w:tcW w:w="987" w:type="pct"/>
          </w:tcPr>
          <w:p w14:paraId="52DBB339" w14:textId="77777777" w:rsidR="00FE0F05" w:rsidRPr="00781112" w:rsidRDefault="00FE0F05" w:rsidP="00FE0F05">
            <w:pPr>
              <w:jc w:val="center"/>
              <w:rPr>
                <w:rFonts w:cs="Arial"/>
                <w:color w:val="000000" w:themeColor="text1"/>
                <w:szCs w:val="16"/>
              </w:rPr>
            </w:pPr>
            <w:r w:rsidRPr="00781112">
              <w:rPr>
                <w:rFonts w:cs="Arial"/>
                <w:color w:val="000000" w:themeColor="text1"/>
                <w:szCs w:val="16"/>
              </w:rPr>
              <w:t>03/05/2025</w:t>
            </w:r>
          </w:p>
        </w:tc>
        <w:tc>
          <w:tcPr>
            <w:tcW w:w="2284" w:type="pct"/>
          </w:tcPr>
          <w:p w14:paraId="517772BD" w14:textId="77777777" w:rsidR="00FE0F05" w:rsidRPr="00781112" w:rsidRDefault="00FE0F05" w:rsidP="00FE0F05">
            <w:pPr>
              <w:rPr>
                <w:rFonts w:cs="Arial"/>
                <w:color w:val="000000" w:themeColor="text1"/>
                <w:szCs w:val="16"/>
              </w:rPr>
            </w:pPr>
            <w:r w:rsidRPr="00781112">
              <w:rPr>
                <w:rFonts w:cs="Arial"/>
                <w:szCs w:val="16"/>
              </w:rPr>
              <w:t>Number of youth with IEPs (ages 14-21) who exited special education by graduating with a state-defined alternate diploma (b)</w:t>
            </w:r>
          </w:p>
        </w:tc>
        <w:tc>
          <w:tcPr>
            <w:tcW w:w="726" w:type="pct"/>
          </w:tcPr>
          <w:p w14:paraId="6E799F1D" w14:textId="77777777" w:rsidR="00FE0F05" w:rsidRPr="00781112" w:rsidRDefault="00FE0F05" w:rsidP="00FE0F05">
            <w:pPr>
              <w:jc w:val="center"/>
              <w:rPr>
                <w:rFonts w:cs="Arial"/>
                <w:color w:val="000000" w:themeColor="text1"/>
                <w:szCs w:val="16"/>
              </w:rPr>
            </w:pPr>
            <w:r w:rsidRPr="00781112">
              <w:rPr>
                <w:rFonts w:cs="Arial"/>
                <w:color w:val="000000" w:themeColor="text1"/>
                <w:szCs w:val="16"/>
              </w:rPr>
              <w:t>244</w:t>
            </w:r>
          </w:p>
        </w:tc>
      </w:tr>
      <w:tr w:rsidR="0011161A" w:rsidRPr="00781112" w14:paraId="416DFAE1" w14:textId="77777777" w:rsidTr="0011161A">
        <w:trPr>
          <w:trHeight w:val="380"/>
        </w:trPr>
        <w:tc>
          <w:tcPr>
            <w:tcW w:w="1003" w:type="pct"/>
          </w:tcPr>
          <w:p w14:paraId="2A89C8E0" w14:textId="77777777" w:rsidR="0011161A" w:rsidRPr="00781112" w:rsidRDefault="0011161A" w:rsidP="0011161A">
            <w:pPr>
              <w:jc w:val="center"/>
              <w:rPr>
                <w:rFonts w:cs="Arial"/>
                <w:color w:val="000000" w:themeColor="text1"/>
                <w:szCs w:val="16"/>
              </w:rPr>
            </w:pPr>
            <w:r w:rsidRPr="00781112">
              <w:rPr>
                <w:rFonts w:cs="Arial"/>
                <w:color w:val="000000" w:themeColor="text1"/>
                <w:szCs w:val="16"/>
              </w:rPr>
              <w:t>SY 2023-24 Children with Disabilities (IDEA) Exiting Special Education (</w:t>
            </w:r>
            <w:proofErr w:type="spellStart"/>
            <w:r w:rsidRPr="00781112">
              <w:rPr>
                <w:rFonts w:cs="Arial"/>
                <w:color w:val="000000" w:themeColor="text1"/>
                <w:szCs w:val="16"/>
              </w:rPr>
              <w:t>EDFacts</w:t>
            </w:r>
            <w:proofErr w:type="spellEnd"/>
            <w:r w:rsidRPr="00781112">
              <w:rPr>
                <w:rFonts w:cs="Arial"/>
                <w:color w:val="000000" w:themeColor="text1"/>
                <w:szCs w:val="16"/>
              </w:rPr>
              <w:t xml:space="preserve"> file spec FS009; Data group 85)</w:t>
            </w:r>
          </w:p>
        </w:tc>
        <w:tc>
          <w:tcPr>
            <w:tcW w:w="987" w:type="pct"/>
          </w:tcPr>
          <w:p w14:paraId="02EC134B" w14:textId="77777777" w:rsidR="0011161A" w:rsidRPr="00781112" w:rsidRDefault="0011161A" w:rsidP="0011161A">
            <w:pPr>
              <w:jc w:val="center"/>
              <w:rPr>
                <w:rFonts w:cs="Arial"/>
                <w:color w:val="000000" w:themeColor="text1"/>
                <w:szCs w:val="16"/>
              </w:rPr>
            </w:pPr>
            <w:r w:rsidRPr="00781112">
              <w:rPr>
                <w:rFonts w:cs="Arial"/>
                <w:color w:val="000000" w:themeColor="text1"/>
                <w:szCs w:val="16"/>
              </w:rPr>
              <w:t>03/05/2025</w:t>
            </w:r>
          </w:p>
        </w:tc>
        <w:tc>
          <w:tcPr>
            <w:tcW w:w="2284" w:type="pct"/>
          </w:tcPr>
          <w:p w14:paraId="35ACD686" w14:textId="77777777" w:rsidR="0011161A" w:rsidRPr="00781112" w:rsidRDefault="0011161A" w:rsidP="0011161A">
            <w:pPr>
              <w:rPr>
                <w:rFonts w:cs="Arial"/>
                <w:color w:val="000000" w:themeColor="text1"/>
                <w:szCs w:val="16"/>
              </w:rPr>
            </w:pPr>
            <w:r w:rsidRPr="00781112">
              <w:rPr>
                <w:rFonts w:cs="Arial"/>
                <w:color w:val="000000" w:themeColor="text1"/>
                <w:szCs w:val="16"/>
              </w:rPr>
              <w:t>Number of youth with IEPs (ages 14-21) who exited special education by receiving a certificate (c)</w:t>
            </w:r>
          </w:p>
        </w:tc>
        <w:tc>
          <w:tcPr>
            <w:tcW w:w="726" w:type="pct"/>
          </w:tcPr>
          <w:p w14:paraId="42AEA7F3" w14:textId="77777777" w:rsidR="0011161A" w:rsidRPr="00781112" w:rsidRDefault="0011161A" w:rsidP="0011161A">
            <w:pPr>
              <w:jc w:val="center"/>
              <w:rPr>
                <w:rFonts w:cs="Arial"/>
                <w:color w:val="000000" w:themeColor="text1"/>
                <w:szCs w:val="16"/>
              </w:rPr>
            </w:pPr>
          </w:p>
        </w:tc>
      </w:tr>
      <w:tr w:rsidR="0011161A" w:rsidRPr="00781112" w14:paraId="36DA43F6" w14:textId="77777777" w:rsidTr="0011161A">
        <w:trPr>
          <w:trHeight w:val="380"/>
        </w:trPr>
        <w:tc>
          <w:tcPr>
            <w:tcW w:w="1003" w:type="pct"/>
          </w:tcPr>
          <w:p w14:paraId="333E6F44" w14:textId="77777777" w:rsidR="0011161A" w:rsidRPr="00781112" w:rsidRDefault="0011161A" w:rsidP="0011161A">
            <w:pPr>
              <w:jc w:val="center"/>
              <w:rPr>
                <w:rFonts w:cs="Arial"/>
                <w:color w:val="000000" w:themeColor="text1"/>
                <w:szCs w:val="16"/>
              </w:rPr>
            </w:pPr>
            <w:r w:rsidRPr="00781112">
              <w:rPr>
                <w:rFonts w:cs="Arial"/>
                <w:color w:val="000000" w:themeColor="text1"/>
                <w:szCs w:val="16"/>
              </w:rPr>
              <w:t>SY 2023-24 Children with Disabilities (IDEA) Exiting Special Education (</w:t>
            </w:r>
            <w:proofErr w:type="spellStart"/>
            <w:r w:rsidRPr="00781112">
              <w:rPr>
                <w:rFonts w:cs="Arial"/>
                <w:color w:val="000000" w:themeColor="text1"/>
                <w:szCs w:val="16"/>
              </w:rPr>
              <w:t>EDFacts</w:t>
            </w:r>
            <w:proofErr w:type="spellEnd"/>
            <w:r w:rsidRPr="00781112">
              <w:rPr>
                <w:rFonts w:cs="Arial"/>
                <w:color w:val="000000" w:themeColor="text1"/>
                <w:szCs w:val="16"/>
              </w:rPr>
              <w:t xml:space="preserve"> file spec FS009; Data group 85)</w:t>
            </w:r>
          </w:p>
        </w:tc>
        <w:tc>
          <w:tcPr>
            <w:tcW w:w="987" w:type="pct"/>
          </w:tcPr>
          <w:p w14:paraId="7D3F6242" w14:textId="77777777" w:rsidR="0011161A" w:rsidRPr="00781112" w:rsidRDefault="0011161A" w:rsidP="0011161A">
            <w:pPr>
              <w:jc w:val="center"/>
              <w:rPr>
                <w:rFonts w:cs="Arial"/>
                <w:color w:val="000000" w:themeColor="text1"/>
                <w:szCs w:val="16"/>
              </w:rPr>
            </w:pPr>
            <w:r w:rsidRPr="00781112">
              <w:rPr>
                <w:rFonts w:cs="Arial"/>
                <w:color w:val="000000" w:themeColor="text1"/>
                <w:szCs w:val="16"/>
              </w:rPr>
              <w:t>03/05/2025</w:t>
            </w:r>
          </w:p>
        </w:tc>
        <w:tc>
          <w:tcPr>
            <w:tcW w:w="2284" w:type="pct"/>
          </w:tcPr>
          <w:p w14:paraId="03A98706" w14:textId="77777777" w:rsidR="0011161A" w:rsidRPr="00781112" w:rsidRDefault="0011161A" w:rsidP="0011161A">
            <w:pPr>
              <w:rPr>
                <w:rFonts w:cs="Arial"/>
                <w:color w:val="000000" w:themeColor="text1"/>
                <w:szCs w:val="16"/>
              </w:rPr>
            </w:pPr>
            <w:r w:rsidRPr="00781112">
              <w:rPr>
                <w:rFonts w:cs="Arial"/>
                <w:color w:val="000000" w:themeColor="text1"/>
                <w:szCs w:val="16"/>
              </w:rPr>
              <w:t>Number of youth with IEPs (ages 14-21) who exited special education by reaching maximum age (d)</w:t>
            </w:r>
          </w:p>
        </w:tc>
        <w:tc>
          <w:tcPr>
            <w:tcW w:w="726" w:type="pct"/>
          </w:tcPr>
          <w:p w14:paraId="19ADAD33" w14:textId="77777777" w:rsidR="0011161A" w:rsidRPr="00781112" w:rsidRDefault="0011161A" w:rsidP="0011161A">
            <w:pPr>
              <w:jc w:val="center"/>
              <w:rPr>
                <w:rFonts w:cs="Arial"/>
                <w:color w:val="000000" w:themeColor="text1"/>
                <w:szCs w:val="16"/>
              </w:rPr>
            </w:pPr>
            <w:r w:rsidRPr="00781112">
              <w:rPr>
                <w:rFonts w:cs="Arial"/>
                <w:color w:val="000000" w:themeColor="text1"/>
                <w:szCs w:val="16"/>
              </w:rPr>
              <w:t>16</w:t>
            </w:r>
          </w:p>
        </w:tc>
      </w:tr>
      <w:tr w:rsidR="005C29F8" w:rsidRPr="00781112" w14:paraId="5AA3020A" w14:textId="77777777" w:rsidTr="0011161A">
        <w:trPr>
          <w:trHeight w:val="380"/>
        </w:trPr>
        <w:tc>
          <w:tcPr>
            <w:tcW w:w="1003" w:type="pct"/>
          </w:tcPr>
          <w:p w14:paraId="6E6E0450" w14:textId="77777777" w:rsidR="00C470E8" w:rsidRPr="00781112" w:rsidRDefault="008A2533" w:rsidP="00A018D4">
            <w:pPr>
              <w:jc w:val="center"/>
              <w:rPr>
                <w:rFonts w:cs="Arial"/>
                <w:color w:val="000000" w:themeColor="text1"/>
                <w:szCs w:val="16"/>
              </w:rPr>
            </w:pPr>
            <w:r w:rsidRPr="00781112">
              <w:rPr>
                <w:rFonts w:cs="Arial"/>
                <w:color w:val="000000" w:themeColor="text1"/>
                <w:szCs w:val="16"/>
              </w:rPr>
              <w:t>SY 2023-24 Children with Disabilities (IDEA) Exiting Special Education (</w:t>
            </w:r>
            <w:proofErr w:type="spellStart"/>
            <w:r w:rsidRPr="00781112">
              <w:rPr>
                <w:rFonts w:cs="Arial"/>
                <w:color w:val="000000" w:themeColor="text1"/>
                <w:szCs w:val="16"/>
              </w:rPr>
              <w:t>EDFacts</w:t>
            </w:r>
            <w:proofErr w:type="spellEnd"/>
            <w:r w:rsidRPr="00781112">
              <w:rPr>
                <w:rFonts w:cs="Arial"/>
                <w:color w:val="000000" w:themeColor="text1"/>
                <w:szCs w:val="16"/>
              </w:rPr>
              <w:t xml:space="preserve"> file spec FS009; Data group 85)</w:t>
            </w:r>
          </w:p>
        </w:tc>
        <w:tc>
          <w:tcPr>
            <w:tcW w:w="987" w:type="pct"/>
          </w:tcPr>
          <w:p w14:paraId="0DA86A00" w14:textId="77777777" w:rsidR="00C470E8" w:rsidRPr="00781112" w:rsidRDefault="008A2533" w:rsidP="00A018D4">
            <w:pPr>
              <w:jc w:val="center"/>
              <w:rPr>
                <w:rFonts w:cs="Arial"/>
                <w:color w:val="000000" w:themeColor="text1"/>
                <w:szCs w:val="16"/>
              </w:rPr>
            </w:pPr>
            <w:r w:rsidRPr="00781112">
              <w:rPr>
                <w:rFonts w:cs="Arial"/>
                <w:color w:val="000000" w:themeColor="text1"/>
                <w:szCs w:val="16"/>
              </w:rPr>
              <w:t>03/05/2025</w:t>
            </w:r>
          </w:p>
        </w:tc>
        <w:tc>
          <w:tcPr>
            <w:tcW w:w="2284" w:type="pct"/>
          </w:tcPr>
          <w:p w14:paraId="10F73C13" w14:textId="77777777" w:rsidR="00C470E8" w:rsidRPr="00781112" w:rsidRDefault="00C470E8" w:rsidP="00C470E8">
            <w:pPr>
              <w:rPr>
                <w:rFonts w:cs="Arial"/>
                <w:color w:val="000000" w:themeColor="text1"/>
                <w:szCs w:val="16"/>
              </w:rPr>
            </w:pPr>
            <w:r w:rsidRPr="00781112">
              <w:rPr>
                <w:rFonts w:cs="Arial"/>
                <w:color w:val="000000" w:themeColor="text1"/>
                <w:szCs w:val="16"/>
              </w:rPr>
              <w:t>Number of youth with IEPs (ages 14-21) who exited special education due to dropping out (e)</w:t>
            </w:r>
          </w:p>
        </w:tc>
        <w:tc>
          <w:tcPr>
            <w:tcW w:w="726" w:type="pct"/>
          </w:tcPr>
          <w:p w14:paraId="77C84F9C" w14:textId="77777777" w:rsidR="00C470E8" w:rsidRPr="00781112" w:rsidRDefault="00FE0F05" w:rsidP="00A018D4">
            <w:pPr>
              <w:jc w:val="center"/>
              <w:rPr>
                <w:rFonts w:cs="Arial"/>
                <w:color w:val="000000" w:themeColor="text1"/>
                <w:szCs w:val="16"/>
              </w:rPr>
            </w:pPr>
            <w:r w:rsidRPr="00781112">
              <w:rPr>
                <w:rFonts w:cs="Arial"/>
                <w:color w:val="000000" w:themeColor="text1"/>
                <w:szCs w:val="16"/>
              </w:rPr>
              <w:t>181</w:t>
            </w:r>
          </w:p>
        </w:tc>
      </w:tr>
    </w:tbl>
    <w:p w14:paraId="3A9228E7" w14:textId="77777777" w:rsidR="00654A4B" w:rsidRPr="00781112" w:rsidRDefault="00654A4B" w:rsidP="004369B2">
      <w:pPr>
        <w:rPr>
          <w:color w:val="000000" w:themeColor="text1"/>
        </w:rPr>
      </w:pPr>
    </w:p>
    <w:p w14:paraId="1437F5A5" w14:textId="77777777" w:rsidR="00C96339" w:rsidRPr="00781112" w:rsidRDefault="0047313F" w:rsidP="004369B2">
      <w:pPr>
        <w:rPr>
          <w:color w:val="000000" w:themeColor="text1"/>
        </w:rPr>
      </w:pPr>
      <w:r>
        <w:rPr>
          <w:b/>
          <w:color w:val="000000" w:themeColor="text1"/>
        </w:rPr>
        <w:t xml:space="preserve">FFY 2024 SPP/APR Data </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2CFFYAPRDATAOPT1"/>
      </w:tblPr>
      <w:tblGrid>
        <w:gridCol w:w="1528"/>
        <w:gridCol w:w="1507"/>
        <w:gridCol w:w="1367"/>
        <w:gridCol w:w="2088"/>
        <w:gridCol w:w="1228"/>
        <w:gridCol w:w="1563"/>
        <w:gridCol w:w="1513"/>
      </w:tblGrid>
      <w:tr w:rsidR="0047313F" w:rsidRPr="00781112" w14:paraId="69074CF9" w14:textId="77777777" w:rsidTr="004D0044">
        <w:trPr>
          <w:trHeight w:val="359"/>
          <w:tblHeader/>
        </w:trPr>
        <w:tc>
          <w:tcPr>
            <w:tcW w:w="708" w:type="pct"/>
            <w:vAlign w:val="bottom"/>
          </w:tcPr>
          <w:p w14:paraId="41D7789C" w14:textId="77777777" w:rsidR="0047313F" w:rsidRPr="00781112" w:rsidRDefault="0047313F" w:rsidP="0047313F">
            <w:pPr>
              <w:jc w:val="center"/>
              <w:rPr>
                <w:rFonts w:cs="Arial"/>
                <w:b/>
                <w:color w:val="000000" w:themeColor="text1"/>
                <w:szCs w:val="16"/>
              </w:rPr>
            </w:pPr>
            <w:r w:rsidRPr="00781112">
              <w:rPr>
                <w:rFonts w:cs="Arial"/>
                <w:b/>
                <w:color w:val="000000" w:themeColor="text1"/>
                <w:szCs w:val="16"/>
              </w:rPr>
              <w:t>Number of youth with IEPs (ages 14-21) who exited special education due to dropping out</w:t>
            </w:r>
          </w:p>
        </w:tc>
        <w:tc>
          <w:tcPr>
            <w:tcW w:w="698" w:type="pct"/>
            <w:vAlign w:val="bottom"/>
          </w:tcPr>
          <w:p w14:paraId="023ABEF5" w14:textId="77777777" w:rsidR="0047313F" w:rsidRPr="00781112" w:rsidRDefault="0047313F" w:rsidP="0047313F">
            <w:pPr>
              <w:jc w:val="center"/>
              <w:rPr>
                <w:rFonts w:cs="Arial"/>
                <w:color w:val="000000" w:themeColor="text1"/>
                <w:szCs w:val="16"/>
              </w:rPr>
            </w:pPr>
            <w:r w:rsidRPr="008137CC">
              <w:rPr>
                <w:rFonts w:cs="Arial"/>
                <w:b/>
                <w:color w:val="000000" w:themeColor="text1"/>
                <w:szCs w:val="16"/>
              </w:rPr>
              <w:t xml:space="preserve">Number of all youth with IEPs who exited special education (ages 14-21)  </w:t>
            </w:r>
          </w:p>
        </w:tc>
        <w:tc>
          <w:tcPr>
            <w:tcW w:w="633" w:type="pct"/>
            <w:vAlign w:val="bottom"/>
          </w:tcPr>
          <w:p w14:paraId="22BC7F05" w14:textId="77777777" w:rsidR="0047313F" w:rsidRPr="00073BD7" w:rsidRDefault="0047313F" w:rsidP="0047313F">
            <w:pPr>
              <w:jc w:val="center"/>
              <w:rPr>
                <w:rFonts w:cs="Arial"/>
                <w:b/>
                <w:bCs/>
                <w:color w:val="000000" w:themeColor="text1"/>
                <w:szCs w:val="16"/>
              </w:rPr>
            </w:pPr>
            <w:r w:rsidRPr="00073BD7">
              <w:rPr>
                <w:b/>
                <w:bCs/>
              </w:rPr>
              <w:t>FFY 2023 Data</w:t>
            </w:r>
          </w:p>
        </w:tc>
        <w:tc>
          <w:tcPr>
            <w:tcW w:w="967" w:type="pct"/>
            <w:vAlign w:val="bottom"/>
          </w:tcPr>
          <w:p w14:paraId="34619745" w14:textId="77777777" w:rsidR="0047313F" w:rsidRPr="00073BD7" w:rsidRDefault="0047313F" w:rsidP="0047313F">
            <w:pPr>
              <w:jc w:val="center"/>
              <w:rPr>
                <w:rFonts w:cs="Arial"/>
                <w:b/>
                <w:bCs/>
                <w:color w:val="000000" w:themeColor="text1"/>
                <w:szCs w:val="16"/>
              </w:rPr>
            </w:pPr>
            <w:r w:rsidRPr="00073BD7">
              <w:rPr>
                <w:b/>
                <w:bCs/>
              </w:rPr>
              <w:t>FFY 2024 Target</w:t>
            </w:r>
          </w:p>
        </w:tc>
        <w:tc>
          <w:tcPr>
            <w:tcW w:w="569" w:type="pct"/>
            <w:vAlign w:val="bottom"/>
          </w:tcPr>
          <w:p w14:paraId="1EF5023E" w14:textId="77777777" w:rsidR="0047313F" w:rsidRPr="00073BD7" w:rsidRDefault="0047313F" w:rsidP="0047313F">
            <w:pPr>
              <w:jc w:val="center"/>
              <w:rPr>
                <w:rFonts w:cs="Arial"/>
                <w:b/>
                <w:bCs/>
                <w:color w:val="000000" w:themeColor="text1"/>
                <w:szCs w:val="16"/>
              </w:rPr>
            </w:pPr>
            <w:r w:rsidRPr="00073BD7">
              <w:rPr>
                <w:b/>
                <w:bCs/>
              </w:rPr>
              <w:t>FFY 2024 Data</w:t>
            </w:r>
          </w:p>
        </w:tc>
        <w:tc>
          <w:tcPr>
            <w:tcW w:w="724" w:type="pct"/>
            <w:vAlign w:val="bottom"/>
          </w:tcPr>
          <w:p w14:paraId="3863C5A3" w14:textId="77777777" w:rsidR="0047313F" w:rsidRPr="00781112" w:rsidRDefault="0047313F" w:rsidP="0047313F">
            <w:pPr>
              <w:jc w:val="center"/>
              <w:rPr>
                <w:rFonts w:cs="Arial"/>
                <w:b/>
                <w:color w:val="000000" w:themeColor="text1"/>
                <w:szCs w:val="16"/>
              </w:rPr>
            </w:pPr>
            <w:r w:rsidRPr="00781112">
              <w:rPr>
                <w:rFonts w:cs="Arial"/>
                <w:b/>
                <w:color w:val="000000" w:themeColor="text1"/>
                <w:szCs w:val="16"/>
              </w:rPr>
              <w:t>Status</w:t>
            </w:r>
          </w:p>
        </w:tc>
        <w:tc>
          <w:tcPr>
            <w:tcW w:w="701" w:type="pct"/>
            <w:vAlign w:val="bottom"/>
          </w:tcPr>
          <w:p w14:paraId="66A1D222" w14:textId="77777777" w:rsidR="0047313F" w:rsidRPr="00781112" w:rsidRDefault="0047313F" w:rsidP="0047313F">
            <w:pPr>
              <w:jc w:val="center"/>
              <w:rPr>
                <w:rFonts w:cs="Arial"/>
                <w:b/>
                <w:color w:val="000000" w:themeColor="text1"/>
                <w:szCs w:val="16"/>
              </w:rPr>
            </w:pPr>
            <w:r w:rsidRPr="00781112">
              <w:rPr>
                <w:rFonts w:cs="Arial"/>
                <w:b/>
                <w:color w:val="000000" w:themeColor="text1"/>
                <w:szCs w:val="16"/>
              </w:rPr>
              <w:t>Slippage</w:t>
            </w:r>
          </w:p>
        </w:tc>
      </w:tr>
      <w:tr w:rsidR="005C29F8" w:rsidRPr="00781112" w14:paraId="43B309F4" w14:textId="77777777" w:rsidTr="004D0044">
        <w:trPr>
          <w:trHeight w:val="366"/>
        </w:trPr>
        <w:tc>
          <w:tcPr>
            <w:tcW w:w="708" w:type="pct"/>
            <w:vAlign w:val="center"/>
          </w:tcPr>
          <w:p w14:paraId="5820D881" w14:textId="77777777" w:rsidR="00C96339" w:rsidRPr="00781112" w:rsidRDefault="002B7490" w:rsidP="00A018D4">
            <w:pPr>
              <w:jc w:val="center"/>
              <w:rPr>
                <w:rFonts w:cs="Arial"/>
                <w:color w:val="000000" w:themeColor="text1"/>
                <w:szCs w:val="16"/>
              </w:rPr>
            </w:pPr>
            <w:r w:rsidRPr="00781112">
              <w:rPr>
                <w:rFonts w:cs="Arial"/>
                <w:color w:val="000000" w:themeColor="text1"/>
                <w:szCs w:val="16"/>
              </w:rPr>
              <w:t>181</w:t>
            </w:r>
          </w:p>
        </w:tc>
        <w:tc>
          <w:tcPr>
            <w:tcW w:w="698" w:type="pct"/>
            <w:vAlign w:val="center"/>
          </w:tcPr>
          <w:p w14:paraId="7F1EA3DA" w14:textId="77777777" w:rsidR="00C96339" w:rsidRPr="00781112" w:rsidRDefault="002B7490" w:rsidP="00A018D4">
            <w:pPr>
              <w:jc w:val="center"/>
              <w:rPr>
                <w:rFonts w:cs="Arial"/>
                <w:color w:val="000000" w:themeColor="text1"/>
                <w:szCs w:val="16"/>
              </w:rPr>
            </w:pPr>
            <w:r w:rsidRPr="00781112">
              <w:rPr>
                <w:rFonts w:cs="Arial"/>
                <w:color w:val="000000" w:themeColor="text1"/>
                <w:szCs w:val="16"/>
              </w:rPr>
              <w:t>2,836</w:t>
            </w:r>
          </w:p>
        </w:tc>
        <w:tc>
          <w:tcPr>
            <w:tcW w:w="633" w:type="pct"/>
          </w:tcPr>
          <w:p w14:paraId="5580DDFA" w14:textId="77777777" w:rsidR="00C96339" w:rsidRPr="00781112" w:rsidRDefault="002B7490" w:rsidP="00A018D4">
            <w:pPr>
              <w:jc w:val="center"/>
              <w:rPr>
                <w:rFonts w:cs="Arial"/>
                <w:color w:val="000000" w:themeColor="text1"/>
                <w:szCs w:val="16"/>
              </w:rPr>
            </w:pPr>
            <w:r w:rsidRPr="00781112">
              <w:rPr>
                <w:rFonts w:cs="Arial"/>
                <w:color w:val="000000" w:themeColor="text1"/>
                <w:szCs w:val="16"/>
              </w:rPr>
              <w:t>6.58%</w:t>
            </w:r>
          </w:p>
        </w:tc>
        <w:tc>
          <w:tcPr>
            <w:tcW w:w="967" w:type="pct"/>
          </w:tcPr>
          <w:p w14:paraId="4BD09C5B" w14:textId="77777777" w:rsidR="00C96339" w:rsidRPr="00781112" w:rsidRDefault="002B7490" w:rsidP="00A018D4">
            <w:pPr>
              <w:jc w:val="center"/>
              <w:rPr>
                <w:rFonts w:cs="Arial"/>
                <w:color w:val="000000" w:themeColor="text1"/>
                <w:szCs w:val="16"/>
              </w:rPr>
            </w:pPr>
            <w:r w:rsidRPr="00781112">
              <w:rPr>
                <w:rFonts w:cs="Arial"/>
                <w:color w:val="000000" w:themeColor="text1"/>
                <w:szCs w:val="16"/>
              </w:rPr>
              <w:t>3.67%</w:t>
            </w:r>
          </w:p>
        </w:tc>
        <w:tc>
          <w:tcPr>
            <w:tcW w:w="569" w:type="pct"/>
          </w:tcPr>
          <w:p w14:paraId="1D0B356A" w14:textId="77777777" w:rsidR="00C96339" w:rsidRPr="00781112" w:rsidRDefault="002B7490" w:rsidP="00A018D4">
            <w:pPr>
              <w:jc w:val="center"/>
              <w:rPr>
                <w:rFonts w:cs="Arial"/>
                <w:color w:val="000000" w:themeColor="text1"/>
                <w:szCs w:val="16"/>
              </w:rPr>
            </w:pPr>
            <w:r w:rsidRPr="00781112">
              <w:rPr>
                <w:rFonts w:cs="Arial"/>
                <w:color w:val="000000" w:themeColor="text1"/>
                <w:szCs w:val="16"/>
              </w:rPr>
              <w:t>6.38%</w:t>
            </w:r>
          </w:p>
        </w:tc>
        <w:tc>
          <w:tcPr>
            <w:tcW w:w="724" w:type="pct"/>
          </w:tcPr>
          <w:p w14:paraId="520CDBA1" w14:textId="77777777" w:rsidR="00C96339"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701" w:type="pct"/>
          </w:tcPr>
          <w:p w14:paraId="52528B33" w14:textId="77777777" w:rsidR="00C96339"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4691BB18" w14:textId="77777777" w:rsidR="00A87A9D" w:rsidRPr="00781112" w:rsidRDefault="0083500D" w:rsidP="00552927">
      <w:pPr>
        <w:rPr>
          <w:rFonts w:cs="Arial"/>
          <w:b/>
          <w:color w:val="000000" w:themeColor="text1"/>
          <w:szCs w:val="16"/>
        </w:rPr>
      </w:pPr>
      <w:r w:rsidRPr="00781112">
        <w:rPr>
          <w:rFonts w:cs="Arial"/>
          <w:b/>
          <w:color w:val="000000" w:themeColor="text1"/>
          <w:szCs w:val="16"/>
        </w:rPr>
        <w:t>Provide a narrative that describes what counts as dropping out for all youth</w:t>
      </w:r>
    </w:p>
    <w:p w14:paraId="5FC35F4F" w14:textId="77777777" w:rsidR="00A869E9" w:rsidRPr="00781112" w:rsidRDefault="002B7490" w:rsidP="000E33D0">
      <w:pPr>
        <w:rPr>
          <w:rFonts w:cs="Arial"/>
          <w:color w:val="000000" w:themeColor="text1"/>
          <w:szCs w:val="16"/>
          <w:shd w:val="clear" w:color="auto" w:fill="FFFFFF"/>
        </w:rPr>
      </w:pPr>
      <w:r w:rsidRPr="00781112">
        <w:rPr>
          <w:rFonts w:cs="Arial"/>
          <w:color w:val="000000" w:themeColor="text1"/>
          <w:szCs w:val="16"/>
          <w:shd w:val="clear" w:color="auto" w:fill="FFFFFF"/>
        </w:rPr>
        <w:t>West Virginia Board of Education (WVBE) Policy 4110: “Attendance” (effective January 15, 2021) contains the definition of a dropout. The definition of a dropout for FFY 2023 was as follows:</w:t>
      </w:r>
    </w:p>
    <w:p w14:paraId="652C4080" w14:textId="77777777" w:rsidR="00CA787A" w:rsidRDefault="003169E9">
      <w:r>
        <w:rPr>
          <w:color w:val="000000"/>
        </w:rPr>
        <w:t>A dropout is an individual who was enrolled in school at some time during the previous school year and was not enrolled on October 1 of the current school year; or was not enrolled on October 1 of the previous school year although expected to be in membership (i.e., was not reported as a drop out the year before); and has not graduated from high school, obtained a High School Equivalency Diploma (referred to as TASC [Test Assessing Secondary Completion], and/or HSEA High School Equivalency Assessment), or completed a state or LEA-approved education program; and does not meet any of the following exclusionary conditions: (a) transfer to another public school district, private school, registered home school or state or LEA-approved education program; (b) temporary school-recognized absence due to suspension or illness; or (c) death.</w:t>
      </w:r>
    </w:p>
    <w:p w14:paraId="6DB3506E" w14:textId="77777777" w:rsidR="00DD051F" w:rsidRPr="00781112" w:rsidRDefault="00DD051F" w:rsidP="000E33D0">
      <w:pPr>
        <w:rPr>
          <w:rFonts w:cs="Arial"/>
          <w:b/>
          <w:color w:val="000000" w:themeColor="text1"/>
          <w:szCs w:val="16"/>
        </w:rPr>
      </w:pPr>
      <w:r w:rsidRPr="00781112">
        <w:rPr>
          <w:rFonts w:cs="Arial"/>
          <w:b/>
          <w:color w:val="000000" w:themeColor="text1"/>
          <w:szCs w:val="16"/>
        </w:rPr>
        <w:t>Is there a difference in what counts as dropping out for youth with IEPs? (yes/no)</w:t>
      </w:r>
    </w:p>
    <w:p w14:paraId="13217550" w14:textId="77777777" w:rsidR="00DD051F" w:rsidRPr="00781112" w:rsidRDefault="00DD051F" w:rsidP="000E33D0">
      <w:pPr>
        <w:rPr>
          <w:rFonts w:cs="Arial"/>
          <w:color w:val="000000" w:themeColor="text1"/>
          <w:szCs w:val="16"/>
        </w:rPr>
      </w:pPr>
      <w:r w:rsidRPr="00781112">
        <w:rPr>
          <w:rFonts w:cs="Arial"/>
          <w:color w:val="000000" w:themeColor="text1"/>
          <w:szCs w:val="16"/>
        </w:rPr>
        <w:t>NO</w:t>
      </w:r>
    </w:p>
    <w:p w14:paraId="059E4087" w14:textId="77777777" w:rsidR="00E418E6" w:rsidRPr="00781112" w:rsidRDefault="00B7068F" w:rsidP="004369B2">
      <w:pPr>
        <w:rPr>
          <w:b/>
          <w:color w:val="000000" w:themeColor="text1"/>
        </w:rPr>
      </w:pPr>
      <w:r w:rsidRPr="00781112">
        <w:rPr>
          <w:b/>
          <w:color w:val="000000" w:themeColor="text1"/>
        </w:rPr>
        <w:t>If yes, explain the difference in what counts as dropping out for youth with IEPs.</w:t>
      </w:r>
    </w:p>
    <w:p w14:paraId="231E32F1" w14:textId="77777777" w:rsidR="00A869E9" w:rsidRPr="00781112" w:rsidRDefault="00A869E9" w:rsidP="000E33D0">
      <w:pPr>
        <w:rPr>
          <w:rFonts w:cs="Arial"/>
          <w:color w:val="000000" w:themeColor="text1"/>
          <w:szCs w:val="16"/>
          <w:shd w:val="clear" w:color="auto" w:fill="FFFFFF"/>
        </w:rPr>
      </w:pPr>
    </w:p>
    <w:p w14:paraId="58950E5B" w14:textId="77777777" w:rsidR="00F56834" w:rsidRPr="00781112" w:rsidRDefault="00F56834" w:rsidP="004369B2">
      <w:pPr>
        <w:rPr>
          <w:b/>
          <w:color w:val="000000" w:themeColor="text1"/>
        </w:rPr>
      </w:pPr>
      <w:bookmarkStart w:id="10" w:name="_Toc382082362"/>
      <w:bookmarkStart w:id="11" w:name="_Toc392159270"/>
      <w:bookmarkStart w:id="12" w:name="_Toc365403651"/>
      <w:r w:rsidRPr="00781112">
        <w:rPr>
          <w:b/>
          <w:color w:val="000000" w:themeColor="text1"/>
        </w:rPr>
        <w:t>Provide additional information about this indicator (optional).</w:t>
      </w:r>
    </w:p>
    <w:p w14:paraId="6954ABD9" w14:textId="77777777" w:rsidR="00A869E9" w:rsidRPr="00781112" w:rsidRDefault="002B7490" w:rsidP="000E33D0">
      <w:pPr>
        <w:rPr>
          <w:rFonts w:cs="Arial"/>
          <w:color w:val="000000" w:themeColor="text1"/>
          <w:szCs w:val="16"/>
        </w:rPr>
      </w:pPr>
      <w:r w:rsidRPr="00781112">
        <w:rPr>
          <w:rFonts w:cs="Arial"/>
          <w:color w:val="000000" w:themeColor="text1"/>
          <w:szCs w:val="16"/>
          <w:shd w:val="clear" w:color="auto" w:fill="FFFFFF"/>
        </w:rPr>
        <w:t xml:space="preserve">A revision of Policy 4110 was filed in August 2024 and made effective September 16, 2024. Any revisions to the definition of a dropout will be reflected in the appropriate SPP/APR submission. </w:t>
      </w:r>
    </w:p>
    <w:p w14:paraId="70518829" w14:textId="77777777" w:rsidR="00CA787A" w:rsidRDefault="003169E9">
      <w:r>
        <w:rPr>
          <w:color w:val="000000"/>
        </w:rPr>
        <w:t>Link to WV Board of Education Policies: [https://wvde.state.wv.us/policies/]</w:t>
      </w:r>
    </w:p>
    <w:p w14:paraId="02E16F0E" w14:textId="77777777" w:rsidR="000A2C83" w:rsidRPr="00781112" w:rsidRDefault="00F914B4" w:rsidP="008645AD">
      <w:pPr>
        <w:pStyle w:val="Heading2"/>
      </w:pPr>
      <w:r w:rsidRPr="00781112">
        <w:t>2</w:t>
      </w:r>
      <w:r w:rsidR="00684B51" w:rsidRPr="00781112">
        <w:t xml:space="preserve"> </w:t>
      </w:r>
      <w:r w:rsidRPr="00781112">
        <w:t xml:space="preserve">- </w:t>
      </w:r>
      <w:r w:rsidR="000A2C83" w:rsidRPr="00781112">
        <w:t>Prior FFY Required Actions</w:t>
      </w:r>
    </w:p>
    <w:p w14:paraId="1D6E1DC4" w14:textId="77777777" w:rsidR="000A2C83" w:rsidRPr="00781112" w:rsidRDefault="002B7490" w:rsidP="000A2C83">
      <w:pPr>
        <w:rPr>
          <w:rFonts w:cs="Arial"/>
          <w:color w:val="000000" w:themeColor="text1"/>
          <w:szCs w:val="16"/>
        </w:rPr>
      </w:pPr>
      <w:r w:rsidRPr="00781112">
        <w:rPr>
          <w:rFonts w:cs="Arial"/>
          <w:color w:val="000000" w:themeColor="text1"/>
          <w:szCs w:val="16"/>
        </w:rPr>
        <w:t>None</w:t>
      </w:r>
    </w:p>
    <w:p w14:paraId="2478AC18" w14:textId="77777777" w:rsidR="00DD051F" w:rsidRPr="00781112" w:rsidRDefault="00DD051F" w:rsidP="000A2C83">
      <w:pPr>
        <w:rPr>
          <w:rFonts w:cs="Arial"/>
          <w:color w:val="000000" w:themeColor="text1"/>
          <w:szCs w:val="16"/>
        </w:rPr>
      </w:pPr>
    </w:p>
    <w:p w14:paraId="446ECE90" w14:textId="77777777" w:rsidR="00F56834" w:rsidRPr="00781112" w:rsidRDefault="000D2287" w:rsidP="008645AD">
      <w:pPr>
        <w:pStyle w:val="Heading2"/>
      </w:pPr>
      <w:r w:rsidRPr="00781112">
        <w:t>2</w:t>
      </w:r>
      <w:r w:rsidR="00684B51" w:rsidRPr="00781112">
        <w:t xml:space="preserve"> </w:t>
      </w:r>
      <w:r w:rsidRPr="00781112">
        <w:t xml:space="preserve">- </w:t>
      </w:r>
      <w:r w:rsidR="00F56834" w:rsidRPr="00781112">
        <w:t>OSEP Response</w:t>
      </w:r>
    </w:p>
    <w:p w14:paraId="69F74CD7" w14:textId="77777777" w:rsidR="00A869E9" w:rsidRPr="00781112" w:rsidRDefault="00A869E9" w:rsidP="001F692C">
      <w:pPr>
        <w:rPr>
          <w:rFonts w:cs="Arial"/>
          <w:color w:val="000000" w:themeColor="text1"/>
          <w:szCs w:val="16"/>
        </w:rPr>
      </w:pPr>
    </w:p>
    <w:p w14:paraId="4F4BCED6" w14:textId="77777777" w:rsidR="00F56834" w:rsidRPr="00781112" w:rsidRDefault="000105C5" w:rsidP="008645AD">
      <w:pPr>
        <w:pStyle w:val="Heading2"/>
      </w:pPr>
      <w:r w:rsidRPr="00781112">
        <w:t>2 - Required Actions</w:t>
      </w:r>
    </w:p>
    <w:p w14:paraId="2A4AD5D0" w14:textId="77777777" w:rsidR="00A869E9" w:rsidRPr="00781112" w:rsidRDefault="00A869E9" w:rsidP="001F692C">
      <w:pPr>
        <w:rPr>
          <w:rFonts w:cs="Arial"/>
          <w:color w:val="000000" w:themeColor="text1"/>
          <w:szCs w:val="16"/>
        </w:rPr>
      </w:pPr>
    </w:p>
    <w:p w14:paraId="13F95FE3" w14:textId="77777777" w:rsidR="00553A47" w:rsidRPr="00781112" w:rsidRDefault="00D37BF0" w:rsidP="00553A47">
      <w:pPr>
        <w:pStyle w:val="Heading1"/>
        <w:rPr>
          <w:color w:val="000000" w:themeColor="text1"/>
          <w:sz w:val="22"/>
        </w:rPr>
      </w:pPr>
      <w:r w:rsidRPr="00781112">
        <w:rPr>
          <w:color w:val="000000" w:themeColor="text1"/>
          <w:szCs w:val="16"/>
        </w:rPr>
        <w:br w:type="page"/>
      </w:r>
      <w:r w:rsidR="00553A47" w:rsidRPr="00781112">
        <w:rPr>
          <w:color w:val="000000" w:themeColor="text1"/>
          <w:sz w:val="22"/>
        </w:rPr>
        <w:lastRenderedPageBreak/>
        <w:t>Indicator 3A: Participation for Children with IEPs</w:t>
      </w:r>
    </w:p>
    <w:p w14:paraId="60E03A57" w14:textId="77777777" w:rsidR="00553A47" w:rsidRPr="002C274F" w:rsidRDefault="00553A47" w:rsidP="002C274F">
      <w:pPr>
        <w:rPr>
          <w:b/>
          <w:bCs/>
          <w:sz w:val="20"/>
          <w:szCs w:val="20"/>
        </w:rPr>
      </w:pPr>
      <w:r w:rsidRPr="002C274F">
        <w:rPr>
          <w:b/>
          <w:bCs/>
          <w:sz w:val="20"/>
          <w:szCs w:val="20"/>
        </w:rPr>
        <w:t>Instructions and Measurement</w:t>
      </w:r>
    </w:p>
    <w:p w14:paraId="152B0243" w14:textId="77777777" w:rsidR="00553A47" w:rsidRPr="00781112" w:rsidRDefault="00553A47" w:rsidP="00553A47">
      <w:pPr>
        <w:rPr>
          <w:color w:val="000000" w:themeColor="text1"/>
        </w:rPr>
      </w:pPr>
      <w:r w:rsidRPr="00781112">
        <w:rPr>
          <w:b/>
          <w:color w:val="000000" w:themeColor="text1"/>
        </w:rPr>
        <w:t>Monitoring Priority:</w:t>
      </w:r>
      <w:r w:rsidRPr="00781112">
        <w:rPr>
          <w:color w:val="000000" w:themeColor="text1"/>
        </w:rPr>
        <w:t xml:space="preserve"> FAPE in the LRE</w:t>
      </w:r>
    </w:p>
    <w:p w14:paraId="2E0271F9" w14:textId="77777777" w:rsidR="00553A47" w:rsidRPr="00781112" w:rsidRDefault="00553A47" w:rsidP="00553A4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Participation and performance of children with IEPs on statewide assessments:</w:t>
      </w:r>
    </w:p>
    <w:p w14:paraId="2EDB28B0" w14:textId="77777777" w:rsidR="00553A47" w:rsidRPr="00781112" w:rsidRDefault="00553A47" w:rsidP="00553A47">
      <w:pPr>
        <w:ind w:firstLine="720"/>
        <w:rPr>
          <w:rFonts w:cs="Arial"/>
          <w:color w:val="000000" w:themeColor="text1"/>
          <w:szCs w:val="16"/>
        </w:rPr>
      </w:pPr>
      <w:r w:rsidRPr="00781112">
        <w:rPr>
          <w:rFonts w:cs="Arial"/>
          <w:color w:val="000000" w:themeColor="text1"/>
          <w:szCs w:val="16"/>
        </w:rPr>
        <w:t>A. Participation rate for children with IEPs.</w:t>
      </w:r>
    </w:p>
    <w:p w14:paraId="28B4A980" w14:textId="77777777" w:rsidR="00553A47" w:rsidRPr="00781112" w:rsidRDefault="00553A47" w:rsidP="00553A47">
      <w:pPr>
        <w:ind w:firstLine="720"/>
        <w:rPr>
          <w:rFonts w:cs="Arial"/>
          <w:color w:val="000000" w:themeColor="text1"/>
          <w:szCs w:val="16"/>
        </w:rPr>
      </w:pPr>
      <w:r w:rsidRPr="00781112">
        <w:rPr>
          <w:rFonts w:cs="Arial"/>
          <w:color w:val="000000" w:themeColor="text1"/>
          <w:szCs w:val="16"/>
        </w:rPr>
        <w:t xml:space="preserve">B. </w:t>
      </w:r>
      <w:r w:rsidR="001A2D6A" w:rsidRPr="00781112">
        <w:rPr>
          <w:rFonts w:cs="Arial"/>
          <w:szCs w:val="16"/>
        </w:rPr>
        <w:t>Proficiency rate for children with IEPs against grade level academic achievement standards.</w:t>
      </w:r>
    </w:p>
    <w:p w14:paraId="35D76ADE" w14:textId="77777777" w:rsidR="00553A47" w:rsidRPr="00781112" w:rsidRDefault="00553A47" w:rsidP="00553A47">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242B988C" w14:textId="77777777" w:rsidR="00EB7555" w:rsidRPr="00781112" w:rsidRDefault="00EB7555" w:rsidP="00553A47">
      <w:pPr>
        <w:ind w:firstLine="720"/>
        <w:rPr>
          <w:rFonts w:cs="Arial"/>
          <w:color w:val="000000" w:themeColor="text1"/>
          <w:szCs w:val="16"/>
        </w:rPr>
      </w:pPr>
      <w:r w:rsidRPr="00781112">
        <w:rPr>
          <w:rFonts w:cs="Arial"/>
          <w:color w:val="000000" w:themeColor="text1"/>
          <w:szCs w:val="16"/>
        </w:rPr>
        <w:t>D.</w:t>
      </w:r>
      <w:r w:rsidR="00943CE1" w:rsidRPr="00781112">
        <w:rPr>
          <w:rFonts w:cs="Arial"/>
          <w:szCs w:val="16"/>
        </w:rPr>
        <w:t xml:space="preserve"> Gap in proficiency rates for children with IEPs and all students against grade level academic achievement standards.</w:t>
      </w:r>
    </w:p>
    <w:p w14:paraId="3787FACB" w14:textId="77777777" w:rsidR="00553A47" w:rsidRPr="00781112" w:rsidRDefault="00553A47" w:rsidP="00553A47">
      <w:pPr>
        <w:rPr>
          <w:rFonts w:cs="Arial"/>
          <w:color w:val="000000" w:themeColor="text1"/>
          <w:szCs w:val="16"/>
        </w:rPr>
      </w:pPr>
      <w:r w:rsidRPr="00781112">
        <w:rPr>
          <w:rFonts w:cs="Arial"/>
          <w:color w:val="000000" w:themeColor="text1"/>
          <w:szCs w:val="16"/>
        </w:rPr>
        <w:t>(20 U.S.C. 1416 (a)(3)(A))</w:t>
      </w:r>
    </w:p>
    <w:p w14:paraId="76ACFF9B" w14:textId="77777777" w:rsidR="00553A47" w:rsidRPr="00781112" w:rsidRDefault="00553A47" w:rsidP="00553A47">
      <w:pPr>
        <w:rPr>
          <w:color w:val="000000" w:themeColor="text1"/>
        </w:rPr>
      </w:pPr>
      <w:r w:rsidRPr="00781112">
        <w:rPr>
          <w:b/>
          <w:color w:val="000000" w:themeColor="text1"/>
        </w:rPr>
        <w:t>Data Source</w:t>
      </w:r>
    </w:p>
    <w:p w14:paraId="65D6D08C" w14:textId="77777777" w:rsidR="00553A47" w:rsidRPr="00781112" w:rsidRDefault="00553A47" w:rsidP="00553A47">
      <w:pPr>
        <w:rPr>
          <w:rFonts w:cs="Arial"/>
          <w:color w:val="000000" w:themeColor="text1"/>
          <w:szCs w:val="16"/>
        </w:rPr>
      </w:pPr>
      <w:r w:rsidRPr="00781112">
        <w:rPr>
          <w:rFonts w:cs="Arial"/>
          <w:color w:val="000000" w:themeColor="text1"/>
          <w:szCs w:val="16"/>
        </w:rPr>
        <w:t xml:space="preserve">3A. Same data as used for reporting to the Department under Title I of the ESEA, using </w:t>
      </w:r>
      <w:proofErr w:type="spellStart"/>
      <w:r w:rsidRPr="00781112">
        <w:rPr>
          <w:rFonts w:cs="Arial"/>
          <w:color w:val="000000" w:themeColor="text1"/>
          <w:szCs w:val="16"/>
        </w:rPr>
        <w:t>ED</w:t>
      </w:r>
      <w:r w:rsidRPr="00BA3DBE">
        <w:rPr>
          <w:rFonts w:cs="Arial"/>
          <w:i/>
          <w:iCs/>
          <w:color w:val="000000" w:themeColor="text1"/>
          <w:szCs w:val="16"/>
        </w:rPr>
        <w:t>Facts</w:t>
      </w:r>
      <w:proofErr w:type="spellEnd"/>
      <w:r w:rsidRPr="00781112">
        <w:rPr>
          <w:rFonts w:cs="Arial"/>
          <w:color w:val="000000" w:themeColor="text1"/>
          <w:szCs w:val="16"/>
        </w:rPr>
        <w:t xml:space="preserve"> file specifications FS185 and 188.</w:t>
      </w:r>
    </w:p>
    <w:p w14:paraId="7D0B72C8" w14:textId="77777777" w:rsidR="00553A47" w:rsidRPr="00781112" w:rsidRDefault="00553A47" w:rsidP="00553A47">
      <w:pPr>
        <w:rPr>
          <w:color w:val="000000" w:themeColor="text1"/>
        </w:rPr>
      </w:pPr>
      <w:r w:rsidRPr="00781112">
        <w:rPr>
          <w:b/>
          <w:color w:val="000000" w:themeColor="text1"/>
        </w:rPr>
        <w:t>Measurement</w:t>
      </w:r>
    </w:p>
    <w:p w14:paraId="3B3F6063" w14:textId="77777777" w:rsidR="00553A47" w:rsidRPr="00781112" w:rsidRDefault="00943CE1" w:rsidP="00553A47">
      <w:pPr>
        <w:rPr>
          <w:rFonts w:cs="Arial"/>
          <w:color w:val="000000" w:themeColor="text1"/>
          <w:szCs w:val="16"/>
        </w:rPr>
      </w:pPr>
      <w:r w:rsidRPr="00781112">
        <w:rPr>
          <w:rFonts w:cs="Arial"/>
          <w:color w:val="000000" w:themeColor="text1"/>
          <w:szCs w:val="16"/>
        </w:rPr>
        <w:t>A. Participation rate percent = [(# of children with IEPs participating in an assessment) divided by the (total # of children with IEPs enrolled during the testing window)]. Calculate separately for reading and math. Calculate separately for grades 4, 8, and high school. The participation rate is based on all children with IEPs, including both children with IEPs enrolled for a full academic year and those not enrolled for a full academic year.</w:t>
      </w:r>
    </w:p>
    <w:p w14:paraId="09618804" w14:textId="77777777" w:rsidR="00553A47" w:rsidRPr="00781112" w:rsidRDefault="00553A47" w:rsidP="00553A47">
      <w:pPr>
        <w:rPr>
          <w:color w:val="000000" w:themeColor="text1"/>
        </w:rPr>
      </w:pPr>
      <w:r w:rsidRPr="00781112">
        <w:rPr>
          <w:b/>
          <w:color w:val="000000" w:themeColor="text1"/>
        </w:rPr>
        <w:t>Instructions</w:t>
      </w:r>
    </w:p>
    <w:p w14:paraId="7DABB0F4" w14:textId="77777777" w:rsidR="001B75FD" w:rsidRPr="00781112" w:rsidRDefault="001B75FD" w:rsidP="001B75FD">
      <w:pPr>
        <w:pStyle w:val="Subhed"/>
        <w:rPr>
          <w:b w:val="0"/>
          <w:bCs/>
        </w:rPr>
      </w:pPr>
      <w:r w:rsidRPr="00781112">
        <w:rPr>
          <w:b w:val="0"/>
          <w:bCs/>
        </w:rPr>
        <w:t>Describe the results of the calculations and compare the results to the targets. Provide the actual numbers used in the calculation.</w:t>
      </w:r>
    </w:p>
    <w:p w14:paraId="3EB086FD" w14:textId="77777777" w:rsidR="001B75FD" w:rsidRPr="00781112" w:rsidRDefault="001B75FD" w:rsidP="001B75FD">
      <w:pPr>
        <w:pStyle w:val="Subhed"/>
        <w:rPr>
          <w:b w:val="0"/>
          <w:bCs/>
        </w:rPr>
      </w:pPr>
      <w:r w:rsidRPr="00781112">
        <w:rPr>
          <w:b w:val="0"/>
          <w:bCs/>
        </w:rPr>
        <w:t xml:space="preserve">Include information regarding where to find public reports of assessment participation and performance results, as required by 34 C.F.R. §300.160(f), </w:t>
      </w:r>
      <w:r w:rsidRPr="00BA3DBE">
        <w:rPr>
          <w:b w:val="0"/>
          <w:bCs/>
          <w:iCs/>
        </w:rPr>
        <w:t>i.e.</w:t>
      </w:r>
      <w:r w:rsidRPr="006F6E8E">
        <w:rPr>
          <w:b w:val="0"/>
          <w:bCs/>
          <w:iCs/>
        </w:rPr>
        <w:t>,</w:t>
      </w:r>
      <w:r w:rsidRPr="00781112">
        <w:rPr>
          <w:b w:val="0"/>
          <w:bCs/>
        </w:rPr>
        <w:t xml:space="preserve"> a link to the Web site where these data are reported.</w:t>
      </w:r>
    </w:p>
    <w:p w14:paraId="1537659D" w14:textId="77777777" w:rsidR="00553A47" w:rsidRPr="00781112" w:rsidRDefault="001B75FD" w:rsidP="001B75FD">
      <w:pPr>
        <w:rPr>
          <w:rFonts w:cs="Arial"/>
          <w:color w:val="000000" w:themeColor="text1"/>
          <w:szCs w:val="16"/>
        </w:rPr>
      </w:pPr>
      <w:r w:rsidRPr="00781112">
        <w:rPr>
          <w:bCs/>
        </w:rPr>
        <w:t>Indicator 3A: Provide separate reading/language arts and mathematics participation rates for children with IEPs for each of the following grades: 4, 8, &amp; high school. Account for ALL children with IEPs, in grades 4, 8, and high school, including children not participating in assessments and those not enrolled for a full academic year. Only include children with disabilities who had an IEP at the time of testing</w:t>
      </w:r>
      <w:r w:rsidR="00553A47" w:rsidRPr="00781112">
        <w:rPr>
          <w:rFonts w:cs="Arial"/>
          <w:color w:val="000000" w:themeColor="text1"/>
          <w:szCs w:val="16"/>
        </w:rPr>
        <w:t>.</w:t>
      </w:r>
    </w:p>
    <w:p w14:paraId="0941F960" w14:textId="77777777" w:rsidR="00553A47" w:rsidRPr="00781112" w:rsidRDefault="00553A47" w:rsidP="00553A47">
      <w:pPr>
        <w:pStyle w:val="Heading2"/>
      </w:pPr>
      <w:r w:rsidRPr="00781112">
        <w:t>3A - Indicator Data</w:t>
      </w:r>
    </w:p>
    <w:p w14:paraId="43089A56" w14:textId="77777777" w:rsidR="00361CFA" w:rsidRPr="00781112" w:rsidRDefault="00CB348D" w:rsidP="00360DD6">
      <w:pPr>
        <w:rPr>
          <w:b/>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HISTDATA"/>
      </w:tblPr>
      <w:tblGrid>
        <w:gridCol w:w="1588"/>
        <w:gridCol w:w="1588"/>
        <w:gridCol w:w="2538"/>
        <w:gridCol w:w="2538"/>
        <w:gridCol w:w="2538"/>
      </w:tblGrid>
      <w:tr w:rsidR="0050331E" w:rsidRPr="00781112" w14:paraId="6EDCC2CC" w14:textId="77777777" w:rsidTr="009725F4">
        <w:trPr>
          <w:trHeight w:val="368"/>
          <w:tblHeader/>
        </w:trPr>
        <w:tc>
          <w:tcPr>
            <w:tcW w:w="736" w:type="pct"/>
            <w:tcBorders>
              <w:top w:val="single" w:sz="4" w:space="0" w:color="auto"/>
            </w:tcBorders>
            <w:vAlign w:val="center"/>
          </w:tcPr>
          <w:p w14:paraId="3C15B381" w14:textId="77777777" w:rsidR="00E5212B" w:rsidRPr="00781112" w:rsidRDefault="00E5212B"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vAlign w:val="center"/>
          </w:tcPr>
          <w:p w14:paraId="279422AC" w14:textId="77777777"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vAlign w:val="center"/>
          </w:tcPr>
          <w:p w14:paraId="7902ECE8" w14:textId="77777777"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vAlign w:val="center"/>
          </w:tcPr>
          <w:p w14:paraId="00478AFA" w14:textId="77777777"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53AB54B0" w14:textId="77777777" w:rsidR="00E5212B" w:rsidRPr="00781112" w:rsidRDefault="00E5212B" w:rsidP="00827FF4">
            <w:pPr>
              <w:jc w:val="center"/>
              <w:rPr>
                <w:rFonts w:cs="Arial"/>
                <w:b/>
                <w:color w:val="000000" w:themeColor="text1"/>
                <w:szCs w:val="16"/>
              </w:rPr>
            </w:pPr>
            <w:r w:rsidRPr="00781112">
              <w:rPr>
                <w:rFonts w:cs="Arial"/>
                <w:b/>
                <w:color w:val="000000" w:themeColor="text1"/>
                <w:szCs w:val="16"/>
              </w:rPr>
              <w:t>Baseline Data</w:t>
            </w:r>
          </w:p>
        </w:tc>
      </w:tr>
      <w:tr w:rsidR="0050331E" w:rsidRPr="00781112" w14:paraId="0FB79070" w14:textId="77777777" w:rsidTr="00360DD6">
        <w:trPr>
          <w:trHeight w:val="368"/>
        </w:trPr>
        <w:tc>
          <w:tcPr>
            <w:tcW w:w="736" w:type="pct"/>
            <w:vAlign w:val="center"/>
          </w:tcPr>
          <w:p w14:paraId="2629F2B0" w14:textId="77777777" w:rsidR="0044716A" w:rsidRPr="00781112" w:rsidRDefault="0044716A" w:rsidP="0044716A">
            <w:pPr>
              <w:spacing w:before="0" w:after="0"/>
              <w:jc w:val="center"/>
              <w:rPr>
                <w:rFonts w:cs="Arial"/>
                <w:b/>
                <w:bCs/>
                <w:color w:val="000000" w:themeColor="text1"/>
                <w:szCs w:val="16"/>
              </w:rPr>
            </w:pPr>
            <w:r w:rsidRPr="00781112">
              <w:rPr>
                <w:rFonts w:cs="Arial"/>
                <w:szCs w:val="16"/>
              </w:rPr>
              <w:t>Reading</w:t>
            </w:r>
          </w:p>
        </w:tc>
        <w:tc>
          <w:tcPr>
            <w:tcW w:w="736" w:type="pct"/>
            <w:vAlign w:val="center"/>
          </w:tcPr>
          <w:p w14:paraId="3250170A" w14:textId="77777777" w:rsidR="0044716A" w:rsidRPr="00781112" w:rsidRDefault="0044716A" w:rsidP="0044716A">
            <w:pPr>
              <w:spacing w:before="0" w:after="0"/>
              <w:jc w:val="center"/>
              <w:rPr>
                <w:rFonts w:cs="Arial"/>
                <w:color w:val="000000" w:themeColor="text1"/>
                <w:szCs w:val="16"/>
              </w:rPr>
            </w:pPr>
            <w:r w:rsidRPr="00781112">
              <w:rPr>
                <w:rFonts w:cs="Arial"/>
                <w:color w:val="000000" w:themeColor="text1"/>
                <w:szCs w:val="16"/>
              </w:rPr>
              <w:t>A</w:t>
            </w:r>
          </w:p>
        </w:tc>
        <w:tc>
          <w:tcPr>
            <w:tcW w:w="1176" w:type="pct"/>
            <w:vAlign w:val="center"/>
          </w:tcPr>
          <w:p w14:paraId="4590B0F3" w14:textId="77777777" w:rsidR="0044716A" w:rsidRPr="00781112" w:rsidRDefault="0044716A" w:rsidP="0044716A">
            <w:pPr>
              <w:jc w:val="center"/>
              <w:rPr>
                <w:rFonts w:cs="Arial"/>
                <w:color w:val="000000" w:themeColor="text1"/>
                <w:szCs w:val="16"/>
              </w:rPr>
            </w:pPr>
            <w:r w:rsidRPr="00781112">
              <w:rPr>
                <w:rFonts w:cs="Arial"/>
                <w:color w:val="000000" w:themeColor="text1"/>
                <w:szCs w:val="16"/>
              </w:rPr>
              <w:t>Grade 4</w:t>
            </w:r>
          </w:p>
        </w:tc>
        <w:tc>
          <w:tcPr>
            <w:tcW w:w="1176" w:type="pct"/>
            <w:vAlign w:val="center"/>
          </w:tcPr>
          <w:p w14:paraId="5AE13DB5" w14:textId="77777777" w:rsidR="0044716A" w:rsidRPr="00781112" w:rsidRDefault="0044716A"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0E092405" w14:textId="77777777" w:rsidR="0044716A" w:rsidRPr="00781112" w:rsidRDefault="0044716A" w:rsidP="0044716A">
            <w:pPr>
              <w:spacing w:before="0" w:after="0"/>
              <w:jc w:val="center"/>
              <w:rPr>
                <w:color w:val="000000" w:themeColor="text1"/>
              </w:rPr>
            </w:pPr>
            <w:r w:rsidRPr="00781112">
              <w:rPr>
                <w:rFonts w:cs="Arial"/>
                <w:color w:val="000000" w:themeColor="text1"/>
                <w:szCs w:val="16"/>
              </w:rPr>
              <w:t>99.84%</w:t>
            </w:r>
          </w:p>
        </w:tc>
      </w:tr>
      <w:tr w:rsidR="0050331E" w:rsidRPr="00781112" w14:paraId="0886C16B" w14:textId="77777777" w:rsidTr="00360DD6">
        <w:trPr>
          <w:trHeight w:val="368"/>
        </w:trPr>
        <w:tc>
          <w:tcPr>
            <w:tcW w:w="736" w:type="pct"/>
            <w:vAlign w:val="center"/>
          </w:tcPr>
          <w:p w14:paraId="102CCA25" w14:textId="77777777" w:rsidR="005246CC" w:rsidRPr="00781112" w:rsidRDefault="005246CC" w:rsidP="005246CC">
            <w:pPr>
              <w:spacing w:before="0" w:after="0"/>
              <w:jc w:val="center"/>
              <w:rPr>
                <w:rFonts w:cs="Arial"/>
                <w:b/>
                <w:bCs/>
                <w:color w:val="000000" w:themeColor="text1"/>
                <w:szCs w:val="16"/>
              </w:rPr>
            </w:pPr>
            <w:r w:rsidRPr="00781112">
              <w:rPr>
                <w:rFonts w:cs="Arial"/>
                <w:szCs w:val="16"/>
              </w:rPr>
              <w:t>Reading</w:t>
            </w:r>
          </w:p>
        </w:tc>
        <w:tc>
          <w:tcPr>
            <w:tcW w:w="736" w:type="pct"/>
            <w:vAlign w:val="center"/>
          </w:tcPr>
          <w:p w14:paraId="21539C6C" w14:textId="77777777"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B</w:t>
            </w:r>
          </w:p>
        </w:tc>
        <w:tc>
          <w:tcPr>
            <w:tcW w:w="1176" w:type="pct"/>
            <w:vAlign w:val="center"/>
          </w:tcPr>
          <w:p w14:paraId="1FA4B0CE" w14:textId="77777777"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Grade 8</w:t>
            </w:r>
          </w:p>
        </w:tc>
        <w:tc>
          <w:tcPr>
            <w:tcW w:w="1176" w:type="pct"/>
            <w:vAlign w:val="center"/>
          </w:tcPr>
          <w:p w14:paraId="0C1F92F3" w14:textId="77777777" w:rsidR="005246CC" w:rsidRPr="00781112" w:rsidRDefault="005246CC"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32552C06" w14:textId="77777777"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98.73%</w:t>
            </w:r>
          </w:p>
        </w:tc>
      </w:tr>
      <w:tr w:rsidR="0050331E" w:rsidRPr="00781112" w14:paraId="422E7FDB" w14:textId="77777777" w:rsidTr="00360DD6">
        <w:trPr>
          <w:trHeight w:val="368"/>
        </w:trPr>
        <w:tc>
          <w:tcPr>
            <w:tcW w:w="736" w:type="pct"/>
            <w:vAlign w:val="center"/>
          </w:tcPr>
          <w:p w14:paraId="34B6D42E" w14:textId="77777777" w:rsidR="005246CC" w:rsidRPr="00781112" w:rsidRDefault="005246CC" w:rsidP="005246CC">
            <w:pPr>
              <w:spacing w:before="0" w:after="0"/>
              <w:jc w:val="center"/>
              <w:rPr>
                <w:rFonts w:cs="Arial"/>
                <w:b/>
                <w:bCs/>
                <w:color w:val="000000" w:themeColor="text1"/>
                <w:szCs w:val="16"/>
              </w:rPr>
            </w:pPr>
            <w:r w:rsidRPr="00781112">
              <w:rPr>
                <w:rFonts w:cs="Arial"/>
                <w:szCs w:val="16"/>
              </w:rPr>
              <w:t>Reading</w:t>
            </w:r>
          </w:p>
        </w:tc>
        <w:tc>
          <w:tcPr>
            <w:tcW w:w="736" w:type="pct"/>
            <w:vAlign w:val="center"/>
          </w:tcPr>
          <w:p w14:paraId="64F6A5ED" w14:textId="77777777"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C</w:t>
            </w:r>
          </w:p>
        </w:tc>
        <w:tc>
          <w:tcPr>
            <w:tcW w:w="1176" w:type="pct"/>
            <w:vAlign w:val="center"/>
          </w:tcPr>
          <w:p w14:paraId="65485E4C" w14:textId="77777777" w:rsidR="005246CC" w:rsidRPr="00781112" w:rsidRDefault="005246CC" w:rsidP="005246CC">
            <w:pPr>
              <w:jc w:val="center"/>
              <w:rPr>
                <w:rFonts w:cs="Arial"/>
                <w:color w:val="000000" w:themeColor="text1"/>
                <w:szCs w:val="16"/>
              </w:rPr>
            </w:pPr>
            <w:r w:rsidRPr="00781112">
              <w:rPr>
                <w:rFonts w:cs="Arial"/>
                <w:color w:val="000000" w:themeColor="text1"/>
                <w:szCs w:val="16"/>
              </w:rPr>
              <w:t>Grade HS</w:t>
            </w:r>
          </w:p>
        </w:tc>
        <w:tc>
          <w:tcPr>
            <w:tcW w:w="1176" w:type="pct"/>
            <w:vAlign w:val="center"/>
          </w:tcPr>
          <w:p w14:paraId="24566459" w14:textId="77777777" w:rsidR="005246CC" w:rsidRPr="00781112" w:rsidRDefault="005246CC"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215482E6" w14:textId="77777777"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100.00%</w:t>
            </w:r>
          </w:p>
        </w:tc>
      </w:tr>
      <w:tr w:rsidR="00312480" w:rsidRPr="00781112" w14:paraId="509E1D52" w14:textId="77777777" w:rsidTr="00360DD6">
        <w:trPr>
          <w:trHeight w:val="368"/>
        </w:trPr>
        <w:tc>
          <w:tcPr>
            <w:tcW w:w="736" w:type="pct"/>
            <w:vAlign w:val="center"/>
          </w:tcPr>
          <w:p w14:paraId="0CEBC748" w14:textId="77777777"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vAlign w:val="center"/>
          </w:tcPr>
          <w:p w14:paraId="4C48DD03" w14:textId="77777777"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A</w:t>
            </w:r>
          </w:p>
        </w:tc>
        <w:tc>
          <w:tcPr>
            <w:tcW w:w="1176" w:type="pct"/>
            <w:vAlign w:val="center"/>
          </w:tcPr>
          <w:p w14:paraId="22539D59" w14:textId="77777777"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Grade 4</w:t>
            </w:r>
          </w:p>
        </w:tc>
        <w:tc>
          <w:tcPr>
            <w:tcW w:w="1176" w:type="pct"/>
            <w:vAlign w:val="center"/>
          </w:tcPr>
          <w:p w14:paraId="7CC83053" w14:textId="77777777" w:rsidR="00312480" w:rsidRPr="00781112" w:rsidRDefault="00312480"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26F2EDEB" w14:textId="77777777"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99.70%</w:t>
            </w:r>
          </w:p>
        </w:tc>
      </w:tr>
      <w:tr w:rsidR="00312480" w:rsidRPr="00781112" w14:paraId="51ADECF4" w14:textId="77777777" w:rsidTr="00360DD6">
        <w:trPr>
          <w:trHeight w:val="368"/>
        </w:trPr>
        <w:tc>
          <w:tcPr>
            <w:tcW w:w="736" w:type="pct"/>
            <w:vAlign w:val="center"/>
          </w:tcPr>
          <w:p w14:paraId="5CD7C188" w14:textId="77777777"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vAlign w:val="center"/>
          </w:tcPr>
          <w:p w14:paraId="5C286A14" w14:textId="77777777"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B</w:t>
            </w:r>
          </w:p>
        </w:tc>
        <w:tc>
          <w:tcPr>
            <w:tcW w:w="1176" w:type="pct"/>
            <w:vAlign w:val="center"/>
          </w:tcPr>
          <w:p w14:paraId="157A5BC8" w14:textId="77777777" w:rsidR="00312480" w:rsidRPr="00781112" w:rsidRDefault="00312480" w:rsidP="00312480">
            <w:pPr>
              <w:jc w:val="center"/>
              <w:rPr>
                <w:rFonts w:cs="Arial"/>
                <w:color w:val="000000" w:themeColor="text1"/>
                <w:szCs w:val="16"/>
              </w:rPr>
            </w:pPr>
            <w:r w:rsidRPr="00781112">
              <w:rPr>
                <w:rFonts w:cs="Arial"/>
                <w:color w:val="000000" w:themeColor="text1"/>
                <w:szCs w:val="16"/>
              </w:rPr>
              <w:t>Grade 8</w:t>
            </w:r>
          </w:p>
        </w:tc>
        <w:tc>
          <w:tcPr>
            <w:tcW w:w="1176" w:type="pct"/>
            <w:vAlign w:val="center"/>
          </w:tcPr>
          <w:p w14:paraId="121FCB52" w14:textId="77777777" w:rsidR="00312480" w:rsidRPr="00781112" w:rsidRDefault="00312480"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68C7BD16" w14:textId="77777777"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98.97%</w:t>
            </w:r>
          </w:p>
        </w:tc>
      </w:tr>
      <w:tr w:rsidR="00312480" w:rsidRPr="00781112" w14:paraId="31A4DCEC" w14:textId="77777777" w:rsidTr="00360DD6">
        <w:trPr>
          <w:trHeight w:val="368"/>
        </w:trPr>
        <w:tc>
          <w:tcPr>
            <w:tcW w:w="736" w:type="pct"/>
            <w:vAlign w:val="center"/>
          </w:tcPr>
          <w:p w14:paraId="18681F11" w14:textId="77777777"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vAlign w:val="center"/>
          </w:tcPr>
          <w:p w14:paraId="6D7C7B28" w14:textId="77777777"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C</w:t>
            </w:r>
          </w:p>
        </w:tc>
        <w:tc>
          <w:tcPr>
            <w:tcW w:w="1176" w:type="pct"/>
            <w:vAlign w:val="center"/>
          </w:tcPr>
          <w:p w14:paraId="5B8D9F45" w14:textId="77777777"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Grade HS</w:t>
            </w:r>
          </w:p>
        </w:tc>
        <w:tc>
          <w:tcPr>
            <w:tcW w:w="1176" w:type="pct"/>
            <w:vAlign w:val="center"/>
          </w:tcPr>
          <w:p w14:paraId="63241014" w14:textId="77777777" w:rsidR="00312480" w:rsidRPr="00781112" w:rsidRDefault="00312480"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7989AC53" w14:textId="77777777"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100.00%</w:t>
            </w:r>
          </w:p>
        </w:tc>
      </w:tr>
    </w:tbl>
    <w:p w14:paraId="1CBC0B73" w14:textId="77777777" w:rsidR="00E023E6" w:rsidRPr="00781112" w:rsidRDefault="00E023E6" w:rsidP="00FE4611">
      <w:pPr>
        <w:spacing w:before="0" w:after="0" w:line="276" w:lineRule="auto"/>
        <w:rPr>
          <w:b/>
          <w:color w:val="000000" w:themeColor="text1"/>
        </w:rPr>
      </w:pPr>
    </w:p>
    <w:p w14:paraId="750FF9B7" w14:textId="77777777" w:rsidR="0034094E" w:rsidRPr="00781112" w:rsidRDefault="0034094E" w:rsidP="0034094E">
      <w:pPr>
        <w:rPr>
          <w:b/>
          <w:color w:val="000000" w:themeColor="text1"/>
        </w:rPr>
      </w:pPr>
      <w:r w:rsidRPr="00781112">
        <w:rPr>
          <w:b/>
          <w:color w:val="000000" w:themeColor="text1"/>
        </w:rPr>
        <w:t>Targets</w:t>
      </w:r>
    </w:p>
    <w:tbl>
      <w:tblPr>
        <w:tblW w:w="25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TARGETS"/>
      </w:tblPr>
      <w:tblGrid>
        <w:gridCol w:w="897"/>
        <w:gridCol w:w="722"/>
        <w:gridCol w:w="1171"/>
        <w:gridCol w:w="1334"/>
        <w:gridCol w:w="1334"/>
      </w:tblGrid>
      <w:tr w:rsidR="00A80E97" w:rsidRPr="00781112" w14:paraId="0C215EA2" w14:textId="77777777" w:rsidTr="00924AD9">
        <w:tc>
          <w:tcPr>
            <w:tcW w:w="822" w:type="pct"/>
            <w:tcBorders>
              <w:bottom w:val="single" w:sz="4" w:space="0" w:color="auto"/>
            </w:tcBorders>
            <w:vAlign w:val="center"/>
          </w:tcPr>
          <w:p w14:paraId="00EBD181" w14:textId="77777777" w:rsidR="00A80E97" w:rsidRPr="00781112" w:rsidRDefault="00A80E97" w:rsidP="00FD5357">
            <w:pPr>
              <w:jc w:val="center"/>
              <w:rPr>
                <w:b/>
                <w:color w:val="000000" w:themeColor="text1"/>
              </w:rPr>
            </w:pPr>
            <w:r w:rsidRPr="00781112">
              <w:rPr>
                <w:b/>
                <w:color w:val="000000" w:themeColor="text1"/>
              </w:rPr>
              <w:t>Subject</w:t>
            </w:r>
          </w:p>
        </w:tc>
        <w:tc>
          <w:tcPr>
            <w:tcW w:w="661" w:type="pct"/>
            <w:tcBorders>
              <w:bottom w:val="single" w:sz="4" w:space="0" w:color="auto"/>
            </w:tcBorders>
            <w:vAlign w:val="center"/>
          </w:tcPr>
          <w:p w14:paraId="71D0E441" w14:textId="77777777" w:rsidR="00A80E97" w:rsidRPr="00781112" w:rsidRDefault="00A80E97" w:rsidP="00FD5357">
            <w:pPr>
              <w:jc w:val="center"/>
              <w:rPr>
                <w:b/>
                <w:color w:val="000000" w:themeColor="text1"/>
              </w:rPr>
            </w:pPr>
            <w:r w:rsidRPr="00781112">
              <w:rPr>
                <w:b/>
                <w:color w:val="000000" w:themeColor="text1"/>
              </w:rPr>
              <w:t>Group</w:t>
            </w:r>
          </w:p>
        </w:tc>
        <w:tc>
          <w:tcPr>
            <w:tcW w:w="1073" w:type="pct"/>
            <w:vAlign w:val="center"/>
          </w:tcPr>
          <w:p w14:paraId="75D179C3" w14:textId="77777777" w:rsidR="00A80E97" w:rsidRPr="00781112" w:rsidDel="008E7B87" w:rsidRDefault="00A80E97" w:rsidP="00FD5357">
            <w:pPr>
              <w:jc w:val="center"/>
              <w:rPr>
                <w:b/>
                <w:color w:val="000000" w:themeColor="text1"/>
              </w:rPr>
            </w:pPr>
            <w:r w:rsidRPr="00781112">
              <w:rPr>
                <w:b/>
                <w:color w:val="000000" w:themeColor="text1"/>
              </w:rPr>
              <w:t>Group Name</w:t>
            </w:r>
          </w:p>
        </w:tc>
        <w:tc>
          <w:tcPr>
            <w:tcW w:w="1222" w:type="pct"/>
            <w:vAlign w:val="center"/>
          </w:tcPr>
          <w:p w14:paraId="003925A8" w14:textId="77777777" w:rsidR="00A80E97" w:rsidRPr="00781112" w:rsidRDefault="00A80E97" w:rsidP="00FD5357">
            <w:pPr>
              <w:jc w:val="center"/>
              <w:rPr>
                <w:b/>
                <w:color w:val="000000" w:themeColor="text1"/>
              </w:rPr>
            </w:pPr>
            <w:r w:rsidRPr="00781112">
              <w:rPr>
                <w:b/>
                <w:color w:val="000000" w:themeColor="text1"/>
              </w:rPr>
              <w:t>2024</w:t>
            </w:r>
          </w:p>
        </w:tc>
        <w:tc>
          <w:tcPr>
            <w:tcW w:w="1222" w:type="pct"/>
            <w:vAlign w:val="center"/>
          </w:tcPr>
          <w:p w14:paraId="2B663C3B" w14:textId="77777777" w:rsidR="00A80E97" w:rsidRPr="00781112" w:rsidRDefault="00A80E97" w:rsidP="00FD5357">
            <w:pPr>
              <w:jc w:val="center"/>
              <w:rPr>
                <w:b/>
                <w:color w:val="000000" w:themeColor="text1"/>
              </w:rPr>
            </w:pPr>
            <w:r w:rsidRPr="00781112">
              <w:rPr>
                <w:rFonts w:cs="Arial"/>
                <w:b/>
                <w:color w:val="000000" w:themeColor="text1"/>
                <w:szCs w:val="16"/>
              </w:rPr>
              <w:t>2025</w:t>
            </w:r>
          </w:p>
        </w:tc>
      </w:tr>
      <w:tr w:rsidR="00A80E97" w:rsidRPr="00781112" w14:paraId="16CA52F3" w14:textId="77777777" w:rsidTr="00924AD9">
        <w:tc>
          <w:tcPr>
            <w:tcW w:w="822" w:type="pct"/>
            <w:vAlign w:val="center"/>
          </w:tcPr>
          <w:p w14:paraId="77381B61" w14:textId="77777777" w:rsidR="00A80E97" w:rsidRPr="00781112" w:rsidRDefault="00A80E97" w:rsidP="00C362C0">
            <w:pPr>
              <w:spacing w:before="0" w:after="0"/>
              <w:jc w:val="center"/>
              <w:rPr>
                <w:rFonts w:cs="Arial"/>
                <w:color w:val="000000" w:themeColor="text1"/>
                <w:szCs w:val="16"/>
              </w:rPr>
            </w:pPr>
            <w:r w:rsidRPr="00781112">
              <w:rPr>
                <w:rFonts w:cs="Arial"/>
                <w:color w:val="000000" w:themeColor="text1"/>
                <w:szCs w:val="16"/>
              </w:rPr>
              <w:t>Reading</w:t>
            </w:r>
          </w:p>
        </w:tc>
        <w:tc>
          <w:tcPr>
            <w:tcW w:w="661" w:type="pct"/>
            <w:vAlign w:val="center"/>
          </w:tcPr>
          <w:p w14:paraId="3E7F50B9" w14:textId="77777777" w:rsidR="00A80E97" w:rsidRPr="00781112" w:rsidRDefault="00A80E97" w:rsidP="00C362C0">
            <w:pPr>
              <w:spacing w:before="0" w:after="0"/>
              <w:jc w:val="center"/>
              <w:rPr>
                <w:rFonts w:cs="Arial"/>
                <w:color w:val="000000" w:themeColor="text1"/>
                <w:szCs w:val="16"/>
              </w:rPr>
            </w:pPr>
            <w:r w:rsidRPr="00781112">
              <w:rPr>
                <w:rFonts w:cs="Arial"/>
                <w:color w:val="000000" w:themeColor="text1"/>
                <w:szCs w:val="16"/>
              </w:rPr>
              <w:t>A &gt;=</w:t>
            </w:r>
          </w:p>
        </w:tc>
        <w:tc>
          <w:tcPr>
            <w:tcW w:w="1073" w:type="pct"/>
            <w:vAlign w:val="center"/>
          </w:tcPr>
          <w:p w14:paraId="3548A60B" w14:textId="77777777" w:rsidR="00A80E97" w:rsidRPr="00781112" w:rsidDel="00DB0A73" w:rsidRDefault="00A80E97" w:rsidP="00C362C0">
            <w:pPr>
              <w:jc w:val="center"/>
              <w:rPr>
                <w:rFonts w:cs="Arial"/>
                <w:color w:val="000000" w:themeColor="text1"/>
                <w:szCs w:val="16"/>
              </w:rPr>
            </w:pPr>
            <w:r w:rsidRPr="00781112">
              <w:rPr>
                <w:rFonts w:cs="Arial"/>
                <w:color w:val="000000" w:themeColor="text1"/>
                <w:szCs w:val="16"/>
              </w:rPr>
              <w:t>Grade 4</w:t>
            </w:r>
          </w:p>
        </w:tc>
        <w:tc>
          <w:tcPr>
            <w:tcW w:w="1222" w:type="pct"/>
            <w:vAlign w:val="center"/>
          </w:tcPr>
          <w:p w14:paraId="3F16CFDC" w14:textId="77777777" w:rsidR="00A80E97" w:rsidRPr="00781112" w:rsidRDefault="00A80E97" w:rsidP="00C362C0">
            <w:pPr>
              <w:jc w:val="center"/>
              <w:rPr>
                <w:rFonts w:cs="Arial"/>
                <w:color w:val="000000" w:themeColor="text1"/>
                <w:szCs w:val="16"/>
              </w:rPr>
            </w:pPr>
            <w:r w:rsidRPr="00781112">
              <w:rPr>
                <w:rFonts w:cs="Arial"/>
                <w:color w:val="000000" w:themeColor="text1"/>
                <w:szCs w:val="16"/>
              </w:rPr>
              <w:t>95.00%</w:t>
            </w:r>
          </w:p>
        </w:tc>
        <w:tc>
          <w:tcPr>
            <w:tcW w:w="1222" w:type="pct"/>
            <w:vAlign w:val="center"/>
          </w:tcPr>
          <w:p w14:paraId="6930F8EC" w14:textId="77777777" w:rsidR="00A80E97" w:rsidRPr="00FE4611" w:rsidRDefault="00A80E97" w:rsidP="006369C2">
            <w:pPr>
              <w:jc w:val="center"/>
            </w:pPr>
            <w:r w:rsidRPr="00781112">
              <w:rPr>
                <w:rFonts w:cs="Arial"/>
                <w:color w:val="000000" w:themeColor="text1"/>
                <w:szCs w:val="16"/>
              </w:rPr>
              <w:t>95.00%</w:t>
            </w:r>
          </w:p>
        </w:tc>
      </w:tr>
      <w:tr w:rsidR="00A80E97" w:rsidRPr="00781112" w14:paraId="6AD9A4F4" w14:textId="77777777" w:rsidTr="00924AD9">
        <w:tc>
          <w:tcPr>
            <w:tcW w:w="822" w:type="pct"/>
            <w:vAlign w:val="center"/>
          </w:tcPr>
          <w:p w14:paraId="6ADCE641" w14:textId="77777777" w:rsidR="00A80E97" w:rsidRPr="00781112" w:rsidRDefault="00A80E97" w:rsidP="00C362C0">
            <w:pPr>
              <w:spacing w:before="0" w:after="0"/>
              <w:jc w:val="center"/>
              <w:rPr>
                <w:rFonts w:cs="Arial"/>
                <w:color w:val="000000" w:themeColor="text1"/>
                <w:szCs w:val="16"/>
              </w:rPr>
            </w:pPr>
            <w:r w:rsidRPr="00781112">
              <w:rPr>
                <w:rFonts w:cs="Arial"/>
                <w:color w:val="000000" w:themeColor="text1"/>
                <w:szCs w:val="16"/>
              </w:rPr>
              <w:t>Reading</w:t>
            </w:r>
          </w:p>
        </w:tc>
        <w:tc>
          <w:tcPr>
            <w:tcW w:w="661" w:type="pct"/>
            <w:vAlign w:val="center"/>
          </w:tcPr>
          <w:p w14:paraId="377A2B5F" w14:textId="77777777" w:rsidR="00A80E97" w:rsidRPr="00781112" w:rsidRDefault="00A80E97" w:rsidP="00C362C0">
            <w:pPr>
              <w:spacing w:before="0" w:after="0"/>
              <w:jc w:val="center"/>
              <w:rPr>
                <w:rFonts w:cs="Arial"/>
                <w:color w:val="000000" w:themeColor="text1"/>
                <w:szCs w:val="16"/>
              </w:rPr>
            </w:pPr>
            <w:r w:rsidRPr="00781112">
              <w:rPr>
                <w:rFonts w:cs="Arial"/>
                <w:color w:val="000000" w:themeColor="text1"/>
                <w:szCs w:val="16"/>
              </w:rPr>
              <w:t>B &gt;=</w:t>
            </w:r>
          </w:p>
        </w:tc>
        <w:tc>
          <w:tcPr>
            <w:tcW w:w="1073" w:type="pct"/>
            <w:vAlign w:val="center"/>
          </w:tcPr>
          <w:p w14:paraId="64DEBABE" w14:textId="77777777" w:rsidR="00A80E97" w:rsidRPr="00781112" w:rsidDel="00DB0A73" w:rsidRDefault="00A80E97" w:rsidP="00C362C0">
            <w:pPr>
              <w:jc w:val="center"/>
              <w:rPr>
                <w:rFonts w:cs="Arial"/>
                <w:color w:val="000000" w:themeColor="text1"/>
                <w:szCs w:val="16"/>
              </w:rPr>
            </w:pPr>
            <w:r w:rsidRPr="00781112">
              <w:rPr>
                <w:rFonts w:cs="Arial"/>
                <w:color w:val="000000" w:themeColor="text1"/>
                <w:szCs w:val="16"/>
              </w:rPr>
              <w:t>Grade 8</w:t>
            </w:r>
          </w:p>
        </w:tc>
        <w:tc>
          <w:tcPr>
            <w:tcW w:w="1222" w:type="pct"/>
            <w:vAlign w:val="center"/>
          </w:tcPr>
          <w:p w14:paraId="4FAF060E" w14:textId="77777777" w:rsidR="00A80E97" w:rsidRPr="00781112" w:rsidRDefault="00A80E97" w:rsidP="00C362C0">
            <w:pPr>
              <w:jc w:val="center"/>
              <w:rPr>
                <w:rFonts w:cs="Arial"/>
                <w:color w:val="000000" w:themeColor="text1"/>
                <w:szCs w:val="16"/>
              </w:rPr>
            </w:pPr>
            <w:r w:rsidRPr="00781112">
              <w:rPr>
                <w:rFonts w:cs="Arial"/>
                <w:color w:val="000000" w:themeColor="text1"/>
                <w:szCs w:val="16"/>
              </w:rPr>
              <w:t>95.00%</w:t>
            </w:r>
          </w:p>
        </w:tc>
        <w:tc>
          <w:tcPr>
            <w:tcW w:w="1222" w:type="pct"/>
            <w:vAlign w:val="center"/>
          </w:tcPr>
          <w:p w14:paraId="08882AAB" w14:textId="77777777" w:rsidR="00A80E97" w:rsidRPr="00781112" w:rsidRDefault="00A80E97" w:rsidP="00C362C0">
            <w:pPr>
              <w:jc w:val="center"/>
              <w:rPr>
                <w:rFonts w:cs="Arial"/>
                <w:color w:val="000000" w:themeColor="text1"/>
                <w:szCs w:val="16"/>
              </w:rPr>
            </w:pPr>
            <w:r w:rsidRPr="00781112">
              <w:rPr>
                <w:rFonts w:cs="Arial"/>
                <w:color w:val="000000" w:themeColor="text1"/>
                <w:szCs w:val="16"/>
              </w:rPr>
              <w:t>95.00%</w:t>
            </w:r>
          </w:p>
        </w:tc>
      </w:tr>
      <w:tr w:rsidR="00A80E97" w:rsidRPr="00781112" w14:paraId="1F5AAB39" w14:textId="77777777" w:rsidTr="00924AD9">
        <w:tc>
          <w:tcPr>
            <w:tcW w:w="822" w:type="pct"/>
            <w:vAlign w:val="center"/>
          </w:tcPr>
          <w:p w14:paraId="3A9A25BE" w14:textId="77777777" w:rsidR="00A80E97" w:rsidRPr="00781112" w:rsidRDefault="00A80E97" w:rsidP="00C362C0">
            <w:pPr>
              <w:spacing w:before="0" w:after="0"/>
              <w:jc w:val="center"/>
              <w:rPr>
                <w:rFonts w:cs="Arial"/>
                <w:color w:val="000000" w:themeColor="text1"/>
                <w:szCs w:val="16"/>
              </w:rPr>
            </w:pPr>
            <w:r w:rsidRPr="00781112">
              <w:rPr>
                <w:rFonts w:cs="Arial"/>
                <w:color w:val="000000" w:themeColor="text1"/>
                <w:szCs w:val="16"/>
              </w:rPr>
              <w:t>Reading</w:t>
            </w:r>
          </w:p>
        </w:tc>
        <w:tc>
          <w:tcPr>
            <w:tcW w:w="661" w:type="pct"/>
            <w:vAlign w:val="center"/>
          </w:tcPr>
          <w:p w14:paraId="46A6C2AA" w14:textId="77777777" w:rsidR="00A80E97" w:rsidRPr="00781112" w:rsidRDefault="00A80E97" w:rsidP="00C362C0">
            <w:pPr>
              <w:spacing w:before="0" w:after="0"/>
              <w:jc w:val="center"/>
              <w:rPr>
                <w:rFonts w:cs="Arial"/>
                <w:color w:val="000000" w:themeColor="text1"/>
                <w:szCs w:val="16"/>
              </w:rPr>
            </w:pPr>
            <w:r w:rsidRPr="00781112">
              <w:rPr>
                <w:rFonts w:cs="Arial"/>
                <w:color w:val="000000" w:themeColor="text1"/>
                <w:szCs w:val="16"/>
              </w:rPr>
              <w:t>C &gt;=</w:t>
            </w:r>
          </w:p>
        </w:tc>
        <w:tc>
          <w:tcPr>
            <w:tcW w:w="1073" w:type="pct"/>
            <w:vAlign w:val="center"/>
          </w:tcPr>
          <w:p w14:paraId="0686C908" w14:textId="77777777" w:rsidR="00A80E97" w:rsidRPr="00781112" w:rsidDel="00DB0A73" w:rsidRDefault="00A80E97" w:rsidP="00C362C0">
            <w:pPr>
              <w:jc w:val="center"/>
              <w:rPr>
                <w:rFonts w:cs="Arial"/>
                <w:color w:val="000000" w:themeColor="text1"/>
                <w:szCs w:val="16"/>
              </w:rPr>
            </w:pPr>
            <w:r w:rsidRPr="00781112">
              <w:rPr>
                <w:rFonts w:cs="Arial"/>
                <w:color w:val="000000" w:themeColor="text1"/>
                <w:szCs w:val="16"/>
              </w:rPr>
              <w:t>Grade HS</w:t>
            </w:r>
          </w:p>
        </w:tc>
        <w:tc>
          <w:tcPr>
            <w:tcW w:w="1222" w:type="pct"/>
            <w:vAlign w:val="center"/>
          </w:tcPr>
          <w:p w14:paraId="7BDAE024" w14:textId="77777777" w:rsidR="00A80E97" w:rsidRPr="00781112" w:rsidRDefault="00A80E97" w:rsidP="00C362C0">
            <w:pPr>
              <w:jc w:val="center"/>
              <w:rPr>
                <w:rFonts w:cs="Arial"/>
                <w:color w:val="000000" w:themeColor="text1"/>
                <w:szCs w:val="16"/>
              </w:rPr>
            </w:pPr>
            <w:r w:rsidRPr="00781112">
              <w:rPr>
                <w:rFonts w:cs="Arial"/>
                <w:color w:val="000000" w:themeColor="text1"/>
                <w:szCs w:val="16"/>
              </w:rPr>
              <w:t>95.00%</w:t>
            </w:r>
          </w:p>
        </w:tc>
        <w:tc>
          <w:tcPr>
            <w:tcW w:w="1222" w:type="pct"/>
            <w:vAlign w:val="center"/>
          </w:tcPr>
          <w:p w14:paraId="16D5B3AD" w14:textId="77777777" w:rsidR="00A80E97" w:rsidRPr="00781112" w:rsidRDefault="00A80E97" w:rsidP="00C362C0">
            <w:pPr>
              <w:jc w:val="center"/>
              <w:rPr>
                <w:rFonts w:cs="Arial"/>
                <w:color w:val="000000" w:themeColor="text1"/>
                <w:szCs w:val="16"/>
              </w:rPr>
            </w:pPr>
            <w:r w:rsidRPr="00781112">
              <w:rPr>
                <w:rFonts w:cs="Arial"/>
                <w:color w:val="000000" w:themeColor="text1"/>
                <w:szCs w:val="16"/>
              </w:rPr>
              <w:t>95.00%</w:t>
            </w:r>
          </w:p>
        </w:tc>
      </w:tr>
      <w:tr w:rsidR="00A80E97" w:rsidRPr="00781112" w14:paraId="79432795" w14:textId="77777777" w:rsidTr="00924AD9">
        <w:tc>
          <w:tcPr>
            <w:tcW w:w="822" w:type="pct"/>
            <w:vAlign w:val="center"/>
          </w:tcPr>
          <w:p w14:paraId="74676619" w14:textId="77777777" w:rsidR="00A80E97" w:rsidRPr="00781112" w:rsidRDefault="00A80E97" w:rsidP="00C362C0">
            <w:pPr>
              <w:spacing w:before="0" w:after="0"/>
              <w:jc w:val="center"/>
              <w:rPr>
                <w:rFonts w:cs="Arial"/>
                <w:color w:val="000000" w:themeColor="text1"/>
                <w:szCs w:val="16"/>
              </w:rPr>
            </w:pPr>
            <w:r w:rsidRPr="00781112">
              <w:rPr>
                <w:rFonts w:cs="Arial"/>
                <w:color w:val="000000" w:themeColor="text1"/>
                <w:szCs w:val="16"/>
              </w:rPr>
              <w:t>Math</w:t>
            </w:r>
          </w:p>
        </w:tc>
        <w:tc>
          <w:tcPr>
            <w:tcW w:w="661" w:type="pct"/>
            <w:vAlign w:val="center"/>
          </w:tcPr>
          <w:p w14:paraId="3DC4B65B" w14:textId="77777777" w:rsidR="00A80E97" w:rsidRPr="00781112" w:rsidRDefault="00A80E97" w:rsidP="00C362C0">
            <w:pPr>
              <w:spacing w:before="0" w:after="0"/>
              <w:jc w:val="center"/>
              <w:rPr>
                <w:rFonts w:cs="Arial"/>
                <w:color w:val="000000" w:themeColor="text1"/>
                <w:szCs w:val="16"/>
              </w:rPr>
            </w:pPr>
            <w:r w:rsidRPr="00781112">
              <w:rPr>
                <w:rFonts w:cs="Arial"/>
                <w:color w:val="000000" w:themeColor="text1"/>
                <w:szCs w:val="16"/>
              </w:rPr>
              <w:t>A &gt;=</w:t>
            </w:r>
          </w:p>
        </w:tc>
        <w:tc>
          <w:tcPr>
            <w:tcW w:w="1073" w:type="pct"/>
            <w:vAlign w:val="center"/>
          </w:tcPr>
          <w:p w14:paraId="3E94A2D7" w14:textId="77777777" w:rsidR="00A80E97" w:rsidRPr="00781112" w:rsidDel="00DB0A73" w:rsidRDefault="00A80E97" w:rsidP="00C362C0">
            <w:pPr>
              <w:jc w:val="center"/>
              <w:rPr>
                <w:rFonts w:cs="Arial"/>
                <w:color w:val="000000" w:themeColor="text1"/>
                <w:szCs w:val="16"/>
              </w:rPr>
            </w:pPr>
            <w:r w:rsidRPr="00781112">
              <w:rPr>
                <w:rFonts w:cs="Arial"/>
                <w:color w:val="000000" w:themeColor="text1"/>
                <w:szCs w:val="16"/>
              </w:rPr>
              <w:t>Grade 4</w:t>
            </w:r>
          </w:p>
        </w:tc>
        <w:tc>
          <w:tcPr>
            <w:tcW w:w="1222" w:type="pct"/>
            <w:vAlign w:val="center"/>
          </w:tcPr>
          <w:p w14:paraId="6737ED84" w14:textId="77777777" w:rsidR="00A80E97" w:rsidRPr="00781112" w:rsidRDefault="00A80E97" w:rsidP="00C362C0">
            <w:pPr>
              <w:jc w:val="center"/>
              <w:rPr>
                <w:rFonts w:cs="Arial"/>
                <w:color w:val="000000" w:themeColor="text1"/>
                <w:szCs w:val="16"/>
              </w:rPr>
            </w:pPr>
            <w:r w:rsidRPr="00781112">
              <w:rPr>
                <w:rFonts w:cs="Arial"/>
                <w:color w:val="000000" w:themeColor="text1"/>
                <w:szCs w:val="16"/>
              </w:rPr>
              <w:t>95.00%</w:t>
            </w:r>
          </w:p>
        </w:tc>
        <w:tc>
          <w:tcPr>
            <w:tcW w:w="1222" w:type="pct"/>
            <w:vAlign w:val="center"/>
          </w:tcPr>
          <w:p w14:paraId="679FD1DE" w14:textId="77777777" w:rsidR="00A80E97" w:rsidRPr="00781112" w:rsidRDefault="00A80E97" w:rsidP="00C362C0">
            <w:pPr>
              <w:jc w:val="center"/>
              <w:rPr>
                <w:rFonts w:cs="Arial"/>
                <w:color w:val="000000" w:themeColor="text1"/>
                <w:szCs w:val="16"/>
              </w:rPr>
            </w:pPr>
            <w:r w:rsidRPr="00781112">
              <w:rPr>
                <w:rFonts w:cs="Arial"/>
                <w:color w:val="000000" w:themeColor="text1"/>
                <w:szCs w:val="16"/>
              </w:rPr>
              <w:t>95.00%</w:t>
            </w:r>
          </w:p>
        </w:tc>
      </w:tr>
      <w:tr w:rsidR="00A80E97" w:rsidRPr="00781112" w14:paraId="62AC08BE" w14:textId="77777777" w:rsidTr="00924AD9">
        <w:tc>
          <w:tcPr>
            <w:tcW w:w="822" w:type="pct"/>
            <w:vAlign w:val="center"/>
          </w:tcPr>
          <w:p w14:paraId="20527B96" w14:textId="77777777" w:rsidR="00A80E97" w:rsidRPr="00781112" w:rsidRDefault="00A80E97" w:rsidP="00C362C0">
            <w:pPr>
              <w:spacing w:before="0" w:after="0"/>
              <w:jc w:val="center"/>
              <w:rPr>
                <w:rFonts w:cs="Arial"/>
                <w:color w:val="000000" w:themeColor="text1"/>
                <w:szCs w:val="16"/>
              </w:rPr>
            </w:pPr>
            <w:r w:rsidRPr="00781112">
              <w:rPr>
                <w:rFonts w:cs="Arial"/>
                <w:color w:val="000000" w:themeColor="text1"/>
                <w:szCs w:val="16"/>
              </w:rPr>
              <w:t>Math</w:t>
            </w:r>
          </w:p>
        </w:tc>
        <w:tc>
          <w:tcPr>
            <w:tcW w:w="661" w:type="pct"/>
            <w:vAlign w:val="center"/>
          </w:tcPr>
          <w:p w14:paraId="175BF818" w14:textId="77777777" w:rsidR="00A80E97" w:rsidRPr="00781112" w:rsidRDefault="00A80E97" w:rsidP="00C362C0">
            <w:pPr>
              <w:spacing w:before="0" w:after="0"/>
              <w:jc w:val="center"/>
              <w:rPr>
                <w:rFonts w:cs="Arial"/>
                <w:color w:val="000000" w:themeColor="text1"/>
                <w:szCs w:val="16"/>
              </w:rPr>
            </w:pPr>
            <w:r w:rsidRPr="00781112">
              <w:rPr>
                <w:rFonts w:cs="Arial"/>
                <w:color w:val="000000" w:themeColor="text1"/>
                <w:szCs w:val="16"/>
              </w:rPr>
              <w:t>B &gt;=</w:t>
            </w:r>
          </w:p>
        </w:tc>
        <w:tc>
          <w:tcPr>
            <w:tcW w:w="1073" w:type="pct"/>
            <w:vAlign w:val="center"/>
          </w:tcPr>
          <w:p w14:paraId="3E4978F3" w14:textId="77777777" w:rsidR="00A80E97" w:rsidRPr="00781112" w:rsidDel="00DB0A73" w:rsidRDefault="00A80E97" w:rsidP="00C362C0">
            <w:pPr>
              <w:jc w:val="center"/>
              <w:rPr>
                <w:rFonts w:cs="Arial"/>
                <w:color w:val="000000" w:themeColor="text1"/>
                <w:szCs w:val="16"/>
              </w:rPr>
            </w:pPr>
            <w:r w:rsidRPr="00781112">
              <w:rPr>
                <w:rFonts w:cs="Arial"/>
                <w:color w:val="000000" w:themeColor="text1"/>
                <w:szCs w:val="16"/>
              </w:rPr>
              <w:t>Grade 8</w:t>
            </w:r>
          </w:p>
        </w:tc>
        <w:tc>
          <w:tcPr>
            <w:tcW w:w="1222" w:type="pct"/>
            <w:vAlign w:val="center"/>
          </w:tcPr>
          <w:p w14:paraId="23B1E004" w14:textId="77777777" w:rsidR="00A80E97" w:rsidRPr="00781112" w:rsidRDefault="00A80E97" w:rsidP="00C362C0">
            <w:pPr>
              <w:jc w:val="center"/>
              <w:rPr>
                <w:rFonts w:cs="Arial"/>
                <w:color w:val="000000" w:themeColor="text1"/>
                <w:szCs w:val="16"/>
              </w:rPr>
            </w:pPr>
            <w:r w:rsidRPr="00781112">
              <w:rPr>
                <w:rFonts w:cs="Arial"/>
                <w:color w:val="000000" w:themeColor="text1"/>
                <w:szCs w:val="16"/>
              </w:rPr>
              <w:t>95.00%</w:t>
            </w:r>
          </w:p>
        </w:tc>
        <w:tc>
          <w:tcPr>
            <w:tcW w:w="1222" w:type="pct"/>
            <w:vAlign w:val="center"/>
          </w:tcPr>
          <w:p w14:paraId="79EBB5D8" w14:textId="77777777" w:rsidR="00A80E97" w:rsidRPr="00781112" w:rsidRDefault="00A80E97" w:rsidP="00C362C0">
            <w:pPr>
              <w:jc w:val="center"/>
              <w:rPr>
                <w:rFonts w:cs="Arial"/>
                <w:color w:val="000000" w:themeColor="text1"/>
                <w:szCs w:val="16"/>
              </w:rPr>
            </w:pPr>
            <w:r w:rsidRPr="00781112">
              <w:rPr>
                <w:rFonts w:cs="Arial"/>
                <w:color w:val="000000" w:themeColor="text1"/>
                <w:szCs w:val="16"/>
              </w:rPr>
              <w:t>95.00%</w:t>
            </w:r>
          </w:p>
        </w:tc>
      </w:tr>
      <w:tr w:rsidR="00A80E97" w:rsidRPr="00781112" w14:paraId="565273C2" w14:textId="77777777" w:rsidTr="00924AD9">
        <w:tc>
          <w:tcPr>
            <w:tcW w:w="822" w:type="pct"/>
            <w:vAlign w:val="center"/>
          </w:tcPr>
          <w:p w14:paraId="7CD842CD" w14:textId="77777777" w:rsidR="00A80E97" w:rsidRPr="00781112" w:rsidRDefault="00A80E97" w:rsidP="00C362C0">
            <w:pPr>
              <w:spacing w:before="0" w:after="0"/>
              <w:jc w:val="center"/>
              <w:rPr>
                <w:rFonts w:cs="Arial"/>
                <w:color w:val="000000" w:themeColor="text1"/>
                <w:szCs w:val="16"/>
              </w:rPr>
            </w:pPr>
            <w:r w:rsidRPr="00781112">
              <w:rPr>
                <w:rFonts w:cs="Arial"/>
                <w:color w:val="000000" w:themeColor="text1"/>
                <w:szCs w:val="16"/>
              </w:rPr>
              <w:t>Math</w:t>
            </w:r>
          </w:p>
        </w:tc>
        <w:tc>
          <w:tcPr>
            <w:tcW w:w="661" w:type="pct"/>
            <w:vAlign w:val="center"/>
          </w:tcPr>
          <w:p w14:paraId="0F87B440" w14:textId="77777777" w:rsidR="00A80E97" w:rsidRPr="00781112" w:rsidRDefault="00A80E97" w:rsidP="00C362C0">
            <w:pPr>
              <w:spacing w:before="0" w:after="0"/>
              <w:jc w:val="center"/>
              <w:rPr>
                <w:rFonts w:cs="Arial"/>
                <w:color w:val="000000" w:themeColor="text1"/>
                <w:szCs w:val="16"/>
              </w:rPr>
            </w:pPr>
            <w:r w:rsidRPr="00781112">
              <w:rPr>
                <w:rFonts w:cs="Arial"/>
                <w:color w:val="000000" w:themeColor="text1"/>
                <w:szCs w:val="16"/>
              </w:rPr>
              <w:t>C &gt;=</w:t>
            </w:r>
          </w:p>
        </w:tc>
        <w:tc>
          <w:tcPr>
            <w:tcW w:w="1073" w:type="pct"/>
            <w:vAlign w:val="center"/>
          </w:tcPr>
          <w:p w14:paraId="641AC5CD" w14:textId="77777777" w:rsidR="00A80E97" w:rsidRPr="00781112" w:rsidDel="00DB0A73" w:rsidRDefault="00A80E97" w:rsidP="00C362C0">
            <w:pPr>
              <w:jc w:val="center"/>
              <w:rPr>
                <w:rFonts w:cs="Arial"/>
                <w:color w:val="000000" w:themeColor="text1"/>
                <w:szCs w:val="16"/>
              </w:rPr>
            </w:pPr>
            <w:r w:rsidRPr="00781112">
              <w:rPr>
                <w:rFonts w:cs="Arial"/>
                <w:color w:val="000000" w:themeColor="text1"/>
                <w:szCs w:val="16"/>
              </w:rPr>
              <w:t>Grade HS</w:t>
            </w:r>
          </w:p>
        </w:tc>
        <w:tc>
          <w:tcPr>
            <w:tcW w:w="1222" w:type="pct"/>
            <w:vAlign w:val="center"/>
          </w:tcPr>
          <w:p w14:paraId="72233F68" w14:textId="77777777" w:rsidR="00A80E97" w:rsidRPr="00781112" w:rsidRDefault="00A80E97" w:rsidP="00C362C0">
            <w:pPr>
              <w:jc w:val="center"/>
              <w:rPr>
                <w:rFonts w:cs="Arial"/>
                <w:color w:val="000000" w:themeColor="text1"/>
                <w:szCs w:val="16"/>
              </w:rPr>
            </w:pPr>
            <w:r w:rsidRPr="00781112">
              <w:rPr>
                <w:rFonts w:cs="Arial"/>
                <w:color w:val="000000" w:themeColor="text1"/>
                <w:szCs w:val="16"/>
              </w:rPr>
              <w:t>95.00%</w:t>
            </w:r>
          </w:p>
        </w:tc>
        <w:tc>
          <w:tcPr>
            <w:tcW w:w="1222" w:type="pct"/>
            <w:vAlign w:val="center"/>
          </w:tcPr>
          <w:p w14:paraId="4D44753D" w14:textId="77777777" w:rsidR="00A80E97" w:rsidRPr="00781112" w:rsidRDefault="00A80E97" w:rsidP="00C362C0">
            <w:pPr>
              <w:jc w:val="center"/>
              <w:rPr>
                <w:rFonts w:cs="Arial"/>
                <w:color w:val="000000" w:themeColor="text1"/>
                <w:szCs w:val="16"/>
              </w:rPr>
            </w:pPr>
            <w:r w:rsidRPr="00781112">
              <w:rPr>
                <w:rFonts w:cs="Arial"/>
                <w:color w:val="000000" w:themeColor="text1"/>
                <w:szCs w:val="16"/>
              </w:rPr>
              <w:t>95.00%</w:t>
            </w:r>
          </w:p>
        </w:tc>
      </w:tr>
    </w:tbl>
    <w:p w14:paraId="342FC812" w14:textId="77777777" w:rsidR="00480083" w:rsidRPr="00781112" w:rsidRDefault="00480083" w:rsidP="00480083">
      <w:pPr>
        <w:rPr>
          <w:b/>
          <w:color w:val="000000" w:themeColor="text1"/>
        </w:rPr>
      </w:pPr>
    </w:p>
    <w:p w14:paraId="281B3847" w14:textId="77777777" w:rsidR="00480083" w:rsidRPr="00781112" w:rsidRDefault="00480083" w:rsidP="00480083">
      <w:pPr>
        <w:rPr>
          <w:b/>
          <w:color w:val="000000" w:themeColor="text1"/>
        </w:rPr>
      </w:pPr>
      <w:r w:rsidRPr="00781112">
        <w:rPr>
          <w:b/>
          <w:color w:val="000000" w:themeColor="text1"/>
        </w:rPr>
        <w:t xml:space="preserve">Targets: Description of Stakeholder Input </w:t>
      </w:r>
    </w:p>
    <w:p w14:paraId="374AB830" w14:textId="77777777" w:rsidR="00480083" w:rsidRPr="00781112" w:rsidRDefault="00480083" w:rsidP="00480083">
      <w:pPr>
        <w:rPr>
          <w:rFonts w:cs="Arial"/>
          <w:color w:val="000000" w:themeColor="text1"/>
          <w:szCs w:val="16"/>
        </w:rPr>
      </w:pPr>
      <w:r w:rsidRPr="00781112">
        <w:rPr>
          <w:rFonts w:cs="Arial"/>
          <w:color w:val="000000" w:themeColor="text1"/>
          <w:szCs w:val="16"/>
        </w:rPr>
        <w:t>WVDE/OSE maintains robust stakeholder engagement through multiple communication and collaboration channels:</w:t>
      </w:r>
    </w:p>
    <w:p w14:paraId="4888CC59" w14:textId="77777777" w:rsidR="00CA787A" w:rsidRDefault="003169E9">
      <w:r>
        <w:rPr>
          <w:color w:val="000000"/>
        </w:rPr>
        <w:t>*DIRECT COMMUNICATION/CONSULTATION*</w:t>
      </w:r>
    </w:p>
    <w:p w14:paraId="4314540A" w14:textId="77777777" w:rsidR="00CA787A" w:rsidRDefault="003169E9">
      <w:r>
        <w:rPr>
          <w:color w:val="000000"/>
        </w:rPr>
        <w:t>—Engaging in one-on-one calls with parents, advocates, educators, and community stakeholders.</w:t>
      </w:r>
    </w:p>
    <w:p w14:paraId="7DE8D813" w14:textId="77777777" w:rsidR="00CA787A" w:rsidRDefault="003169E9">
      <w:r>
        <w:rPr>
          <w:color w:val="000000"/>
        </w:rPr>
        <w:t>—Distributing emails and surveys to solicit input from diverse stakeholder groups.</w:t>
      </w:r>
    </w:p>
    <w:p w14:paraId="68B645F0" w14:textId="77777777" w:rsidR="00CA787A" w:rsidRDefault="003169E9">
      <w:r>
        <w:rPr>
          <w:color w:val="000000"/>
        </w:rPr>
        <w:t>—Hosting bi-monthly secondary transition office hours to address Indicator 13 compliance and results, and to provide technical assistance for IEP development.</w:t>
      </w:r>
    </w:p>
    <w:p w14:paraId="33A5FDE7" w14:textId="77777777" w:rsidR="00CA787A" w:rsidRDefault="003169E9">
      <w:r>
        <w:rPr>
          <w:color w:val="000000"/>
        </w:rPr>
        <w:t>—Monthly virtual meetings with stakeholders to identify and troubleshoot areas of concern throughout the state.</w:t>
      </w:r>
    </w:p>
    <w:p w14:paraId="020A481C" w14:textId="77777777" w:rsidR="00CA787A" w:rsidRDefault="003169E9">
      <w:r>
        <w:rPr>
          <w:color w:val="000000"/>
        </w:rPr>
        <w:t>*INFORMATION SHARING*</w:t>
      </w:r>
    </w:p>
    <w:p w14:paraId="5F7D0EB2" w14:textId="77777777" w:rsidR="00CA787A" w:rsidRDefault="003169E9">
      <w:r>
        <w:rPr>
          <w:color w:val="000000"/>
        </w:rPr>
        <w:t>—Utilizing a dedicated Microsoft Teams platform for communication with LEAs.</w:t>
      </w:r>
    </w:p>
    <w:p w14:paraId="5BA9A92B" w14:textId="77777777" w:rsidR="00CA787A" w:rsidRDefault="003169E9">
      <w:r>
        <w:rPr>
          <w:color w:val="000000"/>
        </w:rPr>
        <w:lastRenderedPageBreak/>
        <w:t>—Maintaining a public input form on the WVDE website specifically for SSIP feedback.</w:t>
      </w:r>
    </w:p>
    <w:p w14:paraId="16CBB3AF" w14:textId="77777777" w:rsidR="00CA787A" w:rsidRDefault="003169E9">
      <w:r>
        <w:rPr>
          <w:color w:val="000000"/>
        </w:rPr>
        <w:t xml:space="preserve">—Collecting input from parents, students, and school personnel as required components of monitoring activities. </w:t>
      </w:r>
    </w:p>
    <w:p w14:paraId="1FB90AFB" w14:textId="77777777" w:rsidR="00CA787A" w:rsidRDefault="003169E9">
      <w:r>
        <w:rPr>
          <w:color w:val="000000"/>
        </w:rPr>
        <w:t>—Facilitating cross-office communication and coordination on general and special education initiatives.</w:t>
      </w:r>
    </w:p>
    <w:p w14:paraId="18E700D3" w14:textId="77777777" w:rsidR="00CA787A" w:rsidRDefault="003169E9">
      <w:r>
        <w:rPr>
          <w:color w:val="000000"/>
        </w:rPr>
        <w:t>*COLLABORATIVE PARTNERSHIPS*</w:t>
      </w:r>
    </w:p>
    <w:p w14:paraId="7117569F" w14:textId="77777777" w:rsidR="00CA787A" w:rsidRDefault="003169E9">
      <w:r>
        <w:rPr>
          <w:color w:val="000000"/>
        </w:rPr>
        <w:t>—Engaging in ongoing meetings and interagency teams dedicated to enhancing outcomes for individuals with disabilities.</w:t>
      </w:r>
    </w:p>
    <w:p w14:paraId="276305E7" w14:textId="77777777" w:rsidR="00CA787A" w:rsidRDefault="003169E9">
      <w:r>
        <w:rPr>
          <w:color w:val="000000"/>
        </w:rPr>
        <w:t>—Ensuring the state director's active participation in all WVACEEC meetings, including involvement in sessions, capacity-building efforts, and feedback collection from LEAs, parents, and community organizations.</w:t>
      </w:r>
    </w:p>
    <w:p w14:paraId="1CE63760" w14:textId="77777777" w:rsidR="00CA787A" w:rsidRDefault="003169E9">
      <w:r>
        <w:rPr>
          <w:color w:val="000000"/>
        </w:rPr>
        <w:t>—Maintaining regular meetings and collaborative relationships with legislators, advocacy organizations, educator associations, and other stakeholders to strengthen stakeholder knowledge of IDEA procedures, improve SEA-stakeholder dialogue, and collaboratively develop strategies for ongoing improvement toward special education goals (e.g., the Developmental Disability Council (DD Council), Statewide Independent Living Council (SILC), State Rehabilitation Council (SRC), Employment First Task Force, Olmstead Council).</w:t>
      </w:r>
    </w:p>
    <w:p w14:paraId="46E72A27" w14:textId="77777777" w:rsidR="00480083" w:rsidRPr="00781112" w:rsidRDefault="00480083" w:rsidP="00480083">
      <w:pPr>
        <w:rPr>
          <w:rFonts w:cs="Arial"/>
          <w:color w:val="000000" w:themeColor="text1"/>
          <w:szCs w:val="16"/>
        </w:rPr>
      </w:pPr>
      <w:r w:rsidRPr="00781112">
        <w:rPr>
          <w:rFonts w:cs="Arial"/>
          <w:color w:val="000000" w:themeColor="text1"/>
          <w:szCs w:val="16"/>
        </w:rPr>
        <w:t>Stakeholders did not indicate any interest in revising the Assessment Participation targets during meetings held throughout the reporting period. However, WVDE/OSE remains open to considering any concerns or recommendations stakeholders may have regarding these targets.</w:t>
      </w:r>
    </w:p>
    <w:p w14:paraId="2D48F090" w14:textId="77777777" w:rsidR="00650510" w:rsidRDefault="00650510" w:rsidP="004F4016">
      <w:pPr>
        <w:rPr>
          <w:b/>
          <w:color w:val="000000" w:themeColor="text1"/>
        </w:rPr>
      </w:pPr>
    </w:p>
    <w:p w14:paraId="62418858" w14:textId="77777777" w:rsidR="004F4016" w:rsidRPr="00781112" w:rsidRDefault="00FA33C9" w:rsidP="004F4016">
      <w:pPr>
        <w:rPr>
          <w:b/>
          <w:color w:val="000000" w:themeColor="text1"/>
        </w:rPr>
      </w:pPr>
      <w:r>
        <w:rPr>
          <w:b/>
          <w:color w:val="000000" w:themeColor="text1"/>
        </w:rPr>
        <w:t xml:space="preserve">FFY 2024 Data Disaggregation from </w:t>
      </w:r>
      <w:proofErr w:type="spellStart"/>
      <w:r>
        <w:rPr>
          <w:b/>
          <w:color w:val="000000" w:themeColor="text1"/>
        </w:rPr>
        <w:t>ED</w:t>
      </w:r>
      <w:r w:rsidRPr="00BA3DBE">
        <w:rPr>
          <w:b/>
          <w:i/>
          <w:iCs/>
          <w:color w:val="000000" w:themeColor="text1"/>
        </w:rPr>
        <w:t>Facts</w:t>
      </w:r>
      <w:proofErr w:type="spellEnd"/>
    </w:p>
    <w:p w14:paraId="0718957A"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Data Source:  </w:t>
      </w:r>
    </w:p>
    <w:p w14:paraId="552B2650" w14:textId="77777777" w:rsidR="004F4016" w:rsidRPr="00781112" w:rsidRDefault="004F4016" w:rsidP="004F4016">
      <w:pPr>
        <w:rPr>
          <w:rFonts w:cs="Arial"/>
          <w:color w:val="000000" w:themeColor="text1"/>
          <w:szCs w:val="16"/>
        </w:rPr>
      </w:pPr>
      <w:r w:rsidRPr="00781112">
        <w:rPr>
          <w:rFonts w:cs="Arial"/>
          <w:color w:val="000000" w:themeColor="text1"/>
          <w:szCs w:val="16"/>
        </w:rPr>
        <w:t>SY 2024-25 Assessment Participation in Reading/Language Arts (</w:t>
      </w:r>
      <w:proofErr w:type="spellStart"/>
      <w:r w:rsidRPr="00781112">
        <w:rPr>
          <w:rFonts w:cs="Arial"/>
          <w:color w:val="000000" w:themeColor="text1"/>
          <w:szCs w:val="16"/>
        </w:rPr>
        <w:t>EDFacts</w:t>
      </w:r>
      <w:proofErr w:type="spellEnd"/>
      <w:r w:rsidRPr="00781112">
        <w:rPr>
          <w:rFonts w:cs="Arial"/>
          <w:color w:val="000000" w:themeColor="text1"/>
          <w:szCs w:val="16"/>
        </w:rPr>
        <w:t xml:space="preserve"> file spec FS188; Data Group: 882, 883)</w:t>
      </w:r>
    </w:p>
    <w:p w14:paraId="73699F5B"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Date: </w:t>
      </w:r>
    </w:p>
    <w:p w14:paraId="36134D29" w14:textId="77777777" w:rsidR="004F4016" w:rsidRPr="00781112" w:rsidRDefault="004F4016" w:rsidP="004F4016">
      <w:pPr>
        <w:rPr>
          <w:rFonts w:cs="Arial"/>
          <w:color w:val="000000" w:themeColor="text1"/>
          <w:szCs w:val="16"/>
        </w:rPr>
      </w:pPr>
      <w:r w:rsidRPr="00781112">
        <w:rPr>
          <w:rFonts w:cs="Arial"/>
          <w:color w:val="000000" w:themeColor="text1"/>
          <w:szCs w:val="16"/>
        </w:rPr>
        <w:t>01/07/2026</w:t>
      </w:r>
    </w:p>
    <w:p w14:paraId="1D83F557" w14:textId="77777777" w:rsidR="004F4016" w:rsidRPr="00781112" w:rsidRDefault="004F4016" w:rsidP="004F4016">
      <w:pPr>
        <w:rPr>
          <w:b/>
          <w:color w:val="000000" w:themeColor="text1"/>
        </w:rPr>
      </w:pPr>
      <w:r w:rsidRPr="00781112">
        <w:rPr>
          <w:b/>
          <w:color w:val="000000" w:themeColor="text1"/>
        </w:rPr>
        <w:t>Reading Assessment Participation Data by Grade (1)</w:t>
      </w:r>
    </w:p>
    <w:tbl>
      <w:tblPr>
        <w:tblStyle w:val="TableGrid"/>
        <w:tblW w:w="5000" w:type="pct"/>
        <w:tblLayout w:type="fixed"/>
        <w:tblLook w:val="04A0" w:firstRow="1" w:lastRow="0" w:firstColumn="1" w:lastColumn="0" w:noHBand="0" w:noVBand="1"/>
        <w:tblCaption w:val="B03ASSPARTDATABYGRDRLA"/>
      </w:tblPr>
      <w:tblGrid>
        <w:gridCol w:w="3326"/>
        <w:gridCol w:w="2488"/>
        <w:gridCol w:w="2488"/>
        <w:gridCol w:w="2488"/>
      </w:tblGrid>
      <w:tr w:rsidR="00DD7CEF" w:rsidRPr="00781112" w14:paraId="2B76010C" w14:textId="77777777" w:rsidTr="009E026B">
        <w:tc>
          <w:tcPr>
            <w:tcW w:w="1541" w:type="pct"/>
            <w:vAlign w:val="center"/>
          </w:tcPr>
          <w:p w14:paraId="6A67BD1B" w14:textId="77777777" w:rsidR="00DD7CEF" w:rsidRPr="00781112" w:rsidRDefault="00DD7CEF" w:rsidP="00827FF4">
            <w:pPr>
              <w:jc w:val="center"/>
              <w:rPr>
                <w:rFonts w:cs="Arial"/>
                <w:b/>
                <w:bCs/>
                <w:color w:val="000000" w:themeColor="text1"/>
                <w:szCs w:val="16"/>
              </w:rPr>
            </w:pPr>
            <w:r w:rsidRPr="00781112">
              <w:rPr>
                <w:rFonts w:cs="Arial"/>
                <w:b/>
                <w:bCs/>
                <w:color w:val="000000" w:themeColor="text1"/>
                <w:szCs w:val="16"/>
              </w:rPr>
              <w:t>Group</w:t>
            </w:r>
          </w:p>
        </w:tc>
        <w:tc>
          <w:tcPr>
            <w:tcW w:w="1153" w:type="pct"/>
            <w:vAlign w:val="center"/>
          </w:tcPr>
          <w:p w14:paraId="28CE9EFC" w14:textId="77777777" w:rsidR="00DD7CEF" w:rsidRPr="00781112" w:rsidRDefault="0014778D">
            <w:pPr>
              <w:jc w:val="center"/>
              <w:rPr>
                <w:rFonts w:cs="Arial"/>
                <w:b/>
                <w:bCs/>
                <w:color w:val="000000" w:themeColor="text1"/>
                <w:szCs w:val="16"/>
              </w:rPr>
            </w:pPr>
            <w:r w:rsidRPr="00781112">
              <w:rPr>
                <w:rFonts w:cs="Arial"/>
                <w:b/>
                <w:bCs/>
                <w:color w:val="000000" w:themeColor="text1"/>
                <w:szCs w:val="16"/>
              </w:rPr>
              <w:t>Grade 4</w:t>
            </w:r>
          </w:p>
        </w:tc>
        <w:tc>
          <w:tcPr>
            <w:tcW w:w="1153" w:type="pct"/>
            <w:vAlign w:val="center"/>
          </w:tcPr>
          <w:p w14:paraId="19B5EBC9" w14:textId="77777777" w:rsidR="00DD7CEF" w:rsidRPr="00781112" w:rsidRDefault="009A58F2">
            <w:pPr>
              <w:jc w:val="center"/>
              <w:rPr>
                <w:rFonts w:cs="Arial"/>
                <w:b/>
                <w:bCs/>
                <w:color w:val="000000" w:themeColor="text1"/>
                <w:szCs w:val="16"/>
              </w:rPr>
            </w:pPr>
            <w:r w:rsidRPr="00781112">
              <w:rPr>
                <w:rFonts w:cs="Arial"/>
                <w:b/>
                <w:bCs/>
                <w:color w:val="000000" w:themeColor="text1"/>
                <w:szCs w:val="16"/>
              </w:rPr>
              <w:t>Grade 8</w:t>
            </w:r>
          </w:p>
        </w:tc>
        <w:tc>
          <w:tcPr>
            <w:tcW w:w="1153" w:type="pct"/>
            <w:vAlign w:val="center"/>
          </w:tcPr>
          <w:p w14:paraId="7323475F" w14:textId="77777777" w:rsidR="00DD7CEF" w:rsidRPr="00781112" w:rsidRDefault="00641893">
            <w:pPr>
              <w:jc w:val="center"/>
              <w:rPr>
                <w:rFonts w:cs="Arial"/>
                <w:b/>
                <w:bCs/>
                <w:color w:val="000000" w:themeColor="text1"/>
                <w:szCs w:val="16"/>
              </w:rPr>
            </w:pPr>
            <w:r w:rsidRPr="00781112">
              <w:rPr>
                <w:rFonts w:cs="Arial"/>
                <w:b/>
                <w:bCs/>
                <w:color w:val="000000" w:themeColor="text1"/>
                <w:szCs w:val="16"/>
              </w:rPr>
              <w:t>Grade HS</w:t>
            </w:r>
          </w:p>
        </w:tc>
      </w:tr>
      <w:tr w:rsidR="00DD7CEF" w:rsidRPr="00781112" w14:paraId="5E61E97C" w14:textId="77777777" w:rsidTr="009E026B">
        <w:tc>
          <w:tcPr>
            <w:tcW w:w="1541" w:type="pct"/>
            <w:vAlign w:val="center"/>
          </w:tcPr>
          <w:p w14:paraId="6912F4CF" w14:textId="77777777" w:rsidR="00DD7CEF" w:rsidRPr="00781112" w:rsidRDefault="00DD7CEF" w:rsidP="00827FF4">
            <w:pPr>
              <w:rPr>
                <w:rFonts w:cs="Arial"/>
                <w:color w:val="000000" w:themeColor="text1"/>
                <w:szCs w:val="16"/>
              </w:rPr>
            </w:pPr>
            <w:r w:rsidRPr="00781112">
              <w:rPr>
                <w:rFonts w:cs="Arial"/>
                <w:color w:val="000000" w:themeColor="text1"/>
                <w:szCs w:val="16"/>
              </w:rPr>
              <w:t>a. Children with IEPs (2)</w:t>
            </w:r>
          </w:p>
        </w:tc>
        <w:tc>
          <w:tcPr>
            <w:tcW w:w="1153" w:type="pct"/>
            <w:vAlign w:val="center"/>
          </w:tcPr>
          <w:p w14:paraId="1746A608" w14:textId="77777777" w:rsidR="00DD7CEF" w:rsidRPr="00781112" w:rsidRDefault="00DD7CEF" w:rsidP="00360DD6">
            <w:pPr>
              <w:jc w:val="center"/>
              <w:rPr>
                <w:rFonts w:cs="Arial"/>
                <w:color w:val="000000" w:themeColor="text1"/>
                <w:szCs w:val="16"/>
              </w:rPr>
            </w:pPr>
            <w:r w:rsidRPr="00781112">
              <w:rPr>
                <w:rFonts w:cs="Arial"/>
                <w:color w:val="000000" w:themeColor="text1"/>
                <w:szCs w:val="16"/>
              </w:rPr>
              <w:t>4,291</w:t>
            </w:r>
          </w:p>
        </w:tc>
        <w:tc>
          <w:tcPr>
            <w:tcW w:w="1153" w:type="pct"/>
            <w:vAlign w:val="center"/>
          </w:tcPr>
          <w:p w14:paraId="0C5C4BEA" w14:textId="77777777" w:rsidR="00DD7CEF" w:rsidRPr="00781112" w:rsidRDefault="00DD7CEF" w:rsidP="00360DD6">
            <w:pPr>
              <w:jc w:val="center"/>
              <w:rPr>
                <w:rFonts w:cs="Arial"/>
                <w:color w:val="000000" w:themeColor="text1"/>
                <w:szCs w:val="16"/>
              </w:rPr>
            </w:pPr>
            <w:r w:rsidRPr="00781112">
              <w:rPr>
                <w:rFonts w:cs="Arial"/>
                <w:color w:val="000000" w:themeColor="text1"/>
                <w:szCs w:val="16"/>
              </w:rPr>
              <w:t>3,732</w:t>
            </w:r>
          </w:p>
        </w:tc>
        <w:tc>
          <w:tcPr>
            <w:tcW w:w="1153" w:type="pct"/>
            <w:vAlign w:val="center"/>
          </w:tcPr>
          <w:p w14:paraId="4BD8FCAA" w14:textId="77777777" w:rsidR="00DD7CEF" w:rsidRPr="00781112" w:rsidRDefault="00DD7CEF" w:rsidP="00360DD6">
            <w:pPr>
              <w:jc w:val="center"/>
              <w:rPr>
                <w:rFonts w:cs="Arial"/>
                <w:color w:val="000000" w:themeColor="text1"/>
                <w:szCs w:val="16"/>
              </w:rPr>
            </w:pPr>
            <w:r w:rsidRPr="00781112">
              <w:rPr>
                <w:rFonts w:cs="Arial"/>
                <w:color w:val="000000" w:themeColor="text1"/>
                <w:szCs w:val="16"/>
              </w:rPr>
              <w:t>2,931</w:t>
            </w:r>
          </w:p>
        </w:tc>
      </w:tr>
      <w:tr w:rsidR="00DD7CEF" w:rsidRPr="00781112" w14:paraId="342B3B31" w14:textId="77777777" w:rsidTr="009E026B">
        <w:tc>
          <w:tcPr>
            <w:tcW w:w="1541" w:type="pct"/>
            <w:vAlign w:val="center"/>
          </w:tcPr>
          <w:p w14:paraId="6D47312E" w14:textId="77777777" w:rsidR="00DD7CEF" w:rsidRPr="00781112" w:rsidRDefault="00DD7CEF" w:rsidP="00827FF4">
            <w:pPr>
              <w:rPr>
                <w:rFonts w:cs="Arial"/>
                <w:color w:val="000000" w:themeColor="text1"/>
                <w:szCs w:val="16"/>
              </w:rPr>
            </w:pPr>
            <w:r w:rsidRPr="00781112">
              <w:rPr>
                <w:rFonts w:cs="Arial"/>
                <w:color w:val="000000" w:themeColor="text1"/>
                <w:szCs w:val="16"/>
              </w:rPr>
              <w:t>b. Children with IEPs in regular assessment with no accommodations (3)</w:t>
            </w:r>
          </w:p>
        </w:tc>
        <w:tc>
          <w:tcPr>
            <w:tcW w:w="1153" w:type="pct"/>
            <w:vAlign w:val="center"/>
          </w:tcPr>
          <w:p w14:paraId="5F36AA92" w14:textId="77777777" w:rsidR="00DD7CEF" w:rsidRPr="00781112" w:rsidRDefault="00DD7CEF" w:rsidP="00360DD6">
            <w:pPr>
              <w:jc w:val="center"/>
              <w:rPr>
                <w:rFonts w:cs="Arial"/>
                <w:color w:val="000000" w:themeColor="text1"/>
                <w:szCs w:val="16"/>
              </w:rPr>
            </w:pPr>
            <w:r w:rsidRPr="00781112">
              <w:rPr>
                <w:rFonts w:cs="Arial"/>
                <w:color w:val="000000" w:themeColor="text1"/>
                <w:szCs w:val="16"/>
              </w:rPr>
              <w:t>1,078</w:t>
            </w:r>
          </w:p>
        </w:tc>
        <w:tc>
          <w:tcPr>
            <w:tcW w:w="1153" w:type="pct"/>
            <w:vAlign w:val="center"/>
          </w:tcPr>
          <w:p w14:paraId="4F3A7C6E" w14:textId="77777777" w:rsidR="00DD7CEF" w:rsidRPr="00781112" w:rsidRDefault="00DD7CEF" w:rsidP="00360DD6">
            <w:pPr>
              <w:jc w:val="center"/>
              <w:rPr>
                <w:rFonts w:cs="Arial"/>
                <w:color w:val="000000" w:themeColor="text1"/>
                <w:szCs w:val="16"/>
              </w:rPr>
            </w:pPr>
            <w:r w:rsidRPr="00781112">
              <w:rPr>
                <w:rFonts w:cs="Arial"/>
                <w:color w:val="000000" w:themeColor="text1"/>
                <w:szCs w:val="16"/>
              </w:rPr>
              <w:t>610</w:t>
            </w:r>
          </w:p>
        </w:tc>
        <w:tc>
          <w:tcPr>
            <w:tcW w:w="1153" w:type="pct"/>
            <w:vAlign w:val="center"/>
          </w:tcPr>
          <w:p w14:paraId="11C45630" w14:textId="77777777" w:rsidR="00DD7CEF" w:rsidRPr="00781112" w:rsidRDefault="00DD7CEF" w:rsidP="00360DD6">
            <w:pPr>
              <w:jc w:val="center"/>
              <w:rPr>
                <w:rFonts w:cs="Arial"/>
                <w:color w:val="000000" w:themeColor="text1"/>
                <w:szCs w:val="16"/>
              </w:rPr>
            </w:pPr>
            <w:r w:rsidRPr="00781112">
              <w:rPr>
                <w:rFonts w:cs="Arial"/>
                <w:color w:val="000000" w:themeColor="text1"/>
                <w:szCs w:val="16"/>
              </w:rPr>
              <w:t>1,224</w:t>
            </w:r>
          </w:p>
        </w:tc>
      </w:tr>
      <w:tr w:rsidR="00DD7CEF" w:rsidRPr="00781112" w14:paraId="0BAE3738" w14:textId="77777777" w:rsidTr="009E026B">
        <w:tc>
          <w:tcPr>
            <w:tcW w:w="1541" w:type="pct"/>
            <w:vAlign w:val="center"/>
          </w:tcPr>
          <w:p w14:paraId="798A92C6" w14:textId="77777777" w:rsidR="00DD7CEF" w:rsidRPr="00781112" w:rsidRDefault="00DD7CEF" w:rsidP="00827FF4">
            <w:pPr>
              <w:rPr>
                <w:rFonts w:cs="Arial"/>
                <w:color w:val="000000" w:themeColor="text1"/>
                <w:szCs w:val="16"/>
              </w:rPr>
            </w:pPr>
            <w:r w:rsidRPr="00781112">
              <w:rPr>
                <w:rFonts w:cs="Arial"/>
                <w:color w:val="000000" w:themeColor="text1"/>
                <w:szCs w:val="16"/>
              </w:rPr>
              <w:t>c. Children with IEPs in regular assessment with accommodations (3)</w:t>
            </w:r>
          </w:p>
        </w:tc>
        <w:tc>
          <w:tcPr>
            <w:tcW w:w="1153" w:type="pct"/>
            <w:vAlign w:val="center"/>
          </w:tcPr>
          <w:p w14:paraId="542DBD2D" w14:textId="77777777" w:rsidR="00DD7CEF" w:rsidRPr="00781112" w:rsidRDefault="00DD7CEF" w:rsidP="00360DD6">
            <w:pPr>
              <w:jc w:val="center"/>
              <w:rPr>
                <w:rFonts w:cs="Arial"/>
                <w:color w:val="000000" w:themeColor="text1"/>
                <w:szCs w:val="16"/>
              </w:rPr>
            </w:pPr>
            <w:r w:rsidRPr="00781112">
              <w:rPr>
                <w:rFonts w:cs="Arial"/>
                <w:color w:val="000000" w:themeColor="text1"/>
                <w:szCs w:val="16"/>
              </w:rPr>
              <w:t>2,931</w:t>
            </w:r>
          </w:p>
        </w:tc>
        <w:tc>
          <w:tcPr>
            <w:tcW w:w="1153" w:type="pct"/>
            <w:vAlign w:val="center"/>
          </w:tcPr>
          <w:p w14:paraId="79BF3BF0" w14:textId="77777777" w:rsidR="00DD7CEF" w:rsidRPr="00781112" w:rsidRDefault="00DD7CEF" w:rsidP="00360DD6">
            <w:pPr>
              <w:jc w:val="center"/>
              <w:rPr>
                <w:rFonts w:cs="Arial"/>
                <w:color w:val="000000" w:themeColor="text1"/>
                <w:szCs w:val="16"/>
              </w:rPr>
            </w:pPr>
            <w:r w:rsidRPr="00781112">
              <w:rPr>
                <w:rFonts w:cs="Arial"/>
                <w:color w:val="000000" w:themeColor="text1"/>
                <w:szCs w:val="16"/>
              </w:rPr>
              <w:t>2,753</w:t>
            </w:r>
          </w:p>
        </w:tc>
        <w:tc>
          <w:tcPr>
            <w:tcW w:w="1153" w:type="pct"/>
            <w:vAlign w:val="center"/>
          </w:tcPr>
          <w:p w14:paraId="386B692A" w14:textId="77777777" w:rsidR="00DD7CEF" w:rsidRPr="00781112" w:rsidRDefault="00DD7CEF" w:rsidP="00360DD6">
            <w:pPr>
              <w:jc w:val="center"/>
              <w:rPr>
                <w:rFonts w:cs="Arial"/>
                <w:color w:val="000000" w:themeColor="text1"/>
                <w:szCs w:val="16"/>
              </w:rPr>
            </w:pPr>
            <w:r w:rsidRPr="00781112">
              <w:rPr>
                <w:rFonts w:cs="Arial"/>
                <w:color w:val="000000" w:themeColor="text1"/>
                <w:szCs w:val="16"/>
              </w:rPr>
              <w:t>1,213</w:t>
            </w:r>
          </w:p>
        </w:tc>
      </w:tr>
      <w:tr w:rsidR="00DD7CEF" w:rsidRPr="00781112" w14:paraId="1D750DBB" w14:textId="77777777" w:rsidTr="009E026B">
        <w:tc>
          <w:tcPr>
            <w:tcW w:w="1541" w:type="pct"/>
            <w:vAlign w:val="center"/>
          </w:tcPr>
          <w:p w14:paraId="35891358" w14:textId="77777777" w:rsidR="00DD7CEF" w:rsidRPr="00781112" w:rsidRDefault="00E67387" w:rsidP="00827FF4">
            <w:pPr>
              <w:rPr>
                <w:rFonts w:cs="Arial"/>
                <w:color w:val="000000" w:themeColor="text1"/>
                <w:szCs w:val="16"/>
              </w:rPr>
            </w:pPr>
            <w:r w:rsidRPr="00781112">
              <w:rPr>
                <w:rFonts w:cs="Arial"/>
                <w:color w:val="000000" w:themeColor="text1"/>
                <w:szCs w:val="16"/>
              </w:rPr>
              <w:t xml:space="preserve">d. Children with IEPs in alternate assessment against alternate standards </w:t>
            </w:r>
          </w:p>
        </w:tc>
        <w:tc>
          <w:tcPr>
            <w:tcW w:w="1153" w:type="pct"/>
            <w:vAlign w:val="center"/>
          </w:tcPr>
          <w:p w14:paraId="66B7F30E" w14:textId="77777777" w:rsidR="00DD7CEF" w:rsidRPr="00781112" w:rsidRDefault="00DD7CEF" w:rsidP="00360DD6">
            <w:pPr>
              <w:jc w:val="center"/>
              <w:rPr>
                <w:rFonts w:cs="Arial"/>
                <w:color w:val="000000" w:themeColor="text1"/>
                <w:szCs w:val="16"/>
              </w:rPr>
            </w:pPr>
            <w:r w:rsidRPr="00781112">
              <w:rPr>
                <w:rFonts w:cs="Arial"/>
                <w:color w:val="000000" w:themeColor="text1"/>
                <w:szCs w:val="16"/>
              </w:rPr>
              <w:t>181</w:t>
            </w:r>
          </w:p>
        </w:tc>
        <w:tc>
          <w:tcPr>
            <w:tcW w:w="1153" w:type="pct"/>
            <w:vAlign w:val="center"/>
          </w:tcPr>
          <w:p w14:paraId="39F442FE" w14:textId="77777777" w:rsidR="00DD7CEF" w:rsidRPr="00781112" w:rsidRDefault="00DD7CEF" w:rsidP="00360DD6">
            <w:pPr>
              <w:jc w:val="center"/>
              <w:rPr>
                <w:rFonts w:cs="Arial"/>
                <w:color w:val="000000" w:themeColor="text1"/>
                <w:szCs w:val="16"/>
              </w:rPr>
            </w:pPr>
            <w:r w:rsidRPr="00781112">
              <w:rPr>
                <w:rFonts w:cs="Arial"/>
                <w:color w:val="000000" w:themeColor="text1"/>
                <w:szCs w:val="16"/>
              </w:rPr>
              <w:t>227</w:t>
            </w:r>
          </w:p>
        </w:tc>
        <w:tc>
          <w:tcPr>
            <w:tcW w:w="1153" w:type="pct"/>
            <w:vAlign w:val="center"/>
          </w:tcPr>
          <w:p w14:paraId="6ABADB1E" w14:textId="77777777" w:rsidR="00DD7CEF" w:rsidRPr="00781112" w:rsidRDefault="00DD7CEF" w:rsidP="00360DD6">
            <w:pPr>
              <w:jc w:val="center"/>
              <w:rPr>
                <w:rFonts w:cs="Arial"/>
                <w:color w:val="000000" w:themeColor="text1"/>
                <w:szCs w:val="16"/>
              </w:rPr>
            </w:pPr>
            <w:r w:rsidRPr="00781112">
              <w:rPr>
                <w:rFonts w:cs="Arial"/>
                <w:color w:val="000000" w:themeColor="text1"/>
                <w:szCs w:val="16"/>
              </w:rPr>
              <w:t>215</w:t>
            </w:r>
          </w:p>
        </w:tc>
      </w:tr>
    </w:tbl>
    <w:p w14:paraId="2E9C6DC4" w14:textId="77777777" w:rsidR="003C0975" w:rsidRPr="00781112" w:rsidRDefault="003C0975" w:rsidP="004F4016">
      <w:pPr>
        <w:rPr>
          <w:b/>
          <w:color w:val="000000" w:themeColor="text1"/>
        </w:rPr>
      </w:pPr>
    </w:p>
    <w:p w14:paraId="422BBFD6"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Data Source: </w:t>
      </w:r>
    </w:p>
    <w:p w14:paraId="236B4119" w14:textId="77777777" w:rsidR="004F4016" w:rsidRPr="00781112" w:rsidRDefault="004F4016" w:rsidP="004F4016">
      <w:pPr>
        <w:rPr>
          <w:rFonts w:cs="Arial"/>
          <w:color w:val="000000" w:themeColor="text1"/>
          <w:szCs w:val="16"/>
        </w:rPr>
      </w:pPr>
      <w:r w:rsidRPr="00781112">
        <w:rPr>
          <w:rFonts w:cs="Arial"/>
          <w:color w:val="000000" w:themeColor="text1"/>
          <w:szCs w:val="16"/>
        </w:rPr>
        <w:t>SY 2024-25 Assessment Participation in Mathematics (</w:t>
      </w:r>
      <w:proofErr w:type="spellStart"/>
      <w:r w:rsidRPr="00781112">
        <w:rPr>
          <w:rFonts w:cs="Arial"/>
          <w:color w:val="000000" w:themeColor="text1"/>
          <w:szCs w:val="16"/>
        </w:rPr>
        <w:t>EDFacts</w:t>
      </w:r>
      <w:proofErr w:type="spellEnd"/>
      <w:r w:rsidRPr="00781112">
        <w:rPr>
          <w:rFonts w:cs="Arial"/>
          <w:color w:val="000000" w:themeColor="text1"/>
          <w:szCs w:val="16"/>
        </w:rPr>
        <w:t xml:space="preserve"> file spec FS185; Data Group: 880, 881)</w:t>
      </w:r>
    </w:p>
    <w:p w14:paraId="64AD1314"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Date: </w:t>
      </w:r>
    </w:p>
    <w:p w14:paraId="5EC1CC8B" w14:textId="77777777" w:rsidR="004F4016" w:rsidRPr="00781112" w:rsidRDefault="004F4016" w:rsidP="004F4016">
      <w:pPr>
        <w:rPr>
          <w:rFonts w:cs="Arial"/>
          <w:color w:val="000000" w:themeColor="text1"/>
          <w:szCs w:val="16"/>
        </w:rPr>
      </w:pPr>
      <w:r w:rsidRPr="00781112">
        <w:rPr>
          <w:rFonts w:cs="Arial"/>
          <w:color w:val="000000" w:themeColor="text1"/>
          <w:szCs w:val="16"/>
        </w:rPr>
        <w:t>01/07/2026</w:t>
      </w:r>
    </w:p>
    <w:p w14:paraId="4BD0C803" w14:textId="77777777" w:rsidR="004F4016" w:rsidRPr="00781112" w:rsidRDefault="004F4016" w:rsidP="004F4016">
      <w:pPr>
        <w:rPr>
          <w:b/>
          <w:color w:val="000000" w:themeColor="text1"/>
        </w:rPr>
      </w:pPr>
      <w:r w:rsidRPr="00781112">
        <w:rPr>
          <w:b/>
          <w:color w:val="000000" w:themeColor="text1"/>
        </w:rPr>
        <w:t>Math Assessment Participation Data by Grade</w:t>
      </w:r>
    </w:p>
    <w:tbl>
      <w:tblPr>
        <w:tblStyle w:val="TableGrid"/>
        <w:tblW w:w="5000" w:type="pct"/>
        <w:tblLayout w:type="fixed"/>
        <w:tblLook w:val="04A0" w:firstRow="1" w:lastRow="0" w:firstColumn="1" w:lastColumn="0" w:noHBand="0" w:noVBand="1"/>
        <w:tblCaption w:val="B03ASSPARTDATABYGRDMATH"/>
      </w:tblPr>
      <w:tblGrid>
        <w:gridCol w:w="3326"/>
        <w:gridCol w:w="2488"/>
        <w:gridCol w:w="2488"/>
        <w:gridCol w:w="2488"/>
      </w:tblGrid>
      <w:tr w:rsidR="00227E23" w:rsidRPr="00781112" w14:paraId="7A505485" w14:textId="77777777" w:rsidTr="009E026B">
        <w:tc>
          <w:tcPr>
            <w:tcW w:w="1541" w:type="pct"/>
            <w:vAlign w:val="center"/>
          </w:tcPr>
          <w:p w14:paraId="2395FAED" w14:textId="77777777" w:rsidR="00227E23" w:rsidRPr="00781112" w:rsidRDefault="00835EAD" w:rsidP="00227E23">
            <w:pPr>
              <w:jc w:val="center"/>
              <w:rPr>
                <w:rFonts w:cs="Arial"/>
                <w:b/>
                <w:bCs/>
                <w:color w:val="000000" w:themeColor="text1"/>
                <w:szCs w:val="16"/>
              </w:rPr>
            </w:pPr>
            <w:r w:rsidRPr="00781112">
              <w:rPr>
                <w:rFonts w:cs="Arial"/>
                <w:b/>
                <w:bCs/>
                <w:color w:val="000000" w:themeColor="text1"/>
                <w:szCs w:val="16"/>
              </w:rPr>
              <w:t>Group</w:t>
            </w:r>
          </w:p>
        </w:tc>
        <w:tc>
          <w:tcPr>
            <w:tcW w:w="1153" w:type="pct"/>
            <w:vAlign w:val="center"/>
          </w:tcPr>
          <w:p w14:paraId="4BC815C9" w14:textId="77777777" w:rsidR="00227E23" w:rsidRPr="00781112" w:rsidRDefault="00227E23">
            <w:pPr>
              <w:jc w:val="center"/>
              <w:rPr>
                <w:rFonts w:cs="Arial"/>
                <w:b/>
                <w:bCs/>
                <w:color w:val="000000" w:themeColor="text1"/>
                <w:szCs w:val="16"/>
              </w:rPr>
            </w:pPr>
            <w:r w:rsidRPr="00781112">
              <w:rPr>
                <w:rFonts w:cs="Arial"/>
                <w:b/>
                <w:bCs/>
                <w:color w:val="000000" w:themeColor="text1"/>
                <w:szCs w:val="16"/>
              </w:rPr>
              <w:t>Grade 4</w:t>
            </w:r>
          </w:p>
        </w:tc>
        <w:tc>
          <w:tcPr>
            <w:tcW w:w="1153" w:type="pct"/>
            <w:vAlign w:val="center"/>
          </w:tcPr>
          <w:p w14:paraId="55F8A8FE" w14:textId="77777777" w:rsidR="00227E23" w:rsidRPr="00781112" w:rsidRDefault="00227E23">
            <w:pPr>
              <w:jc w:val="center"/>
              <w:rPr>
                <w:rFonts w:cs="Arial"/>
                <w:b/>
                <w:bCs/>
                <w:color w:val="000000" w:themeColor="text1"/>
                <w:szCs w:val="16"/>
              </w:rPr>
            </w:pPr>
            <w:r w:rsidRPr="00781112">
              <w:rPr>
                <w:rFonts w:cs="Arial"/>
                <w:b/>
                <w:bCs/>
                <w:color w:val="000000" w:themeColor="text1"/>
                <w:szCs w:val="16"/>
              </w:rPr>
              <w:t>Grade 8</w:t>
            </w:r>
          </w:p>
        </w:tc>
        <w:tc>
          <w:tcPr>
            <w:tcW w:w="1153" w:type="pct"/>
            <w:vAlign w:val="center"/>
          </w:tcPr>
          <w:p w14:paraId="3F780478" w14:textId="77777777" w:rsidR="00227E23" w:rsidRPr="00781112" w:rsidRDefault="00227E23">
            <w:pPr>
              <w:jc w:val="center"/>
              <w:rPr>
                <w:rFonts w:cs="Arial"/>
                <w:b/>
                <w:bCs/>
                <w:color w:val="000000" w:themeColor="text1"/>
                <w:szCs w:val="16"/>
              </w:rPr>
            </w:pPr>
            <w:r w:rsidRPr="00781112">
              <w:rPr>
                <w:rFonts w:cs="Arial"/>
                <w:b/>
                <w:bCs/>
                <w:color w:val="000000" w:themeColor="text1"/>
                <w:szCs w:val="16"/>
              </w:rPr>
              <w:t>Grade HS</w:t>
            </w:r>
          </w:p>
        </w:tc>
      </w:tr>
      <w:tr w:rsidR="00BA0CFF" w:rsidRPr="00781112" w14:paraId="780D2D36" w14:textId="77777777" w:rsidTr="009E026B">
        <w:tc>
          <w:tcPr>
            <w:tcW w:w="1541" w:type="pct"/>
            <w:vAlign w:val="center"/>
          </w:tcPr>
          <w:p w14:paraId="76C765DA" w14:textId="77777777" w:rsidR="00BA0CFF" w:rsidRPr="00781112" w:rsidRDefault="00BA0CFF" w:rsidP="00BA0CFF">
            <w:pPr>
              <w:rPr>
                <w:rFonts w:cs="Arial"/>
                <w:color w:val="000000" w:themeColor="text1"/>
                <w:szCs w:val="16"/>
              </w:rPr>
            </w:pPr>
            <w:r w:rsidRPr="00781112">
              <w:rPr>
                <w:rFonts w:cs="Arial"/>
                <w:color w:val="000000" w:themeColor="text1"/>
                <w:szCs w:val="16"/>
              </w:rPr>
              <w:t>a. Children with IEPs (2)</w:t>
            </w:r>
          </w:p>
        </w:tc>
        <w:tc>
          <w:tcPr>
            <w:tcW w:w="1153" w:type="pct"/>
            <w:vAlign w:val="center"/>
          </w:tcPr>
          <w:p w14:paraId="5A9B5FFE" w14:textId="77777777" w:rsidR="00BA0CFF" w:rsidRPr="00781112" w:rsidRDefault="00BA0CFF" w:rsidP="00360DD6">
            <w:pPr>
              <w:jc w:val="center"/>
              <w:rPr>
                <w:rFonts w:cs="Arial"/>
                <w:color w:val="000000" w:themeColor="text1"/>
                <w:szCs w:val="16"/>
              </w:rPr>
            </w:pPr>
            <w:r w:rsidRPr="00781112">
              <w:rPr>
                <w:rFonts w:cs="Arial"/>
                <w:color w:val="000000" w:themeColor="text1"/>
                <w:szCs w:val="16"/>
              </w:rPr>
              <w:t>4,294</w:t>
            </w:r>
          </w:p>
        </w:tc>
        <w:tc>
          <w:tcPr>
            <w:tcW w:w="1153" w:type="pct"/>
            <w:vAlign w:val="center"/>
          </w:tcPr>
          <w:p w14:paraId="15BE8099" w14:textId="77777777" w:rsidR="00BA0CFF" w:rsidRPr="00781112" w:rsidRDefault="00BA0CFF" w:rsidP="00360DD6">
            <w:pPr>
              <w:jc w:val="center"/>
              <w:rPr>
                <w:rFonts w:cs="Arial"/>
                <w:color w:val="000000" w:themeColor="text1"/>
                <w:szCs w:val="16"/>
              </w:rPr>
            </w:pPr>
            <w:r w:rsidRPr="00781112">
              <w:rPr>
                <w:rFonts w:cs="Arial"/>
                <w:color w:val="000000" w:themeColor="text1"/>
                <w:szCs w:val="16"/>
              </w:rPr>
              <w:t>3,736</w:t>
            </w:r>
          </w:p>
        </w:tc>
        <w:tc>
          <w:tcPr>
            <w:tcW w:w="1153" w:type="pct"/>
            <w:vAlign w:val="center"/>
          </w:tcPr>
          <w:p w14:paraId="48582195" w14:textId="77777777" w:rsidR="00BA0CFF" w:rsidRPr="00781112" w:rsidRDefault="00BA0CFF" w:rsidP="00360DD6">
            <w:pPr>
              <w:jc w:val="center"/>
              <w:rPr>
                <w:rFonts w:cs="Arial"/>
                <w:color w:val="000000" w:themeColor="text1"/>
                <w:szCs w:val="16"/>
              </w:rPr>
            </w:pPr>
            <w:r w:rsidRPr="00781112">
              <w:rPr>
                <w:rFonts w:cs="Arial"/>
                <w:color w:val="000000" w:themeColor="text1"/>
                <w:szCs w:val="16"/>
              </w:rPr>
              <w:t>2,931</w:t>
            </w:r>
          </w:p>
        </w:tc>
      </w:tr>
      <w:tr w:rsidR="003A67B1" w:rsidRPr="00781112" w14:paraId="55A6B3CA" w14:textId="77777777" w:rsidTr="009E026B">
        <w:tc>
          <w:tcPr>
            <w:tcW w:w="1541" w:type="pct"/>
            <w:vAlign w:val="center"/>
          </w:tcPr>
          <w:p w14:paraId="2C8C79E3" w14:textId="77777777" w:rsidR="003A67B1" w:rsidRPr="00781112" w:rsidRDefault="003A67B1" w:rsidP="003A67B1">
            <w:pPr>
              <w:rPr>
                <w:rFonts w:cs="Arial"/>
                <w:color w:val="000000" w:themeColor="text1"/>
                <w:szCs w:val="16"/>
              </w:rPr>
            </w:pPr>
            <w:r w:rsidRPr="00781112">
              <w:rPr>
                <w:rFonts w:cs="Arial"/>
                <w:color w:val="000000" w:themeColor="text1"/>
                <w:szCs w:val="16"/>
              </w:rPr>
              <w:t>b. Children with IEPs in regular assessment with no accommodations (3)</w:t>
            </w:r>
          </w:p>
        </w:tc>
        <w:tc>
          <w:tcPr>
            <w:tcW w:w="1153" w:type="pct"/>
            <w:vAlign w:val="center"/>
          </w:tcPr>
          <w:p w14:paraId="242CCA51" w14:textId="77777777" w:rsidR="003A67B1" w:rsidRPr="00781112" w:rsidRDefault="003A67B1" w:rsidP="003A67B1">
            <w:pPr>
              <w:jc w:val="center"/>
              <w:rPr>
                <w:rFonts w:cs="Arial"/>
                <w:color w:val="000000" w:themeColor="text1"/>
                <w:szCs w:val="16"/>
              </w:rPr>
            </w:pPr>
            <w:r w:rsidRPr="00781112">
              <w:rPr>
                <w:rFonts w:cs="Arial"/>
                <w:color w:val="000000" w:themeColor="text1"/>
                <w:szCs w:val="16"/>
              </w:rPr>
              <w:t>1,076</w:t>
            </w:r>
          </w:p>
        </w:tc>
        <w:tc>
          <w:tcPr>
            <w:tcW w:w="1153" w:type="pct"/>
            <w:vAlign w:val="center"/>
          </w:tcPr>
          <w:p w14:paraId="655A3886" w14:textId="77777777" w:rsidR="003A67B1" w:rsidRPr="00781112" w:rsidRDefault="003A67B1" w:rsidP="003A67B1">
            <w:pPr>
              <w:jc w:val="center"/>
              <w:rPr>
                <w:rFonts w:cs="Arial"/>
                <w:color w:val="000000" w:themeColor="text1"/>
                <w:szCs w:val="16"/>
              </w:rPr>
            </w:pPr>
            <w:r w:rsidRPr="00781112">
              <w:rPr>
                <w:rFonts w:cs="Arial"/>
                <w:color w:val="000000" w:themeColor="text1"/>
                <w:szCs w:val="16"/>
              </w:rPr>
              <w:t>614</w:t>
            </w:r>
          </w:p>
        </w:tc>
        <w:tc>
          <w:tcPr>
            <w:tcW w:w="1153" w:type="pct"/>
            <w:vAlign w:val="center"/>
          </w:tcPr>
          <w:p w14:paraId="5137683C" w14:textId="77777777" w:rsidR="003A67B1" w:rsidRPr="00781112" w:rsidRDefault="003A67B1" w:rsidP="003A67B1">
            <w:pPr>
              <w:jc w:val="center"/>
              <w:rPr>
                <w:rFonts w:cs="Arial"/>
                <w:color w:val="000000" w:themeColor="text1"/>
                <w:szCs w:val="16"/>
              </w:rPr>
            </w:pPr>
            <w:r w:rsidRPr="00781112">
              <w:rPr>
                <w:rFonts w:cs="Arial"/>
                <w:color w:val="000000" w:themeColor="text1"/>
                <w:szCs w:val="16"/>
              </w:rPr>
              <w:t>1,224</w:t>
            </w:r>
          </w:p>
        </w:tc>
      </w:tr>
      <w:tr w:rsidR="003A67B1" w:rsidRPr="00781112" w14:paraId="59A49485" w14:textId="77777777" w:rsidTr="009E026B">
        <w:tc>
          <w:tcPr>
            <w:tcW w:w="1541" w:type="pct"/>
            <w:vAlign w:val="center"/>
          </w:tcPr>
          <w:p w14:paraId="774C3F18" w14:textId="77777777" w:rsidR="003A67B1" w:rsidRPr="00781112" w:rsidRDefault="003A67B1" w:rsidP="003A67B1">
            <w:pPr>
              <w:rPr>
                <w:rFonts w:cs="Arial"/>
                <w:color w:val="000000" w:themeColor="text1"/>
                <w:szCs w:val="16"/>
              </w:rPr>
            </w:pPr>
            <w:r w:rsidRPr="00781112">
              <w:rPr>
                <w:rFonts w:cs="Arial"/>
                <w:color w:val="000000" w:themeColor="text1"/>
                <w:szCs w:val="16"/>
              </w:rPr>
              <w:t>c. Children with IEPs in regular assessment with accommodations (3)</w:t>
            </w:r>
          </w:p>
        </w:tc>
        <w:tc>
          <w:tcPr>
            <w:tcW w:w="1153" w:type="pct"/>
            <w:vAlign w:val="center"/>
          </w:tcPr>
          <w:p w14:paraId="431D7F71" w14:textId="77777777" w:rsidR="003A67B1" w:rsidRPr="00781112" w:rsidRDefault="003A67B1" w:rsidP="003A67B1">
            <w:pPr>
              <w:jc w:val="center"/>
              <w:rPr>
                <w:rFonts w:cs="Arial"/>
                <w:color w:val="000000" w:themeColor="text1"/>
                <w:szCs w:val="16"/>
              </w:rPr>
            </w:pPr>
            <w:r w:rsidRPr="00781112">
              <w:rPr>
                <w:rFonts w:cs="Arial"/>
                <w:color w:val="000000" w:themeColor="text1"/>
                <w:szCs w:val="16"/>
              </w:rPr>
              <w:t>2,930</w:t>
            </w:r>
          </w:p>
        </w:tc>
        <w:tc>
          <w:tcPr>
            <w:tcW w:w="1153" w:type="pct"/>
            <w:vAlign w:val="center"/>
          </w:tcPr>
          <w:p w14:paraId="5DAEF87A" w14:textId="77777777" w:rsidR="003A67B1" w:rsidRPr="00781112" w:rsidRDefault="003A67B1" w:rsidP="003A67B1">
            <w:pPr>
              <w:jc w:val="center"/>
              <w:rPr>
                <w:rFonts w:cs="Arial"/>
                <w:color w:val="000000" w:themeColor="text1"/>
                <w:szCs w:val="16"/>
              </w:rPr>
            </w:pPr>
            <w:r w:rsidRPr="00781112">
              <w:rPr>
                <w:rFonts w:cs="Arial"/>
                <w:color w:val="000000" w:themeColor="text1"/>
                <w:szCs w:val="16"/>
              </w:rPr>
              <w:t>2,758</w:t>
            </w:r>
          </w:p>
        </w:tc>
        <w:tc>
          <w:tcPr>
            <w:tcW w:w="1153" w:type="pct"/>
            <w:vAlign w:val="center"/>
          </w:tcPr>
          <w:p w14:paraId="1C7F45C7" w14:textId="77777777" w:rsidR="003A67B1" w:rsidRPr="00781112" w:rsidRDefault="003A67B1" w:rsidP="003A67B1">
            <w:pPr>
              <w:jc w:val="center"/>
              <w:rPr>
                <w:rFonts w:cs="Arial"/>
                <w:color w:val="000000" w:themeColor="text1"/>
                <w:szCs w:val="16"/>
              </w:rPr>
            </w:pPr>
            <w:r w:rsidRPr="00781112">
              <w:rPr>
                <w:rFonts w:cs="Arial"/>
                <w:color w:val="000000" w:themeColor="text1"/>
                <w:szCs w:val="16"/>
              </w:rPr>
              <w:t>1,213</w:t>
            </w:r>
          </w:p>
        </w:tc>
      </w:tr>
      <w:tr w:rsidR="003A67B1" w:rsidRPr="00781112" w14:paraId="3C5E5E31" w14:textId="77777777" w:rsidTr="009E026B">
        <w:tc>
          <w:tcPr>
            <w:tcW w:w="1541" w:type="pct"/>
            <w:vAlign w:val="center"/>
          </w:tcPr>
          <w:p w14:paraId="19E2991F" w14:textId="77777777" w:rsidR="003A67B1" w:rsidRPr="00781112" w:rsidRDefault="003A67B1" w:rsidP="003A67B1">
            <w:pPr>
              <w:rPr>
                <w:rFonts w:cs="Arial"/>
                <w:color w:val="000000" w:themeColor="text1"/>
                <w:szCs w:val="16"/>
              </w:rPr>
            </w:pPr>
            <w:r w:rsidRPr="00781112">
              <w:rPr>
                <w:rFonts w:cs="Arial"/>
                <w:color w:val="000000" w:themeColor="text1"/>
                <w:szCs w:val="16"/>
              </w:rPr>
              <w:t xml:space="preserve">d. Children with IEPs in alternate assessment against alternate standards </w:t>
            </w:r>
          </w:p>
        </w:tc>
        <w:tc>
          <w:tcPr>
            <w:tcW w:w="1153" w:type="pct"/>
            <w:vAlign w:val="center"/>
          </w:tcPr>
          <w:p w14:paraId="2518F5D5" w14:textId="77777777" w:rsidR="003A67B1" w:rsidRPr="00781112" w:rsidRDefault="003A67B1" w:rsidP="003A67B1">
            <w:pPr>
              <w:jc w:val="center"/>
              <w:rPr>
                <w:rFonts w:cs="Arial"/>
                <w:color w:val="000000" w:themeColor="text1"/>
                <w:szCs w:val="16"/>
              </w:rPr>
            </w:pPr>
            <w:r w:rsidRPr="00781112">
              <w:rPr>
                <w:rFonts w:cs="Arial"/>
                <w:color w:val="000000" w:themeColor="text1"/>
                <w:szCs w:val="16"/>
              </w:rPr>
              <w:t>184</w:t>
            </w:r>
          </w:p>
        </w:tc>
        <w:tc>
          <w:tcPr>
            <w:tcW w:w="1153" w:type="pct"/>
            <w:vAlign w:val="center"/>
          </w:tcPr>
          <w:p w14:paraId="499BAF5D" w14:textId="77777777" w:rsidR="003A67B1" w:rsidRPr="00781112" w:rsidRDefault="003A67B1" w:rsidP="003A67B1">
            <w:pPr>
              <w:jc w:val="center"/>
              <w:rPr>
                <w:rFonts w:cs="Arial"/>
                <w:color w:val="000000" w:themeColor="text1"/>
                <w:szCs w:val="16"/>
              </w:rPr>
            </w:pPr>
            <w:r w:rsidRPr="00781112">
              <w:rPr>
                <w:rFonts w:cs="Arial"/>
                <w:color w:val="000000" w:themeColor="text1"/>
                <w:szCs w:val="16"/>
              </w:rPr>
              <w:t>228</w:t>
            </w:r>
          </w:p>
        </w:tc>
        <w:tc>
          <w:tcPr>
            <w:tcW w:w="1153" w:type="pct"/>
            <w:vAlign w:val="center"/>
          </w:tcPr>
          <w:p w14:paraId="74A36B75" w14:textId="77777777" w:rsidR="003A67B1" w:rsidRPr="00781112" w:rsidRDefault="003A67B1" w:rsidP="003A67B1">
            <w:pPr>
              <w:jc w:val="center"/>
              <w:rPr>
                <w:rFonts w:cs="Arial"/>
                <w:color w:val="000000" w:themeColor="text1"/>
                <w:szCs w:val="16"/>
              </w:rPr>
            </w:pPr>
            <w:r w:rsidRPr="00781112">
              <w:rPr>
                <w:rFonts w:cs="Arial"/>
                <w:color w:val="000000" w:themeColor="text1"/>
                <w:szCs w:val="16"/>
              </w:rPr>
              <w:t>215</w:t>
            </w:r>
          </w:p>
        </w:tc>
      </w:tr>
    </w:tbl>
    <w:p w14:paraId="0B504CDB" w14:textId="77777777" w:rsidR="004F2A22" w:rsidRDefault="004F2A22" w:rsidP="003E3AED"/>
    <w:p w14:paraId="22A112E0" w14:textId="77777777" w:rsidR="00AF1BC7" w:rsidRDefault="00AF1BC7" w:rsidP="006D1560">
      <w:r>
        <w:t>(1) The children with IEPs who are English learners and took the ELP in lieu of the regular reading/language arts assessment are not included in the prefilled data in this indicator.</w:t>
      </w:r>
    </w:p>
    <w:p w14:paraId="185DE063" w14:textId="77777777" w:rsidR="003E3AED" w:rsidRDefault="006D1560" w:rsidP="006D1560">
      <w:r>
        <w:t>(</w:t>
      </w:r>
      <w:r w:rsidR="00AF1BC7">
        <w:t>2</w:t>
      </w:r>
      <w:r>
        <w:t xml:space="preserve">) </w:t>
      </w:r>
      <w:r w:rsidR="003C0975">
        <w:t xml:space="preserve">The children with IEPs count </w:t>
      </w:r>
      <w:r w:rsidR="003C0975" w:rsidRPr="007905E7">
        <w:t xml:space="preserve">excludes </w:t>
      </w:r>
      <w:r w:rsidR="003C0975">
        <w:t xml:space="preserve">children with disabilities </w:t>
      </w:r>
      <w:r w:rsidR="003C0975" w:rsidRPr="007905E7">
        <w:t>who were reported as exempt due to significant medical emergency</w:t>
      </w:r>
      <w:r w:rsidR="003E3AED">
        <w:t xml:space="preserve"> in row </w:t>
      </w:r>
      <w:r w:rsidR="007A3E26">
        <w:t>A</w:t>
      </w:r>
      <w:r w:rsidR="003E3AED">
        <w:t xml:space="preserve"> for all the prefilled data in this indicator.</w:t>
      </w:r>
    </w:p>
    <w:p w14:paraId="6475F49A" w14:textId="77777777" w:rsidR="006D1560" w:rsidRPr="006D1560" w:rsidRDefault="006D1560" w:rsidP="006D1560">
      <w:r>
        <w:t>(</w:t>
      </w:r>
      <w:r w:rsidR="00AF1BC7">
        <w:t>3</w:t>
      </w:r>
      <w:r>
        <w:t xml:space="preserve">) </w:t>
      </w:r>
      <w:r w:rsidR="00502870" w:rsidRPr="00416CC6">
        <w:t>The term</w:t>
      </w:r>
      <w:r w:rsidR="00502870" w:rsidRPr="00580D24">
        <w:rPr>
          <w:bCs/>
        </w:rPr>
        <w:t xml:space="preserve"> “regular assessment” is an aggregation of the following types of assessments</w:t>
      </w:r>
      <w:r w:rsidR="00502870">
        <w:rPr>
          <w:bCs/>
        </w:rPr>
        <w:t>, as applicable for each grade/ grade group</w:t>
      </w:r>
      <w:r w:rsidR="00502870" w:rsidRPr="00580D24">
        <w:rPr>
          <w:bCs/>
        </w:rPr>
        <w:t>: regular assessment based on grade-level achievement standards, advanced assessment, Innovative Assessment Demonstration Authority (IADA) pilot assessment, high school regular assessment I, high school regular assessment II, high school regular assessment III and locally-selected nationally recognized high school assessment in the prefilled data in this indicator.</w:t>
      </w:r>
    </w:p>
    <w:p w14:paraId="1C35B275" w14:textId="77777777" w:rsidR="006D1560" w:rsidRPr="00781112" w:rsidRDefault="006D1560" w:rsidP="004F4016">
      <w:pPr>
        <w:rPr>
          <w:color w:val="000000" w:themeColor="text1"/>
        </w:rPr>
      </w:pPr>
    </w:p>
    <w:p w14:paraId="530BE54E" w14:textId="77777777" w:rsidR="004F4016" w:rsidRPr="00781112" w:rsidRDefault="0047313F" w:rsidP="004F4016">
      <w:pPr>
        <w:rPr>
          <w:b/>
          <w:color w:val="000000" w:themeColor="text1"/>
        </w:rPr>
      </w:pPr>
      <w:r>
        <w:rPr>
          <w:b/>
          <w:color w:val="000000" w:themeColor="text1"/>
        </w:rPr>
        <w:t>FFY 2024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FFYAPRDATARLA"/>
      </w:tblPr>
      <w:tblGrid>
        <w:gridCol w:w="767"/>
        <w:gridCol w:w="1025"/>
        <w:gridCol w:w="1981"/>
        <w:gridCol w:w="1981"/>
        <w:gridCol w:w="1006"/>
        <w:gridCol w:w="1008"/>
        <w:gridCol w:w="1008"/>
        <w:gridCol w:w="1008"/>
        <w:gridCol w:w="1006"/>
      </w:tblGrid>
      <w:tr w:rsidR="00073BD7" w:rsidRPr="00781112" w14:paraId="1B1F6233" w14:textId="77777777" w:rsidTr="0047313F">
        <w:trPr>
          <w:tblHeader/>
        </w:trPr>
        <w:tc>
          <w:tcPr>
            <w:tcW w:w="355" w:type="pct"/>
            <w:vAlign w:val="bottom"/>
          </w:tcPr>
          <w:p w14:paraId="0A68C106" w14:textId="77777777" w:rsidR="00073BD7" w:rsidRPr="00781112" w:rsidRDefault="00073BD7" w:rsidP="00073BD7">
            <w:pPr>
              <w:jc w:val="center"/>
              <w:rPr>
                <w:b/>
                <w:color w:val="000000" w:themeColor="text1"/>
              </w:rPr>
            </w:pPr>
            <w:r w:rsidRPr="00781112">
              <w:rPr>
                <w:b/>
                <w:color w:val="000000" w:themeColor="text1"/>
              </w:rPr>
              <w:t>Group</w:t>
            </w:r>
          </w:p>
        </w:tc>
        <w:tc>
          <w:tcPr>
            <w:tcW w:w="475" w:type="pct"/>
            <w:vAlign w:val="bottom"/>
          </w:tcPr>
          <w:p w14:paraId="6FC1B4EE" w14:textId="77777777" w:rsidR="00073BD7" w:rsidRPr="00781112" w:rsidRDefault="00073BD7" w:rsidP="00073BD7">
            <w:pPr>
              <w:jc w:val="center"/>
              <w:rPr>
                <w:b/>
                <w:color w:val="000000" w:themeColor="text1"/>
              </w:rPr>
            </w:pPr>
            <w:r w:rsidRPr="00781112">
              <w:rPr>
                <w:b/>
                <w:color w:val="000000" w:themeColor="text1"/>
              </w:rPr>
              <w:t>Group Name</w:t>
            </w:r>
          </w:p>
        </w:tc>
        <w:tc>
          <w:tcPr>
            <w:tcW w:w="918" w:type="pct"/>
            <w:vAlign w:val="bottom"/>
          </w:tcPr>
          <w:p w14:paraId="7546FFAD" w14:textId="77777777" w:rsidR="00073BD7" w:rsidRPr="00781112" w:rsidRDefault="00073BD7" w:rsidP="00073BD7">
            <w:pPr>
              <w:jc w:val="center"/>
              <w:rPr>
                <w:b/>
                <w:color w:val="000000" w:themeColor="text1"/>
              </w:rPr>
            </w:pPr>
            <w:r w:rsidRPr="00781112">
              <w:rPr>
                <w:b/>
                <w:color w:val="000000" w:themeColor="text1"/>
              </w:rPr>
              <w:t>Number of Children with IEPs Participating</w:t>
            </w:r>
          </w:p>
        </w:tc>
        <w:tc>
          <w:tcPr>
            <w:tcW w:w="918" w:type="pct"/>
            <w:vAlign w:val="bottom"/>
          </w:tcPr>
          <w:p w14:paraId="3FCB7B5F" w14:textId="77777777" w:rsidR="00073BD7" w:rsidRPr="00781112" w:rsidRDefault="00073BD7" w:rsidP="00073BD7">
            <w:pPr>
              <w:jc w:val="center"/>
              <w:rPr>
                <w:b/>
                <w:color w:val="000000" w:themeColor="text1"/>
              </w:rPr>
            </w:pPr>
            <w:r w:rsidRPr="00781112">
              <w:rPr>
                <w:b/>
                <w:color w:val="000000" w:themeColor="text1"/>
              </w:rPr>
              <w:t>Number of Children with IEPs</w:t>
            </w:r>
          </w:p>
        </w:tc>
        <w:tc>
          <w:tcPr>
            <w:tcW w:w="466" w:type="pct"/>
            <w:vAlign w:val="bottom"/>
          </w:tcPr>
          <w:p w14:paraId="7C48B829" w14:textId="77777777" w:rsidR="00073BD7" w:rsidRPr="00781112" w:rsidRDefault="00073BD7" w:rsidP="00073BD7">
            <w:pPr>
              <w:jc w:val="center"/>
              <w:rPr>
                <w:b/>
                <w:color w:val="000000" w:themeColor="text1"/>
              </w:rPr>
            </w:pPr>
            <w:r w:rsidRPr="00073BD7">
              <w:rPr>
                <w:b/>
                <w:bCs/>
              </w:rPr>
              <w:t>FFY 2023 Data</w:t>
            </w:r>
          </w:p>
        </w:tc>
        <w:tc>
          <w:tcPr>
            <w:tcW w:w="467" w:type="pct"/>
            <w:vAlign w:val="bottom"/>
          </w:tcPr>
          <w:p w14:paraId="0CCDF622" w14:textId="77777777" w:rsidR="00073BD7" w:rsidRPr="00781112" w:rsidRDefault="00073BD7" w:rsidP="00073BD7">
            <w:pPr>
              <w:jc w:val="center"/>
              <w:rPr>
                <w:b/>
                <w:color w:val="000000" w:themeColor="text1"/>
              </w:rPr>
            </w:pPr>
            <w:r w:rsidRPr="00073BD7">
              <w:rPr>
                <w:b/>
                <w:bCs/>
              </w:rPr>
              <w:t>FFY 2024 Target</w:t>
            </w:r>
          </w:p>
        </w:tc>
        <w:tc>
          <w:tcPr>
            <w:tcW w:w="467" w:type="pct"/>
            <w:vAlign w:val="bottom"/>
          </w:tcPr>
          <w:p w14:paraId="546825EE" w14:textId="77777777" w:rsidR="00073BD7" w:rsidRPr="00781112" w:rsidRDefault="00073BD7" w:rsidP="00073BD7">
            <w:pPr>
              <w:jc w:val="center"/>
              <w:rPr>
                <w:b/>
                <w:color w:val="000000" w:themeColor="text1"/>
              </w:rPr>
            </w:pPr>
            <w:r w:rsidRPr="00073BD7">
              <w:rPr>
                <w:b/>
                <w:bCs/>
              </w:rPr>
              <w:t>FFY 2024 Data</w:t>
            </w:r>
          </w:p>
        </w:tc>
        <w:tc>
          <w:tcPr>
            <w:tcW w:w="467" w:type="pct"/>
            <w:vAlign w:val="bottom"/>
          </w:tcPr>
          <w:p w14:paraId="3A84026A" w14:textId="77777777" w:rsidR="00073BD7" w:rsidRPr="00781112" w:rsidRDefault="00073BD7" w:rsidP="00073BD7">
            <w:pPr>
              <w:jc w:val="center"/>
              <w:rPr>
                <w:b/>
                <w:color w:val="000000" w:themeColor="text1"/>
              </w:rPr>
            </w:pPr>
            <w:r w:rsidRPr="00781112">
              <w:rPr>
                <w:b/>
                <w:color w:val="000000" w:themeColor="text1"/>
              </w:rPr>
              <w:t>Status</w:t>
            </w:r>
          </w:p>
        </w:tc>
        <w:tc>
          <w:tcPr>
            <w:tcW w:w="466" w:type="pct"/>
            <w:vAlign w:val="bottom"/>
          </w:tcPr>
          <w:p w14:paraId="755D6602" w14:textId="77777777" w:rsidR="00073BD7" w:rsidRPr="00781112" w:rsidRDefault="00073BD7" w:rsidP="00073BD7">
            <w:pPr>
              <w:jc w:val="center"/>
              <w:rPr>
                <w:b/>
                <w:color w:val="000000" w:themeColor="text1"/>
              </w:rPr>
            </w:pPr>
            <w:r w:rsidRPr="00781112">
              <w:rPr>
                <w:b/>
                <w:color w:val="000000" w:themeColor="text1"/>
              </w:rPr>
              <w:t>Slippage</w:t>
            </w:r>
          </w:p>
        </w:tc>
      </w:tr>
      <w:tr w:rsidR="00396BA3" w:rsidRPr="00781112" w14:paraId="39943A0D" w14:textId="77777777" w:rsidTr="0047313F">
        <w:tc>
          <w:tcPr>
            <w:tcW w:w="355" w:type="pct"/>
            <w:vAlign w:val="center"/>
          </w:tcPr>
          <w:p w14:paraId="1E070197"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t>A</w:t>
            </w:r>
          </w:p>
        </w:tc>
        <w:tc>
          <w:tcPr>
            <w:tcW w:w="475" w:type="pct"/>
            <w:vAlign w:val="center"/>
          </w:tcPr>
          <w:p w14:paraId="0DD4C724" w14:textId="77777777"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4</w:t>
            </w:r>
          </w:p>
        </w:tc>
        <w:tc>
          <w:tcPr>
            <w:tcW w:w="918" w:type="pct"/>
            <w:vAlign w:val="center"/>
          </w:tcPr>
          <w:p w14:paraId="36E855EB" w14:textId="77777777" w:rsidR="00892DD7" w:rsidRPr="00781112" w:rsidRDefault="00892DD7" w:rsidP="00892DD7">
            <w:pPr>
              <w:jc w:val="center"/>
              <w:rPr>
                <w:rFonts w:cs="Arial"/>
                <w:color w:val="000000" w:themeColor="text1"/>
                <w:szCs w:val="16"/>
              </w:rPr>
            </w:pPr>
            <w:r w:rsidRPr="00781112">
              <w:rPr>
                <w:rFonts w:cs="Arial"/>
                <w:color w:val="000000"/>
                <w:szCs w:val="16"/>
              </w:rPr>
              <w:t>4,190</w:t>
            </w:r>
          </w:p>
        </w:tc>
        <w:tc>
          <w:tcPr>
            <w:tcW w:w="918" w:type="pct"/>
            <w:vAlign w:val="center"/>
          </w:tcPr>
          <w:p w14:paraId="0A34E7CC" w14:textId="77777777" w:rsidR="00892DD7" w:rsidRPr="00781112" w:rsidRDefault="00892DD7" w:rsidP="00892DD7">
            <w:pPr>
              <w:jc w:val="center"/>
              <w:rPr>
                <w:rFonts w:cs="Arial"/>
                <w:color w:val="000000" w:themeColor="text1"/>
                <w:szCs w:val="16"/>
              </w:rPr>
            </w:pPr>
            <w:r w:rsidRPr="00781112">
              <w:rPr>
                <w:rFonts w:cs="Arial"/>
                <w:color w:val="000000" w:themeColor="text1"/>
                <w:szCs w:val="16"/>
              </w:rPr>
              <w:t>4,291</w:t>
            </w:r>
          </w:p>
        </w:tc>
        <w:tc>
          <w:tcPr>
            <w:tcW w:w="466" w:type="pct"/>
            <w:vAlign w:val="center"/>
          </w:tcPr>
          <w:p w14:paraId="2AAD4544" w14:textId="77777777" w:rsidR="00892DD7" w:rsidRPr="00781112" w:rsidRDefault="00892DD7" w:rsidP="00892DD7">
            <w:pPr>
              <w:jc w:val="center"/>
              <w:rPr>
                <w:rFonts w:cs="Arial"/>
                <w:color w:val="000000" w:themeColor="text1"/>
                <w:szCs w:val="16"/>
              </w:rPr>
            </w:pPr>
            <w:r w:rsidRPr="00781112">
              <w:rPr>
                <w:rFonts w:cs="Arial"/>
                <w:color w:val="000000" w:themeColor="text1"/>
                <w:szCs w:val="16"/>
              </w:rPr>
              <w:t>99.15%</w:t>
            </w:r>
          </w:p>
        </w:tc>
        <w:tc>
          <w:tcPr>
            <w:tcW w:w="467" w:type="pct"/>
            <w:vAlign w:val="center"/>
          </w:tcPr>
          <w:p w14:paraId="54471878" w14:textId="77777777" w:rsidR="00892DD7" w:rsidRPr="00781112" w:rsidRDefault="00892DD7" w:rsidP="00892DD7">
            <w:pPr>
              <w:jc w:val="center"/>
              <w:rPr>
                <w:rFonts w:cs="Arial"/>
                <w:color w:val="000000" w:themeColor="text1"/>
                <w:szCs w:val="16"/>
              </w:rPr>
            </w:pPr>
            <w:r w:rsidRPr="00781112">
              <w:rPr>
                <w:rFonts w:cs="Arial"/>
                <w:color w:val="000000" w:themeColor="text1"/>
                <w:szCs w:val="16"/>
              </w:rPr>
              <w:t>95.00%</w:t>
            </w:r>
          </w:p>
        </w:tc>
        <w:tc>
          <w:tcPr>
            <w:tcW w:w="467" w:type="pct"/>
            <w:vAlign w:val="center"/>
          </w:tcPr>
          <w:p w14:paraId="46829A78" w14:textId="77777777" w:rsidR="00892DD7" w:rsidRPr="00781112" w:rsidRDefault="00892DD7" w:rsidP="00892DD7">
            <w:pPr>
              <w:jc w:val="center"/>
              <w:rPr>
                <w:rFonts w:cs="Arial"/>
                <w:color w:val="000000" w:themeColor="text1"/>
                <w:szCs w:val="16"/>
              </w:rPr>
            </w:pPr>
            <w:r w:rsidRPr="00781112">
              <w:rPr>
                <w:rFonts w:cs="Arial"/>
                <w:color w:val="000000" w:themeColor="text1"/>
                <w:szCs w:val="16"/>
              </w:rPr>
              <w:t>97.65%</w:t>
            </w:r>
          </w:p>
        </w:tc>
        <w:tc>
          <w:tcPr>
            <w:tcW w:w="467" w:type="pct"/>
            <w:vAlign w:val="center"/>
          </w:tcPr>
          <w:p w14:paraId="1B6CD67F" w14:textId="77777777" w:rsidR="00892DD7" w:rsidRPr="00781112" w:rsidRDefault="00892DD7" w:rsidP="00892DD7">
            <w:pPr>
              <w:jc w:val="center"/>
              <w:rPr>
                <w:rFonts w:cs="Arial"/>
                <w:color w:val="000000" w:themeColor="text1"/>
                <w:szCs w:val="16"/>
              </w:rPr>
            </w:pPr>
            <w:r w:rsidRPr="00781112">
              <w:rPr>
                <w:rFonts w:cs="Arial"/>
                <w:color w:val="000000" w:themeColor="text1"/>
                <w:szCs w:val="16"/>
              </w:rPr>
              <w:t>Met target</w:t>
            </w:r>
          </w:p>
        </w:tc>
        <w:tc>
          <w:tcPr>
            <w:tcW w:w="466" w:type="pct"/>
            <w:vAlign w:val="center"/>
          </w:tcPr>
          <w:p w14:paraId="396D8501" w14:textId="77777777" w:rsidR="00892DD7" w:rsidRPr="00781112" w:rsidRDefault="00892DD7" w:rsidP="00892DD7">
            <w:pPr>
              <w:jc w:val="center"/>
              <w:rPr>
                <w:rFonts w:cs="Arial"/>
                <w:color w:val="000000" w:themeColor="text1"/>
                <w:szCs w:val="16"/>
              </w:rPr>
            </w:pPr>
            <w:r w:rsidRPr="00781112">
              <w:rPr>
                <w:rFonts w:cs="Arial"/>
                <w:color w:val="000000" w:themeColor="text1"/>
                <w:szCs w:val="16"/>
              </w:rPr>
              <w:t>No Slippage</w:t>
            </w:r>
          </w:p>
        </w:tc>
      </w:tr>
      <w:tr w:rsidR="00396BA3" w:rsidRPr="00781112" w14:paraId="5C135DA2" w14:textId="77777777" w:rsidTr="0047313F">
        <w:tc>
          <w:tcPr>
            <w:tcW w:w="355" w:type="pct"/>
            <w:vAlign w:val="center"/>
          </w:tcPr>
          <w:p w14:paraId="0683D187"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t>B</w:t>
            </w:r>
          </w:p>
        </w:tc>
        <w:tc>
          <w:tcPr>
            <w:tcW w:w="475" w:type="pct"/>
            <w:vAlign w:val="center"/>
          </w:tcPr>
          <w:p w14:paraId="0A09E27E" w14:textId="77777777"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8</w:t>
            </w:r>
          </w:p>
        </w:tc>
        <w:tc>
          <w:tcPr>
            <w:tcW w:w="918" w:type="pct"/>
            <w:vAlign w:val="center"/>
          </w:tcPr>
          <w:p w14:paraId="3842A2F6" w14:textId="77777777" w:rsidR="00892DD7" w:rsidRPr="00781112" w:rsidRDefault="00892DD7" w:rsidP="00892DD7">
            <w:pPr>
              <w:jc w:val="center"/>
              <w:rPr>
                <w:rFonts w:cs="Arial"/>
                <w:color w:val="000000" w:themeColor="text1"/>
                <w:szCs w:val="16"/>
              </w:rPr>
            </w:pPr>
            <w:r w:rsidRPr="00781112">
              <w:rPr>
                <w:rFonts w:cs="Arial"/>
                <w:color w:val="000000"/>
                <w:szCs w:val="16"/>
              </w:rPr>
              <w:t>3,590</w:t>
            </w:r>
          </w:p>
        </w:tc>
        <w:tc>
          <w:tcPr>
            <w:tcW w:w="918" w:type="pct"/>
            <w:vAlign w:val="center"/>
          </w:tcPr>
          <w:p w14:paraId="6F729121" w14:textId="77777777" w:rsidR="00892DD7" w:rsidRPr="00781112" w:rsidRDefault="00892DD7" w:rsidP="00892DD7">
            <w:pPr>
              <w:jc w:val="center"/>
              <w:rPr>
                <w:rFonts w:cs="Arial"/>
                <w:color w:val="000000" w:themeColor="text1"/>
                <w:szCs w:val="16"/>
              </w:rPr>
            </w:pPr>
            <w:r w:rsidRPr="00781112">
              <w:rPr>
                <w:rFonts w:cs="Arial"/>
                <w:color w:val="000000" w:themeColor="text1"/>
                <w:szCs w:val="16"/>
              </w:rPr>
              <w:t>3,732</w:t>
            </w:r>
          </w:p>
        </w:tc>
        <w:tc>
          <w:tcPr>
            <w:tcW w:w="466" w:type="pct"/>
            <w:vAlign w:val="center"/>
          </w:tcPr>
          <w:p w14:paraId="1936900F" w14:textId="77777777" w:rsidR="00892DD7" w:rsidRPr="00781112" w:rsidRDefault="00892DD7" w:rsidP="00892DD7">
            <w:pPr>
              <w:jc w:val="center"/>
              <w:rPr>
                <w:rFonts w:cs="Arial"/>
                <w:color w:val="000000" w:themeColor="text1"/>
                <w:szCs w:val="16"/>
              </w:rPr>
            </w:pPr>
            <w:r w:rsidRPr="00781112">
              <w:rPr>
                <w:rFonts w:cs="Arial"/>
                <w:color w:val="000000" w:themeColor="text1"/>
                <w:szCs w:val="16"/>
              </w:rPr>
              <w:t>98.84%</w:t>
            </w:r>
          </w:p>
        </w:tc>
        <w:tc>
          <w:tcPr>
            <w:tcW w:w="467" w:type="pct"/>
            <w:vAlign w:val="center"/>
          </w:tcPr>
          <w:p w14:paraId="5D4146AB" w14:textId="77777777" w:rsidR="00892DD7" w:rsidRPr="00781112" w:rsidRDefault="00892DD7" w:rsidP="00892DD7">
            <w:pPr>
              <w:jc w:val="center"/>
              <w:rPr>
                <w:rFonts w:cs="Arial"/>
                <w:color w:val="000000" w:themeColor="text1"/>
                <w:szCs w:val="16"/>
              </w:rPr>
            </w:pPr>
            <w:r w:rsidRPr="00781112">
              <w:rPr>
                <w:rFonts w:cs="Arial"/>
                <w:color w:val="000000" w:themeColor="text1"/>
                <w:szCs w:val="16"/>
              </w:rPr>
              <w:t>95.00%</w:t>
            </w:r>
          </w:p>
        </w:tc>
        <w:tc>
          <w:tcPr>
            <w:tcW w:w="467" w:type="pct"/>
            <w:vAlign w:val="center"/>
          </w:tcPr>
          <w:p w14:paraId="2C41094E" w14:textId="77777777" w:rsidR="00892DD7" w:rsidRPr="00781112" w:rsidRDefault="00892DD7" w:rsidP="00892DD7">
            <w:pPr>
              <w:jc w:val="center"/>
              <w:rPr>
                <w:rFonts w:cs="Arial"/>
                <w:color w:val="000000" w:themeColor="text1"/>
                <w:szCs w:val="16"/>
              </w:rPr>
            </w:pPr>
            <w:r w:rsidRPr="00781112">
              <w:rPr>
                <w:rFonts w:cs="Arial"/>
                <w:color w:val="000000" w:themeColor="text1"/>
                <w:szCs w:val="16"/>
              </w:rPr>
              <w:t>96.20%</w:t>
            </w:r>
          </w:p>
        </w:tc>
        <w:tc>
          <w:tcPr>
            <w:tcW w:w="467" w:type="pct"/>
            <w:vAlign w:val="center"/>
          </w:tcPr>
          <w:p w14:paraId="560EC07D" w14:textId="77777777" w:rsidR="00892DD7" w:rsidRPr="00781112" w:rsidRDefault="00892DD7" w:rsidP="00892DD7">
            <w:pPr>
              <w:jc w:val="center"/>
              <w:rPr>
                <w:rFonts w:cs="Arial"/>
                <w:color w:val="000000" w:themeColor="text1"/>
                <w:szCs w:val="16"/>
              </w:rPr>
            </w:pPr>
            <w:r w:rsidRPr="00781112">
              <w:rPr>
                <w:rFonts w:cs="Arial"/>
                <w:color w:val="000000" w:themeColor="text1"/>
                <w:szCs w:val="16"/>
              </w:rPr>
              <w:t>Met target</w:t>
            </w:r>
          </w:p>
        </w:tc>
        <w:tc>
          <w:tcPr>
            <w:tcW w:w="466" w:type="pct"/>
            <w:vAlign w:val="center"/>
          </w:tcPr>
          <w:p w14:paraId="0EFB5C5F" w14:textId="77777777" w:rsidR="00892DD7" w:rsidRPr="00781112" w:rsidRDefault="00892DD7" w:rsidP="00892DD7">
            <w:pPr>
              <w:jc w:val="center"/>
              <w:rPr>
                <w:rFonts w:cs="Arial"/>
                <w:color w:val="000000" w:themeColor="text1"/>
                <w:szCs w:val="16"/>
              </w:rPr>
            </w:pPr>
            <w:r w:rsidRPr="00781112">
              <w:rPr>
                <w:rFonts w:cs="Arial"/>
                <w:color w:val="000000" w:themeColor="text1"/>
                <w:szCs w:val="16"/>
              </w:rPr>
              <w:t>No Slippage</w:t>
            </w:r>
          </w:p>
        </w:tc>
      </w:tr>
      <w:tr w:rsidR="00396BA3" w:rsidRPr="00781112" w14:paraId="1EAB3FD2" w14:textId="77777777" w:rsidTr="0047313F">
        <w:tc>
          <w:tcPr>
            <w:tcW w:w="355" w:type="pct"/>
            <w:vAlign w:val="center"/>
          </w:tcPr>
          <w:p w14:paraId="6DFC07BC"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lastRenderedPageBreak/>
              <w:t>C</w:t>
            </w:r>
          </w:p>
        </w:tc>
        <w:tc>
          <w:tcPr>
            <w:tcW w:w="475" w:type="pct"/>
            <w:vAlign w:val="center"/>
          </w:tcPr>
          <w:p w14:paraId="78C1A91C" w14:textId="77777777"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HS</w:t>
            </w:r>
          </w:p>
        </w:tc>
        <w:tc>
          <w:tcPr>
            <w:tcW w:w="918" w:type="pct"/>
            <w:vAlign w:val="center"/>
          </w:tcPr>
          <w:p w14:paraId="38819414" w14:textId="77777777" w:rsidR="00892DD7" w:rsidRPr="00781112" w:rsidRDefault="00892DD7" w:rsidP="00892DD7">
            <w:pPr>
              <w:jc w:val="center"/>
              <w:rPr>
                <w:rFonts w:cs="Arial"/>
                <w:color w:val="000000" w:themeColor="text1"/>
                <w:szCs w:val="16"/>
              </w:rPr>
            </w:pPr>
            <w:r w:rsidRPr="00781112">
              <w:rPr>
                <w:rFonts w:cs="Arial"/>
                <w:color w:val="000000"/>
                <w:szCs w:val="16"/>
              </w:rPr>
              <w:t>2,652</w:t>
            </w:r>
          </w:p>
        </w:tc>
        <w:tc>
          <w:tcPr>
            <w:tcW w:w="918" w:type="pct"/>
            <w:vAlign w:val="center"/>
          </w:tcPr>
          <w:p w14:paraId="5E1A9550" w14:textId="77777777" w:rsidR="00892DD7" w:rsidRPr="00781112" w:rsidRDefault="00892DD7" w:rsidP="00892DD7">
            <w:pPr>
              <w:jc w:val="center"/>
              <w:rPr>
                <w:rFonts w:cs="Arial"/>
                <w:color w:val="000000" w:themeColor="text1"/>
                <w:szCs w:val="16"/>
              </w:rPr>
            </w:pPr>
            <w:r w:rsidRPr="00781112">
              <w:rPr>
                <w:rFonts w:cs="Arial"/>
                <w:color w:val="000000" w:themeColor="text1"/>
                <w:szCs w:val="16"/>
              </w:rPr>
              <w:t>2,931</w:t>
            </w:r>
          </w:p>
        </w:tc>
        <w:tc>
          <w:tcPr>
            <w:tcW w:w="466" w:type="pct"/>
            <w:vAlign w:val="center"/>
          </w:tcPr>
          <w:p w14:paraId="3CDEF3EE" w14:textId="77777777" w:rsidR="00892DD7" w:rsidRPr="00781112" w:rsidRDefault="00892DD7" w:rsidP="00892DD7">
            <w:pPr>
              <w:jc w:val="center"/>
              <w:rPr>
                <w:rFonts w:cs="Arial"/>
                <w:color w:val="000000" w:themeColor="text1"/>
                <w:szCs w:val="16"/>
              </w:rPr>
            </w:pPr>
            <w:r w:rsidRPr="00781112">
              <w:rPr>
                <w:rFonts w:cs="Arial"/>
                <w:color w:val="000000" w:themeColor="text1"/>
                <w:szCs w:val="16"/>
              </w:rPr>
              <w:t>95.06%</w:t>
            </w:r>
          </w:p>
        </w:tc>
        <w:tc>
          <w:tcPr>
            <w:tcW w:w="467" w:type="pct"/>
            <w:vAlign w:val="center"/>
          </w:tcPr>
          <w:p w14:paraId="5040D172" w14:textId="77777777" w:rsidR="00892DD7" w:rsidRPr="00781112" w:rsidRDefault="00892DD7" w:rsidP="00892DD7">
            <w:pPr>
              <w:jc w:val="center"/>
              <w:rPr>
                <w:rFonts w:cs="Arial"/>
                <w:color w:val="000000" w:themeColor="text1"/>
                <w:szCs w:val="16"/>
              </w:rPr>
            </w:pPr>
            <w:r w:rsidRPr="00781112">
              <w:rPr>
                <w:rFonts w:cs="Arial"/>
                <w:color w:val="000000" w:themeColor="text1"/>
                <w:szCs w:val="16"/>
              </w:rPr>
              <w:t>95.00%</w:t>
            </w:r>
          </w:p>
        </w:tc>
        <w:tc>
          <w:tcPr>
            <w:tcW w:w="467" w:type="pct"/>
            <w:vAlign w:val="center"/>
          </w:tcPr>
          <w:p w14:paraId="61AFD00A" w14:textId="77777777" w:rsidR="00892DD7" w:rsidRPr="00781112" w:rsidRDefault="00892DD7" w:rsidP="00892DD7">
            <w:pPr>
              <w:jc w:val="center"/>
              <w:rPr>
                <w:rFonts w:cs="Arial"/>
                <w:color w:val="000000" w:themeColor="text1"/>
                <w:szCs w:val="16"/>
              </w:rPr>
            </w:pPr>
            <w:r w:rsidRPr="00781112">
              <w:rPr>
                <w:rFonts w:cs="Arial"/>
                <w:color w:val="000000" w:themeColor="text1"/>
                <w:szCs w:val="16"/>
              </w:rPr>
              <w:t>90.48%</w:t>
            </w:r>
          </w:p>
        </w:tc>
        <w:tc>
          <w:tcPr>
            <w:tcW w:w="467" w:type="pct"/>
            <w:vAlign w:val="center"/>
          </w:tcPr>
          <w:p w14:paraId="30CCF05E" w14:textId="77777777" w:rsidR="00892DD7" w:rsidRPr="00781112" w:rsidRDefault="00892DD7" w:rsidP="00892DD7">
            <w:pPr>
              <w:jc w:val="center"/>
              <w:rPr>
                <w:rFonts w:cs="Arial"/>
                <w:color w:val="000000" w:themeColor="text1"/>
                <w:szCs w:val="16"/>
              </w:rPr>
            </w:pPr>
            <w:r w:rsidRPr="00781112">
              <w:rPr>
                <w:rFonts w:cs="Arial"/>
                <w:color w:val="000000" w:themeColor="text1"/>
                <w:szCs w:val="16"/>
              </w:rPr>
              <w:t>Did not meet target</w:t>
            </w:r>
          </w:p>
        </w:tc>
        <w:tc>
          <w:tcPr>
            <w:tcW w:w="466" w:type="pct"/>
            <w:vAlign w:val="center"/>
          </w:tcPr>
          <w:p w14:paraId="412E0CBB" w14:textId="77777777" w:rsidR="00892DD7" w:rsidRPr="00781112" w:rsidRDefault="00892DD7" w:rsidP="00892DD7">
            <w:pPr>
              <w:jc w:val="center"/>
              <w:rPr>
                <w:rFonts w:cs="Arial"/>
                <w:color w:val="000000" w:themeColor="text1"/>
                <w:szCs w:val="16"/>
              </w:rPr>
            </w:pPr>
            <w:r w:rsidRPr="00781112">
              <w:rPr>
                <w:rFonts w:cs="Arial"/>
                <w:color w:val="000000" w:themeColor="text1"/>
                <w:szCs w:val="16"/>
              </w:rPr>
              <w:t>Slippage</w:t>
            </w:r>
          </w:p>
        </w:tc>
      </w:tr>
    </w:tbl>
    <w:p w14:paraId="2ABC259F" w14:textId="77777777" w:rsidR="007765EF" w:rsidRDefault="007765EF" w:rsidP="00802A46">
      <w:pPr>
        <w:rPr>
          <w:b/>
          <w:color w:val="000000" w:themeColor="text1"/>
        </w:rPr>
      </w:pPr>
    </w:p>
    <w:p w14:paraId="0EFBFF6F" w14:textId="77777777" w:rsidR="000B3578" w:rsidRPr="00781112" w:rsidRDefault="000B3578" w:rsidP="000B3578">
      <w:pPr>
        <w:rPr>
          <w:b/>
          <w:color w:val="000000" w:themeColor="text1"/>
        </w:rPr>
      </w:pPr>
      <w:r w:rsidRPr="00781112">
        <w:rPr>
          <w:b/>
          <w:color w:val="000000" w:themeColor="text1"/>
        </w:rPr>
        <w:t>Provide reasons for slippage for Group C, if applicable</w:t>
      </w:r>
    </w:p>
    <w:p w14:paraId="7483016A" w14:textId="77777777" w:rsidR="000B3578" w:rsidRPr="00781112" w:rsidRDefault="000B3578" w:rsidP="000B3578">
      <w:pPr>
        <w:rPr>
          <w:rFonts w:cs="Arial"/>
          <w:color w:val="000000" w:themeColor="text1"/>
          <w:szCs w:val="16"/>
        </w:rPr>
      </w:pPr>
      <w:r w:rsidRPr="00781112">
        <w:rPr>
          <w:rFonts w:cs="Arial"/>
          <w:color w:val="000000" w:themeColor="text1"/>
          <w:szCs w:val="16"/>
        </w:rPr>
        <w:t>Analysis of LEA-level data shows that the decline in reading assessment participation rates for Grade HS from FFY 2023 to FFY 2024 (-4.58 percentage points) was concentrated in a small group of LEAs with significant year-over-year decreases, with the ten largest decreases accounting for about 25% of all non-participants statewide. The most consistent factor associated with reduced participation was leadership transition, particularly the appointment of new LEA Test Coordinators. LEAs with a new Test Coordinator averaged a non-participation rate of roughly 17.6% compared to about 11.6% in LEAs without turnover, and these LEAs also experienced greater year-over-year declines in participation.</w:t>
      </w:r>
    </w:p>
    <w:p w14:paraId="60DA3345" w14:textId="77777777" w:rsidR="007A7E93" w:rsidRPr="00781112" w:rsidRDefault="007A7E93" w:rsidP="00FE4611">
      <w:pPr>
        <w:spacing w:before="0" w:after="0" w:line="276" w:lineRule="auto"/>
        <w:rPr>
          <w:b/>
          <w:color w:val="000000" w:themeColor="text1"/>
        </w:rPr>
      </w:pPr>
    </w:p>
    <w:p w14:paraId="2DEDD055" w14:textId="77777777" w:rsidR="00F17D5E" w:rsidRPr="00781112" w:rsidRDefault="0047313F" w:rsidP="00F17D5E">
      <w:pPr>
        <w:rPr>
          <w:b/>
          <w:color w:val="000000" w:themeColor="text1"/>
        </w:rPr>
      </w:pPr>
      <w:r>
        <w:rPr>
          <w:b/>
          <w:color w:val="000000" w:themeColor="text1"/>
        </w:rPr>
        <w:t>FFY 2024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FFYAPDATAMTH"/>
      </w:tblPr>
      <w:tblGrid>
        <w:gridCol w:w="715"/>
        <w:gridCol w:w="1080"/>
        <w:gridCol w:w="1982"/>
        <w:gridCol w:w="1960"/>
        <w:gridCol w:w="1011"/>
        <w:gridCol w:w="1010"/>
        <w:gridCol w:w="1010"/>
        <w:gridCol w:w="1010"/>
        <w:gridCol w:w="1012"/>
      </w:tblGrid>
      <w:tr w:rsidR="0047313F" w:rsidRPr="00781112" w14:paraId="2A651CEE" w14:textId="77777777" w:rsidTr="00360DD6">
        <w:trPr>
          <w:tblHeader/>
        </w:trPr>
        <w:tc>
          <w:tcPr>
            <w:tcW w:w="331" w:type="pct"/>
            <w:vAlign w:val="bottom"/>
          </w:tcPr>
          <w:p w14:paraId="175E26CC" w14:textId="77777777" w:rsidR="0047313F" w:rsidRPr="00781112" w:rsidRDefault="0047313F" w:rsidP="0047313F">
            <w:pPr>
              <w:jc w:val="center"/>
              <w:rPr>
                <w:b/>
                <w:color w:val="000000" w:themeColor="text1"/>
              </w:rPr>
            </w:pPr>
            <w:r w:rsidRPr="00781112">
              <w:rPr>
                <w:b/>
                <w:color w:val="000000" w:themeColor="text1"/>
              </w:rPr>
              <w:t>Group</w:t>
            </w:r>
          </w:p>
        </w:tc>
        <w:tc>
          <w:tcPr>
            <w:tcW w:w="500" w:type="pct"/>
            <w:vAlign w:val="bottom"/>
          </w:tcPr>
          <w:p w14:paraId="12031264" w14:textId="77777777" w:rsidR="0047313F" w:rsidRPr="00781112" w:rsidRDefault="0047313F" w:rsidP="0047313F">
            <w:pPr>
              <w:jc w:val="center"/>
              <w:rPr>
                <w:b/>
                <w:color w:val="000000" w:themeColor="text1"/>
              </w:rPr>
            </w:pPr>
            <w:r w:rsidRPr="00781112">
              <w:rPr>
                <w:b/>
                <w:color w:val="000000" w:themeColor="text1"/>
              </w:rPr>
              <w:t>Group Name</w:t>
            </w:r>
          </w:p>
        </w:tc>
        <w:tc>
          <w:tcPr>
            <w:tcW w:w="918" w:type="pct"/>
            <w:vAlign w:val="bottom"/>
          </w:tcPr>
          <w:p w14:paraId="1AE5353C" w14:textId="77777777" w:rsidR="0047313F" w:rsidRPr="00781112" w:rsidRDefault="0047313F" w:rsidP="0047313F">
            <w:pPr>
              <w:jc w:val="center"/>
              <w:rPr>
                <w:b/>
                <w:color w:val="000000" w:themeColor="text1"/>
              </w:rPr>
            </w:pPr>
            <w:r w:rsidRPr="00781112">
              <w:rPr>
                <w:b/>
                <w:color w:val="000000" w:themeColor="text1"/>
              </w:rPr>
              <w:t>Number of Children with IEPs Participating</w:t>
            </w:r>
          </w:p>
        </w:tc>
        <w:tc>
          <w:tcPr>
            <w:tcW w:w="908" w:type="pct"/>
            <w:vAlign w:val="bottom"/>
          </w:tcPr>
          <w:p w14:paraId="66380D65" w14:textId="77777777" w:rsidR="0047313F" w:rsidRPr="00781112" w:rsidRDefault="0047313F" w:rsidP="0047313F">
            <w:pPr>
              <w:jc w:val="center"/>
              <w:rPr>
                <w:b/>
                <w:color w:val="000000" w:themeColor="text1"/>
              </w:rPr>
            </w:pPr>
            <w:r w:rsidRPr="00781112">
              <w:rPr>
                <w:b/>
                <w:color w:val="000000" w:themeColor="text1"/>
              </w:rPr>
              <w:t>Number of Children with IEPs</w:t>
            </w:r>
          </w:p>
        </w:tc>
        <w:tc>
          <w:tcPr>
            <w:tcW w:w="468" w:type="pct"/>
            <w:vAlign w:val="bottom"/>
          </w:tcPr>
          <w:p w14:paraId="0F66CA4A" w14:textId="77777777" w:rsidR="0047313F" w:rsidRPr="00073BD7" w:rsidRDefault="0047313F" w:rsidP="0047313F">
            <w:pPr>
              <w:jc w:val="center"/>
              <w:rPr>
                <w:b/>
                <w:bCs/>
                <w:color w:val="000000" w:themeColor="text1"/>
              </w:rPr>
            </w:pPr>
            <w:r w:rsidRPr="00073BD7">
              <w:rPr>
                <w:b/>
                <w:bCs/>
              </w:rPr>
              <w:t>FFY 2023 Data</w:t>
            </w:r>
          </w:p>
        </w:tc>
        <w:tc>
          <w:tcPr>
            <w:tcW w:w="468" w:type="pct"/>
            <w:vAlign w:val="bottom"/>
          </w:tcPr>
          <w:p w14:paraId="756B3040" w14:textId="77777777" w:rsidR="0047313F" w:rsidRPr="00073BD7" w:rsidRDefault="0047313F" w:rsidP="0047313F">
            <w:pPr>
              <w:jc w:val="center"/>
              <w:rPr>
                <w:b/>
                <w:bCs/>
                <w:color w:val="000000" w:themeColor="text1"/>
              </w:rPr>
            </w:pPr>
            <w:r w:rsidRPr="00073BD7">
              <w:rPr>
                <w:b/>
                <w:bCs/>
              </w:rPr>
              <w:t>FFY 2024 Target</w:t>
            </w:r>
          </w:p>
        </w:tc>
        <w:tc>
          <w:tcPr>
            <w:tcW w:w="468" w:type="pct"/>
            <w:vAlign w:val="bottom"/>
          </w:tcPr>
          <w:p w14:paraId="2C27105F" w14:textId="77777777" w:rsidR="0047313F" w:rsidRPr="00073BD7" w:rsidRDefault="0047313F" w:rsidP="0047313F">
            <w:pPr>
              <w:jc w:val="center"/>
              <w:rPr>
                <w:b/>
                <w:bCs/>
                <w:color w:val="000000" w:themeColor="text1"/>
              </w:rPr>
            </w:pPr>
            <w:r w:rsidRPr="00073BD7">
              <w:rPr>
                <w:b/>
                <w:bCs/>
              </w:rPr>
              <w:t>FFY 2024 Data</w:t>
            </w:r>
          </w:p>
        </w:tc>
        <w:tc>
          <w:tcPr>
            <w:tcW w:w="468" w:type="pct"/>
            <w:vAlign w:val="bottom"/>
          </w:tcPr>
          <w:p w14:paraId="71ABCF92" w14:textId="77777777" w:rsidR="0047313F" w:rsidRPr="00781112" w:rsidRDefault="0047313F" w:rsidP="0047313F">
            <w:pPr>
              <w:jc w:val="center"/>
              <w:rPr>
                <w:b/>
                <w:color w:val="000000" w:themeColor="text1"/>
              </w:rPr>
            </w:pPr>
            <w:r w:rsidRPr="00781112">
              <w:rPr>
                <w:b/>
                <w:color w:val="000000" w:themeColor="text1"/>
              </w:rPr>
              <w:t>Status</w:t>
            </w:r>
          </w:p>
        </w:tc>
        <w:tc>
          <w:tcPr>
            <w:tcW w:w="469" w:type="pct"/>
            <w:vAlign w:val="bottom"/>
          </w:tcPr>
          <w:p w14:paraId="674703AE" w14:textId="77777777" w:rsidR="0047313F" w:rsidRPr="00781112" w:rsidRDefault="0047313F" w:rsidP="0047313F">
            <w:pPr>
              <w:jc w:val="center"/>
              <w:rPr>
                <w:b/>
                <w:color w:val="000000" w:themeColor="text1"/>
              </w:rPr>
            </w:pPr>
            <w:r w:rsidRPr="00781112">
              <w:rPr>
                <w:b/>
                <w:color w:val="000000" w:themeColor="text1"/>
              </w:rPr>
              <w:t>Slippage</w:t>
            </w:r>
          </w:p>
        </w:tc>
      </w:tr>
      <w:tr w:rsidR="00396BA3" w:rsidRPr="00781112" w14:paraId="2C3C9914" w14:textId="77777777" w:rsidTr="00396BA3">
        <w:tc>
          <w:tcPr>
            <w:tcW w:w="331" w:type="pct"/>
            <w:vAlign w:val="center"/>
          </w:tcPr>
          <w:p w14:paraId="04138D76"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t>A</w:t>
            </w:r>
          </w:p>
        </w:tc>
        <w:tc>
          <w:tcPr>
            <w:tcW w:w="500" w:type="pct"/>
            <w:vAlign w:val="center"/>
          </w:tcPr>
          <w:p w14:paraId="7D26A7C7" w14:textId="77777777"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4</w:t>
            </w:r>
          </w:p>
        </w:tc>
        <w:tc>
          <w:tcPr>
            <w:tcW w:w="918" w:type="pct"/>
            <w:vAlign w:val="center"/>
          </w:tcPr>
          <w:p w14:paraId="4EFF7B2C" w14:textId="77777777" w:rsidR="002C43CF" w:rsidRPr="00781112" w:rsidRDefault="002C43CF" w:rsidP="002C43CF">
            <w:pPr>
              <w:jc w:val="center"/>
              <w:rPr>
                <w:rFonts w:cs="Arial"/>
                <w:color w:val="000000" w:themeColor="text1"/>
                <w:szCs w:val="16"/>
              </w:rPr>
            </w:pPr>
            <w:r w:rsidRPr="00781112">
              <w:rPr>
                <w:rFonts w:cs="Arial"/>
                <w:color w:val="000000"/>
                <w:szCs w:val="16"/>
              </w:rPr>
              <w:t>4,190</w:t>
            </w:r>
          </w:p>
        </w:tc>
        <w:tc>
          <w:tcPr>
            <w:tcW w:w="908" w:type="pct"/>
            <w:vAlign w:val="center"/>
          </w:tcPr>
          <w:p w14:paraId="3A2526D1"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4,294</w:t>
            </w:r>
          </w:p>
        </w:tc>
        <w:tc>
          <w:tcPr>
            <w:tcW w:w="468" w:type="pct"/>
            <w:vAlign w:val="center"/>
          </w:tcPr>
          <w:p w14:paraId="3E4F05FB"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99.15%</w:t>
            </w:r>
          </w:p>
        </w:tc>
        <w:tc>
          <w:tcPr>
            <w:tcW w:w="468" w:type="pct"/>
            <w:vAlign w:val="center"/>
          </w:tcPr>
          <w:p w14:paraId="78A530CB"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95.00%</w:t>
            </w:r>
          </w:p>
        </w:tc>
        <w:tc>
          <w:tcPr>
            <w:tcW w:w="468" w:type="pct"/>
            <w:vAlign w:val="center"/>
          </w:tcPr>
          <w:p w14:paraId="744DC7F1"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97.58%</w:t>
            </w:r>
          </w:p>
        </w:tc>
        <w:tc>
          <w:tcPr>
            <w:tcW w:w="468" w:type="pct"/>
            <w:vAlign w:val="center"/>
          </w:tcPr>
          <w:p w14:paraId="66FC4D7A"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Met target</w:t>
            </w:r>
          </w:p>
        </w:tc>
        <w:tc>
          <w:tcPr>
            <w:tcW w:w="469" w:type="pct"/>
            <w:vAlign w:val="center"/>
          </w:tcPr>
          <w:p w14:paraId="783534EE"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No Slippage</w:t>
            </w:r>
          </w:p>
        </w:tc>
      </w:tr>
      <w:tr w:rsidR="00396BA3" w:rsidRPr="00781112" w14:paraId="486E195E" w14:textId="77777777" w:rsidTr="00396BA3">
        <w:tc>
          <w:tcPr>
            <w:tcW w:w="331" w:type="pct"/>
            <w:vAlign w:val="center"/>
          </w:tcPr>
          <w:p w14:paraId="2BC96F9B"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t>B</w:t>
            </w:r>
          </w:p>
        </w:tc>
        <w:tc>
          <w:tcPr>
            <w:tcW w:w="500" w:type="pct"/>
            <w:vAlign w:val="center"/>
          </w:tcPr>
          <w:p w14:paraId="69CB50E4" w14:textId="77777777"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8</w:t>
            </w:r>
          </w:p>
        </w:tc>
        <w:tc>
          <w:tcPr>
            <w:tcW w:w="918" w:type="pct"/>
            <w:vAlign w:val="center"/>
          </w:tcPr>
          <w:p w14:paraId="37EB34E3" w14:textId="77777777" w:rsidR="002C43CF" w:rsidRPr="00781112" w:rsidRDefault="002C43CF" w:rsidP="002C43CF">
            <w:pPr>
              <w:jc w:val="center"/>
              <w:rPr>
                <w:rFonts w:cs="Arial"/>
                <w:color w:val="000000" w:themeColor="text1"/>
                <w:szCs w:val="16"/>
              </w:rPr>
            </w:pPr>
            <w:r w:rsidRPr="00781112">
              <w:rPr>
                <w:rFonts w:cs="Arial"/>
                <w:color w:val="000000"/>
                <w:szCs w:val="16"/>
              </w:rPr>
              <w:t>3,600</w:t>
            </w:r>
          </w:p>
        </w:tc>
        <w:tc>
          <w:tcPr>
            <w:tcW w:w="908" w:type="pct"/>
            <w:vAlign w:val="center"/>
          </w:tcPr>
          <w:p w14:paraId="5558BE2F"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3,736</w:t>
            </w:r>
          </w:p>
        </w:tc>
        <w:tc>
          <w:tcPr>
            <w:tcW w:w="468" w:type="pct"/>
            <w:vAlign w:val="center"/>
          </w:tcPr>
          <w:p w14:paraId="4884E31F"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98.83%</w:t>
            </w:r>
          </w:p>
        </w:tc>
        <w:tc>
          <w:tcPr>
            <w:tcW w:w="468" w:type="pct"/>
            <w:vAlign w:val="center"/>
          </w:tcPr>
          <w:p w14:paraId="2D09F222"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95.00%</w:t>
            </w:r>
          </w:p>
        </w:tc>
        <w:tc>
          <w:tcPr>
            <w:tcW w:w="468" w:type="pct"/>
            <w:vAlign w:val="center"/>
          </w:tcPr>
          <w:p w14:paraId="719ABBF8"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96.36%</w:t>
            </w:r>
          </w:p>
        </w:tc>
        <w:tc>
          <w:tcPr>
            <w:tcW w:w="468" w:type="pct"/>
            <w:vAlign w:val="center"/>
          </w:tcPr>
          <w:p w14:paraId="582A0D15"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Met target</w:t>
            </w:r>
          </w:p>
        </w:tc>
        <w:tc>
          <w:tcPr>
            <w:tcW w:w="469" w:type="pct"/>
            <w:vAlign w:val="center"/>
          </w:tcPr>
          <w:p w14:paraId="6044BF5C"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No Slippage</w:t>
            </w:r>
          </w:p>
        </w:tc>
      </w:tr>
      <w:tr w:rsidR="00396BA3" w:rsidRPr="00781112" w14:paraId="2AA31DE2" w14:textId="77777777" w:rsidTr="00396BA3">
        <w:tc>
          <w:tcPr>
            <w:tcW w:w="331" w:type="pct"/>
            <w:vAlign w:val="center"/>
          </w:tcPr>
          <w:p w14:paraId="42D00909"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t>C</w:t>
            </w:r>
          </w:p>
        </w:tc>
        <w:tc>
          <w:tcPr>
            <w:tcW w:w="500" w:type="pct"/>
            <w:vAlign w:val="center"/>
          </w:tcPr>
          <w:p w14:paraId="41F76899" w14:textId="77777777"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HS</w:t>
            </w:r>
          </w:p>
        </w:tc>
        <w:tc>
          <w:tcPr>
            <w:tcW w:w="918" w:type="pct"/>
            <w:vAlign w:val="center"/>
          </w:tcPr>
          <w:p w14:paraId="4B74969D" w14:textId="77777777" w:rsidR="002C43CF" w:rsidRPr="00781112" w:rsidRDefault="002C43CF" w:rsidP="002C43CF">
            <w:pPr>
              <w:jc w:val="center"/>
              <w:rPr>
                <w:rFonts w:cs="Arial"/>
                <w:color w:val="000000" w:themeColor="text1"/>
                <w:szCs w:val="16"/>
              </w:rPr>
            </w:pPr>
            <w:r w:rsidRPr="00781112">
              <w:rPr>
                <w:rFonts w:cs="Arial"/>
                <w:color w:val="000000"/>
                <w:szCs w:val="16"/>
              </w:rPr>
              <w:t>2,652</w:t>
            </w:r>
          </w:p>
        </w:tc>
        <w:tc>
          <w:tcPr>
            <w:tcW w:w="908" w:type="pct"/>
            <w:vAlign w:val="center"/>
          </w:tcPr>
          <w:p w14:paraId="52C2E77D"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2,931</w:t>
            </w:r>
          </w:p>
        </w:tc>
        <w:tc>
          <w:tcPr>
            <w:tcW w:w="468" w:type="pct"/>
            <w:vAlign w:val="center"/>
          </w:tcPr>
          <w:p w14:paraId="1A379A2D"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95.06%</w:t>
            </w:r>
          </w:p>
        </w:tc>
        <w:tc>
          <w:tcPr>
            <w:tcW w:w="468" w:type="pct"/>
            <w:vAlign w:val="center"/>
          </w:tcPr>
          <w:p w14:paraId="62227C2C"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95.00%</w:t>
            </w:r>
          </w:p>
        </w:tc>
        <w:tc>
          <w:tcPr>
            <w:tcW w:w="468" w:type="pct"/>
            <w:vAlign w:val="center"/>
          </w:tcPr>
          <w:p w14:paraId="60029D4B"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90.48%</w:t>
            </w:r>
          </w:p>
        </w:tc>
        <w:tc>
          <w:tcPr>
            <w:tcW w:w="468" w:type="pct"/>
            <w:vAlign w:val="center"/>
          </w:tcPr>
          <w:p w14:paraId="5F592301"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Did not meet target</w:t>
            </w:r>
          </w:p>
        </w:tc>
        <w:tc>
          <w:tcPr>
            <w:tcW w:w="469" w:type="pct"/>
            <w:vAlign w:val="center"/>
          </w:tcPr>
          <w:p w14:paraId="79A0D89E"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Slippage</w:t>
            </w:r>
          </w:p>
        </w:tc>
      </w:tr>
    </w:tbl>
    <w:p w14:paraId="4EBE43F0" w14:textId="77777777" w:rsidR="00A34633" w:rsidRPr="00781112" w:rsidRDefault="00A34633" w:rsidP="00A34633">
      <w:pPr>
        <w:rPr>
          <w:b/>
          <w:color w:val="000000" w:themeColor="text1"/>
        </w:rPr>
      </w:pPr>
      <w:r w:rsidRPr="00781112">
        <w:rPr>
          <w:b/>
          <w:color w:val="000000" w:themeColor="text1"/>
        </w:rPr>
        <w:t>Provide reasons for slippage for Group C, if applicable</w:t>
      </w:r>
    </w:p>
    <w:p w14:paraId="74412A0C" w14:textId="77777777" w:rsidR="00A34633" w:rsidRPr="00781112" w:rsidRDefault="00A34633" w:rsidP="00A34633">
      <w:pPr>
        <w:rPr>
          <w:rFonts w:cs="Arial"/>
          <w:color w:val="000000" w:themeColor="text1"/>
          <w:szCs w:val="16"/>
        </w:rPr>
      </w:pPr>
      <w:r w:rsidRPr="00781112">
        <w:rPr>
          <w:rFonts w:cs="Arial"/>
          <w:color w:val="000000" w:themeColor="text1"/>
          <w:szCs w:val="16"/>
        </w:rPr>
        <w:t>Analysis of LEA-level data shows that the decline in math assessment participation rates for Grade HS from FFY 2023 to FFY 2024 (-4.58 percentage points) was concentrated in a small group of LEAs with significant year-over-year decreases, with the ten largest decreases accounting for about 25% of all statewide non-participants. The most consistent factor associated with reduced participation was leadership transition, particularly the appointment of new LEA Test Coordinators. LEAs with a new Test Coordinator averaged a non-participation rate of roughly 17.6% compared to about 11.6% in LEAs without turnover, and these LEAs also experienced greater year-over-year declines in participation.</w:t>
      </w:r>
    </w:p>
    <w:p w14:paraId="02F702BA" w14:textId="77777777" w:rsidR="00F17D5E" w:rsidRPr="00781112" w:rsidRDefault="00F17D5E" w:rsidP="00FE4611">
      <w:pPr>
        <w:spacing w:before="0" w:after="0" w:line="276" w:lineRule="auto"/>
        <w:rPr>
          <w:b/>
          <w:color w:val="000000" w:themeColor="text1"/>
        </w:rPr>
      </w:pPr>
    </w:p>
    <w:p w14:paraId="5930507E" w14:textId="77777777" w:rsidR="00A134AA" w:rsidRPr="00781112" w:rsidRDefault="00A134AA" w:rsidP="00A134AA">
      <w:pPr>
        <w:rPr>
          <w:color w:val="000000" w:themeColor="text1"/>
        </w:rPr>
      </w:pPr>
      <w:r w:rsidRPr="00781112">
        <w:rPr>
          <w:b/>
          <w:color w:val="000000" w:themeColor="text1"/>
        </w:rPr>
        <w:t>Regulatory Information</w:t>
      </w:r>
    </w:p>
    <w:p w14:paraId="2D8CD116" w14:textId="77777777" w:rsidR="00A134AA" w:rsidRPr="00781112" w:rsidRDefault="00A134AA" w:rsidP="00A134AA">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r w:rsidRPr="00781112">
        <w:rPr>
          <w:rFonts w:cs="Arial"/>
          <w:b/>
          <w:color w:val="000000" w:themeColor="text1"/>
          <w:szCs w:val="16"/>
          <w:shd w:val="clear" w:color="auto" w:fill="FFFFFF"/>
        </w:rPr>
        <w:t xml:space="preserve"> </w:t>
      </w:r>
    </w:p>
    <w:p w14:paraId="0E3E0546" w14:textId="77777777" w:rsidR="00A134AA" w:rsidRPr="00781112" w:rsidRDefault="00A134AA" w:rsidP="00A134AA">
      <w:pPr>
        <w:rPr>
          <w:color w:val="000000" w:themeColor="text1"/>
        </w:rPr>
      </w:pPr>
    </w:p>
    <w:p w14:paraId="7C5CFE75" w14:textId="77777777" w:rsidR="00A134AA" w:rsidRPr="00781112" w:rsidRDefault="00A134AA" w:rsidP="00A134AA">
      <w:pPr>
        <w:rPr>
          <w:color w:val="000000" w:themeColor="text1"/>
        </w:rPr>
      </w:pPr>
      <w:r w:rsidRPr="00781112">
        <w:rPr>
          <w:b/>
          <w:color w:val="000000" w:themeColor="text1"/>
        </w:rPr>
        <w:t>Public Reporting Information</w:t>
      </w:r>
    </w:p>
    <w:p w14:paraId="169AB8E8" w14:textId="77777777" w:rsidR="00A134AA" w:rsidRPr="00781112" w:rsidRDefault="00A134AA" w:rsidP="00A134AA">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14:paraId="48B44D0F" w14:textId="77777777" w:rsidR="00A134AA" w:rsidRPr="00781112" w:rsidRDefault="00A134AA" w:rsidP="00A134AA">
      <w:pPr>
        <w:rPr>
          <w:rFonts w:cs="Arial"/>
          <w:color w:val="000000" w:themeColor="text1"/>
          <w:szCs w:val="16"/>
        </w:rPr>
      </w:pPr>
      <w:r w:rsidRPr="00781112">
        <w:rPr>
          <w:rFonts w:cs="Arial"/>
          <w:color w:val="000000" w:themeColor="text1"/>
          <w:szCs w:val="16"/>
        </w:rPr>
        <w:t>PARTICIPATION AND PERFORMANCE – ALL STUDENTS – REGULAR ASSESSMENTS</w:t>
      </w:r>
    </w:p>
    <w:p w14:paraId="47FD1BCE" w14:textId="77777777" w:rsidR="00CA787A" w:rsidRDefault="003169E9">
      <w:r>
        <w:rPr>
          <w:color w:val="000000"/>
        </w:rPr>
        <w:t>— https://zoomwv.k12.wv.us/Dashboard/dashboard/7310</w:t>
      </w:r>
    </w:p>
    <w:p w14:paraId="54208221" w14:textId="77777777" w:rsidR="00CA787A" w:rsidRDefault="003169E9">
      <w:r>
        <w:rPr>
          <w:color w:val="000000"/>
        </w:rPr>
        <w:t xml:space="preserve">— From the </w:t>
      </w:r>
      <w:proofErr w:type="spellStart"/>
      <w:r>
        <w:rPr>
          <w:color w:val="000000"/>
        </w:rPr>
        <w:t>ZoomWV</w:t>
      </w:r>
      <w:proofErr w:type="spellEnd"/>
      <w:r>
        <w:rPr>
          <w:color w:val="000000"/>
        </w:rPr>
        <w:t xml:space="preserve"> homepage, use the breadcrumbs: </w:t>
      </w:r>
      <w:proofErr w:type="spellStart"/>
      <w:r>
        <w:rPr>
          <w:color w:val="000000"/>
        </w:rPr>
        <w:t>ZoomWV</w:t>
      </w:r>
      <w:proofErr w:type="spellEnd"/>
      <w:r>
        <w:rPr>
          <w:color w:val="000000"/>
        </w:rPr>
        <w:t xml:space="preserve"> &gt; State Assessment Results &gt; State Assessment Subgroups</w:t>
      </w:r>
    </w:p>
    <w:p w14:paraId="7E2D1316" w14:textId="77777777" w:rsidR="00CA787A" w:rsidRDefault="003169E9">
      <w:r>
        <w:rPr>
          <w:color w:val="000000"/>
        </w:rPr>
        <w:t>Make sure the following filters are set:</w:t>
      </w:r>
    </w:p>
    <w:p w14:paraId="224230CD" w14:textId="77777777" w:rsidR="00CA787A" w:rsidRDefault="003169E9">
      <w:r>
        <w:rPr>
          <w:color w:val="000000"/>
        </w:rPr>
        <w:t>—School Year – 2024-2025</w:t>
      </w:r>
    </w:p>
    <w:p w14:paraId="6056DB0C" w14:textId="77777777" w:rsidR="00CA787A" w:rsidRDefault="003169E9">
      <w:r>
        <w:rPr>
          <w:color w:val="000000"/>
        </w:rPr>
        <w:t>—District/County – All Districts</w:t>
      </w:r>
    </w:p>
    <w:p w14:paraId="7F1E4C7F" w14:textId="77777777" w:rsidR="00CA787A" w:rsidRDefault="003169E9">
      <w:r>
        <w:rPr>
          <w:color w:val="000000"/>
        </w:rPr>
        <w:t>—School – All Schools</w:t>
      </w:r>
    </w:p>
    <w:p w14:paraId="4869AEFB" w14:textId="77777777" w:rsidR="00CA787A" w:rsidRDefault="003169E9">
      <w:r>
        <w:rPr>
          <w:color w:val="000000"/>
        </w:rPr>
        <w:t>—Grade Level – All grades, or set to check each grade that must be reported separately (i.e., 4, 8, 11)</w:t>
      </w:r>
    </w:p>
    <w:p w14:paraId="196A9CFE" w14:textId="77777777" w:rsidR="00CA787A" w:rsidRDefault="003169E9">
      <w:r>
        <w:rPr>
          <w:color w:val="000000"/>
        </w:rPr>
        <w:t>—Population Group – Status</w:t>
      </w:r>
    </w:p>
    <w:p w14:paraId="2A156C87" w14:textId="77777777" w:rsidR="00CA787A" w:rsidRDefault="00CA787A"/>
    <w:p w14:paraId="12F14FFC" w14:textId="77777777" w:rsidR="00CA787A" w:rsidRDefault="003169E9">
      <w:r>
        <w:rPr>
          <w:color w:val="000000"/>
        </w:rPr>
        <w:t>PARTICIPATION AND PERFORMANCE – REGULAR AND ALTERNATE ASSESSMENTS</w:t>
      </w:r>
    </w:p>
    <w:p w14:paraId="4E964153" w14:textId="77777777" w:rsidR="00CA787A" w:rsidRDefault="003169E9">
      <w:r>
        <w:rPr>
          <w:color w:val="000000"/>
        </w:rPr>
        <w:t>—https://zoomwv.k12.wv.us/Dashboard/dashboard/6161</w:t>
      </w:r>
    </w:p>
    <w:p w14:paraId="7554F1A1" w14:textId="77777777" w:rsidR="00CA787A" w:rsidRDefault="003169E9">
      <w:r>
        <w:rPr>
          <w:color w:val="000000"/>
        </w:rPr>
        <w:t xml:space="preserve">—From the </w:t>
      </w:r>
      <w:proofErr w:type="spellStart"/>
      <w:r>
        <w:rPr>
          <w:color w:val="000000"/>
        </w:rPr>
        <w:t>ZoomWV</w:t>
      </w:r>
      <w:proofErr w:type="spellEnd"/>
      <w:r>
        <w:rPr>
          <w:color w:val="000000"/>
        </w:rPr>
        <w:t xml:space="preserve"> homepage, use the breadcrumbs: </w:t>
      </w:r>
      <w:proofErr w:type="spellStart"/>
      <w:r>
        <w:rPr>
          <w:color w:val="000000"/>
        </w:rPr>
        <w:t>ZoomWV</w:t>
      </w:r>
      <w:proofErr w:type="spellEnd"/>
      <w:r>
        <w:rPr>
          <w:color w:val="000000"/>
        </w:rPr>
        <w:t xml:space="preserve"> &gt; Special Education &gt; Assessment Participation and Performance</w:t>
      </w:r>
    </w:p>
    <w:p w14:paraId="56C69D94" w14:textId="77777777" w:rsidR="00CA787A" w:rsidRDefault="003169E9">
      <w:r>
        <w:rPr>
          <w:color w:val="000000"/>
        </w:rPr>
        <w:t>Make sure the following filters are set:</w:t>
      </w:r>
    </w:p>
    <w:p w14:paraId="1C982CC8" w14:textId="77777777" w:rsidR="00CA787A" w:rsidRDefault="003169E9">
      <w:r>
        <w:rPr>
          <w:color w:val="000000"/>
        </w:rPr>
        <w:t>—School Year – 2024-2025</w:t>
      </w:r>
    </w:p>
    <w:p w14:paraId="14FAAB5B" w14:textId="77777777" w:rsidR="00CA787A" w:rsidRDefault="003169E9">
      <w:r>
        <w:rPr>
          <w:color w:val="000000"/>
        </w:rPr>
        <w:t>—District/County – (999) State Reporting</w:t>
      </w:r>
    </w:p>
    <w:p w14:paraId="6F8C8C76" w14:textId="77777777" w:rsidR="00CA787A" w:rsidRDefault="003169E9">
      <w:r>
        <w:rPr>
          <w:color w:val="000000"/>
        </w:rPr>
        <w:t>—School – All Schools</w:t>
      </w:r>
    </w:p>
    <w:p w14:paraId="7DF572DD" w14:textId="77777777" w:rsidR="00CA787A" w:rsidRDefault="00CA787A"/>
    <w:p w14:paraId="4C448CFC" w14:textId="77777777" w:rsidR="00CA787A" w:rsidRDefault="003169E9">
      <w:r>
        <w:rPr>
          <w:color w:val="000000"/>
        </w:rPr>
        <w:t>PERFORMANCE BY CLASS/SUBGROUP – ALTERNATE ASSESSMENTS</w:t>
      </w:r>
    </w:p>
    <w:p w14:paraId="7CE16D65" w14:textId="77777777" w:rsidR="00CA787A" w:rsidRDefault="003169E9">
      <w:r>
        <w:rPr>
          <w:color w:val="000000"/>
        </w:rPr>
        <w:t>—https://zoomwv.k12.wv.us/Dashboard/dashboard/28307</w:t>
      </w:r>
    </w:p>
    <w:p w14:paraId="6F2EB154" w14:textId="77777777" w:rsidR="00CA787A" w:rsidRDefault="003169E9">
      <w:r>
        <w:rPr>
          <w:color w:val="000000"/>
        </w:rPr>
        <w:t xml:space="preserve">—From the </w:t>
      </w:r>
      <w:proofErr w:type="spellStart"/>
      <w:r>
        <w:rPr>
          <w:color w:val="000000"/>
        </w:rPr>
        <w:t>ZoomWV</w:t>
      </w:r>
      <w:proofErr w:type="spellEnd"/>
      <w:r>
        <w:rPr>
          <w:color w:val="000000"/>
        </w:rPr>
        <w:t xml:space="preserve"> homepage, use the breadcrumbs: </w:t>
      </w:r>
      <w:proofErr w:type="spellStart"/>
      <w:r>
        <w:rPr>
          <w:color w:val="000000"/>
        </w:rPr>
        <w:t>ZoomWV</w:t>
      </w:r>
      <w:proofErr w:type="spellEnd"/>
      <w:r>
        <w:rPr>
          <w:color w:val="000000"/>
        </w:rPr>
        <w:t xml:space="preserve"> &gt; Special Education &gt; Alternate Assessment Results</w:t>
      </w:r>
    </w:p>
    <w:p w14:paraId="6D55C43F" w14:textId="77777777" w:rsidR="00CA787A" w:rsidRDefault="003169E9">
      <w:r>
        <w:rPr>
          <w:color w:val="000000"/>
        </w:rPr>
        <w:lastRenderedPageBreak/>
        <w:t>Data may be filtered by school year.</w:t>
      </w:r>
    </w:p>
    <w:p w14:paraId="0E5691E9" w14:textId="77777777" w:rsidR="00CA787A" w:rsidRDefault="00CA787A"/>
    <w:p w14:paraId="2A285636" w14:textId="77777777" w:rsidR="00CA787A" w:rsidRDefault="003169E9">
      <w:r>
        <w:rPr>
          <w:color w:val="000000"/>
        </w:rPr>
        <w:t>PARTICIPATION RATES – WITH and WITHOUT ACCOMMODATIONS</w:t>
      </w:r>
    </w:p>
    <w:p w14:paraId="688022CB" w14:textId="77777777" w:rsidR="00CA787A" w:rsidRDefault="003169E9">
      <w:r>
        <w:rPr>
          <w:color w:val="000000"/>
        </w:rPr>
        <w:t xml:space="preserve">The participation rates for students with and without accommodations in WV are available on the </w:t>
      </w:r>
      <w:proofErr w:type="spellStart"/>
      <w:r>
        <w:rPr>
          <w:color w:val="000000"/>
        </w:rPr>
        <w:t>ZoomWV</w:t>
      </w:r>
      <w:proofErr w:type="spellEnd"/>
      <w:r>
        <w:rPr>
          <w:color w:val="000000"/>
        </w:rPr>
        <w:t xml:space="preserve"> page by using the following breadcrumbs: </w:t>
      </w:r>
      <w:proofErr w:type="spellStart"/>
      <w:r>
        <w:rPr>
          <w:color w:val="000000"/>
        </w:rPr>
        <w:t>ZoomWV</w:t>
      </w:r>
      <w:proofErr w:type="spellEnd"/>
      <w:r>
        <w:rPr>
          <w:color w:val="000000"/>
        </w:rPr>
        <w:t xml:space="preserve"> &gt; Special Education &gt; Links &gt; IDEA Section 618 Public Reporting 2024-2025</w:t>
      </w:r>
    </w:p>
    <w:p w14:paraId="16C3A309" w14:textId="77777777" w:rsidR="00CA787A" w:rsidRDefault="003169E9">
      <w:r>
        <w:rPr>
          <w:color w:val="000000"/>
        </w:rPr>
        <w:t>—Participation and proficiency rates of students with IEPs and without IEPs (504 plans) using accommodations and not using accommodations are located in the Assessment section of the IDEA Section 618 Public Reporting 2024-2025 file.</w:t>
      </w:r>
    </w:p>
    <w:p w14:paraId="6A524936" w14:textId="77777777" w:rsidR="00CA787A" w:rsidRDefault="00CA787A"/>
    <w:p w14:paraId="71CF9E9D" w14:textId="77777777" w:rsidR="00CA787A" w:rsidRDefault="003169E9">
      <w:r>
        <w:rPr>
          <w:color w:val="000000"/>
        </w:rPr>
        <w:t>PERFORMANCE BY DISABILITY CATEGORY – REGULAR AND ALTERNATE ASSESSMENTS</w:t>
      </w:r>
    </w:p>
    <w:p w14:paraId="4504F2DB" w14:textId="77777777" w:rsidR="00CA787A" w:rsidRDefault="003169E9">
      <w:r>
        <w:rPr>
          <w:color w:val="000000"/>
        </w:rPr>
        <w:t>— https://zoomwv.k12.wv.us/Dashboard/dashboard/28285</w:t>
      </w:r>
    </w:p>
    <w:p w14:paraId="69E5A548" w14:textId="77777777" w:rsidR="00CA787A" w:rsidRDefault="003169E9">
      <w:r>
        <w:rPr>
          <w:color w:val="000000"/>
        </w:rPr>
        <w:t xml:space="preserve">From the </w:t>
      </w:r>
      <w:proofErr w:type="spellStart"/>
      <w:r>
        <w:rPr>
          <w:color w:val="000000"/>
        </w:rPr>
        <w:t>ZoomWV</w:t>
      </w:r>
      <w:proofErr w:type="spellEnd"/>
      <w:r>
        <w:rPr>
          <w:color w:val="000000"/>
        </w:rPr>
        <w:t xml:space="preserve"> homepage, use the breadcrumbs: </w:t>
      </w:r>
      <w:proofErr w:type="spellStart"/>
      <w:r>
        <w:rPr>
          <w:color w:val="000000"/>
        </w:rPr>
        <w:t>ZoomWV</w:t>
      </w:r>
      <w:proofErr w:type="spellEnd"/>
      <w:r>
        <w:rPr>
          <w:color w:val="000000"/>
        </w:rPr>
        <w:t xml:space="preserve"> &gt; Special Education &gt; Assessment Results by Disability Category</w:t>
      </w:r>
    </w:p>
    <w:p w14:paraId="2A02A050" w14:textId="77777777" w:rsidR="00CA787A" w:rsidRDefault="003169E9">
      <w:r>
        <w:rPr>
          <w:color w:val="000000"/>
        </w:rPr>
        <w:t>Data may be filtered by school year and by LEA.</w:t>
      </w:r>
    </w:p>
    <w:p w14:paraId="41CCD8C8" w14:textId="77777777" w:rsidR="00A134AA" w:rsidRPr="00781112" w:rsidRDefault="00A134AA" w:rsidP="00A134AA">
      <w:pPr>
        <w:rPr>
          <w:b/>
          <w:color w:val="000000" w:themeColor="text1"/>
        </w:rPr>
      </w:pPr>
      <w:r w:rsidRPr="00781112">
        <w:rPr>
          <w:b/>
          <w:color w:val="000000" w:themeColor="text1"/>
        </w:rPr>
        <w:t>Provide additional information about this indicator (optional)</w:t>
      </w:r>
    </w:p>
    <w:p w14:paraId="6AA54194" w14:textId="77777777" w:rsidR="00A134AA" w:rsidRPr="00781112" w:rsidRDefault="00A134AA" w:rsidP="00A134AA">
      <w:pPr>
        <w:rPr>
          <w:rFonts w:cs="Arial"/>
          <w:color w:val="000000" w:themeColor="text1"/>
          <w:szCs w:val="16"/>
        </w:rPr>
      </w:pPr>
    </w:p>
    <w:p w14:paraId="60D1AB32" w14:textId="77777777" w:rsidR="00B725C2" w:rsidRPr="00781112" w:rsidRDefault="00B725C2" w:rsidP="00FE4611">
      <w:pPr>
        <w:spacing w:before="0" w:after="0" w:line="276" w:lineRule="auto"/>
        <w:rPr>
          <w:b/>
          <w:color w:val="000000" w:themeColor="text1"/>
        </w:rPr>
      </w:pPr>
    </w:p>
    <w:p w14:paraId="66A19499" w14:textId="77777777" w:rsidR="00361CFA" w:rsidRPr="00781112" w:rsidRDefault="00361CFA" w:rsidP="00361CFA">
      <w:pPr>
        <w:pStyle w:val="Heading2"/>
      </w:pPr>
      <w:r w:rsidRPr="00781112">
        <w:t>3</w:t>
      </w:r>
      <w:r w:rsidR="00DD4E25" w:rsidRPr="00781112">
        <w:t>A</w:t>
      </w:r>
      <w:r w:rsidRPr="00781112">
        <w:t xml:space="preserve"> - Prior FFY Required Actions</w:t>
      </w:r>
    </w:p>
    <w:p w14:paraId="5FCE9FF3" w14:textId="77777777" w:rsidR="00361CFA" w:rsidRPr="00781112" w:rsidRDefault="00361CFA" w:rsidP="00361CFA">
      <w:pPr>
        <w:rPr>
          <w:rFonts w:cs="Arial"/>
          <w:color w:val="000000" w:themeColor="text1"/>
          <w:szCs w:val="16"/>
        </w:rPr>
      </w:pPr>
      <w:r w:rsidRPr="00781112">
        <w:rPr>
          <w:rFonts w:cs="Arial"/>
          <w:color w:val="000000" w:themeColor="text1"/>
          <w:szCs w:val="16"/>
        </w:rPr>
        <w:t>None</w:t>
      </w:r>
    </w:p>
    <w:p w14:paraId="14DB1C79" w14:textId="77777777" w:rsidR="00361CFA" w:rsidRPr="00781112" w:rsidRDefault="00361CFA" w:rsidP="00361CFA">
      <w:pPr>
        <w:pStyle w:val="Heading2"/>
      </w:pPr>
      <w:r w:rsidRPr="00781112">
        <w:t>3</w:t>
      </w:r>
      <w:r w:rsidR="00DD4E25" w:rsidRPr="00781112">
        <w:t>A</w:t>
      </w:r>
      <w:r w:rsidRPr="00781112">
        <w:t xml:space="preserve"> - OSEP Response</w:t>
      </w:r>
    </w:p>
    <w:p w14:paraId="34E016B7" w14:textId="77777777" w:rsidR="00361CFA" w:rsidRPr="00781112" w:rsidRDefault="00361CFA" w:rsidP="00361CFA">
      <w:pPr>
        <w:rPr>
          <w:rFonts w:cs="Arial"/>
          <w:color w:val="000000" w:themeColor="text1"/>
          <w:szCs w:val="16"/>
        </w:rPr>
      </w:pPr>
    </w:p>
    <w:p w14:paraId="13D42C45" w14:textId="77777777" w:rsidR="00361CFA" w:rsidRPr="00781112" w:rsidRDefault="00361CFA" w:rsidP="00361CFA">
      <w:pPr>
        <w:pStyle w:val="Heading2"/>
      </w:pPr>
      <w:r w:rsidRPr="00781112">
        <w:t>3</w:t>
      </w:r>
      <w:r w:rsidR="00DD4E25" w:rsidRPr="00781112">
        <w:t>A</w:t>
      </w:r>
      <w:r w:rsidRPr="00781112">
        <w:t xml:space="preserve"> - Required Actions</w:t>
      </w:r>
    </w:p>
    <w:p w14:paraId="4DB318F9" w14:textId="77777777" w:rsidR="00361CFA" w:rsidRPr="00781112" w:rsidRDefault="00361CFA" w:rsidP="00361CFA">
      <w:pPr>
        <w:rPr>
          <w:rFonts w:cs="Arial"/>
          <w:color w:val="000000" w:themeColor="text1"/>
          <w:szCs w:val="16"/>
        </w:rPr>
      </w:pPr>
    </w:p>
    <w:p w14:paraId="6AD1F45A" w14:textId="77777777" w:rsidR="00553A47" w:rsidRPr="00781112" w:rsidRDefault="00553A47">
      <w:pPr>
        <w:spacing w:before="0" w:after="200" w:line="276" w:lineRule="auto"/>
        <w:rPr>
          <w:rFonts w:eastAsiaTheme="majorEastAsia" w:cstheme="majorBidi"/>
          <w:b/>
          <w:bCs/>
          <w:color w:val="000000" w:themeColor="text1"/>
          <w:sz w:val="20"/>
          <w:szCs w:val="16"/>
        </w:rPr>
      </w:pPr>
      <w:r w:rsidRPr="00781112">
        <w:rPr>
          <w:color w:val="000000" w:themeColor="text1"/>
          <w:szCs w:val="16"/>
        </w:rPr>
        <w:br w:type="page"/>
      </w:r>
    </w:p>
    <w:p w14:paraId="1398101E" w14:textId="77777777" w:rsidR="009D378C" w:rsidRPr="00781112" w:rsidRDefault="009D378C" w:rsidP="004369B2">
      <w:pPr>
        <w:pStyle w:val="Heading1"/>
        <w:rPr>
          <w:color w:val="000000" w:themeColor="text1"/>
          <w:sz w:val="22"/>
        </w:rPr>
      </w:pPr>
      <w:r w:rsidRPr="00781112">
        <w:rPr>
          <w:color w:val="000000" w:themeColor="text1"/>
          <w:sz w:val="22"/>
        </w:rPr>
        <w:lastRenderedPageBreak/>
        <w:t xml:space="preserve">Indicator 3B: Proficiency for Children with IEPs Against Grade Level Academic Achievement Standards </w:t>
      </w:r>
      <w:bookmarkEnd w:id="10"/>
      <w:bookmarkEnd w:id="11"/>
    </w:p>
    <w:p w14:paraId="4BAF0645" w14:textId="77777777" w:rsidR="007C3C89" w:rsidRPr="002C274F" w:rsidRDefault="007C3C89" w:rsidP="002C274F">
      <w:pPr>
        <w:rPr>
          <w:b/>
          <w:bCs/>
          <w:sz w:val="20"/>
          <w:szCs w:val="20"/>
        </w:rPr>
      </w:pPr>
      <w:bookmarkStart w:id="13" w:name="_Toc392159271"/>
      <w:r w:rsidRPr="002C274F">
        <w:rPr>
          <w:b/>
          <w:bCs/>
          <w:sz w:val="20"/>
          <w:szCs w:val="20"/>
        </w:rPr>
        <w:t>Instructions and Measurement</w:t>
      </w:r>
    </w:p>
    <w:p w14:paraId="149067D3" w14:textId="77777777" w:rsidR="0085119E" w:rsidRPr="00781112" w:rsidRDefault="0085119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02EBCC91" w14:textId="77777777" w:rsidR="005873EB" w:rsidRPr="00781112" w:rsidRDefault="0085119E" w:rsidP="0055292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w:t>
      </w:r>
      <w:r w:rsidR="00131842" w:rsidRPr="00781112">
        <w:rPr>
          <w:rFonts w:cs="Arial"/>
          <w:color w:val="000000" w:themeColor="text1"/>
          <w:szCs w:val="16"/>
        </w:rPr>
        <w:t xml:space="preserve"> </w:t>
      </w:r>
      <w:r w:rsidR="005873EB" w:rsidRPr="00781112">
        <w:rPr>
          <w:rFonts w:cs="Arial"/>
          <w:color w:val="000000" w:themeColor="text1"/>
          <w:szCs w:val="16"/>
        </w:rPr>
        <w:t xml:space="preserve">Participation and performance </w:t>
      </w:r>
      <w:r w:rsidR="00C960B4" w:rsidRPr="00781112">
        <w:rPr>
          <w:rFonts w:cs="Arial"/>
          <w:color w:val="000000" w:themeColor="text1"/>
          <w:szCs w:val="16"/>
        </w:rPr>
        <w:t xml:space="preserve">of </w:t>
      </w:r>
      <w:r w:rsidR="005873EB" w:rsidRPr="00781112">
        <w:rPr>
          <w:rFonts w:cs="Arial"/>
          <w:color w:val="000000" w:themeColor="text1"/>
          <w:szCs w:val="16"/>
        </w:rPr>
        <w:t>children with IEPs on statewide</w:t>
      </w:r>
      <w:r w:rsidR="00A14AEA" w:rsidRPr="00781112">
        <w:rPr>
          <w:rFonts w:cs="Arial"/>
          <w:color w:val="000000" w:themeColor="text1"/>
          <w:szCs w:val="16"/>
        </w:rPr>
        <w:t xml:space="preserve"> assessments:</w:t>
      </w:r>
    </w:p>
    <w:p w14:paraId="2B139205"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A. Participation rate for children with IEPs.</w:t>
      </w:r>
    </w:p>
    <w:p w14:paraId="28D59E44"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26255605"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0161C3F4"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1EA71BB8" w14:textId="77777777" w:rsidR="001B1437" w:rsidRPr="00781112" w:rsidRDefault="001B1437" w:rsidP="001B1437">
      <w:pPr>
        <w:rPr>
          <w:rFonts w:cs="Arial"/>
          <w:color w:val="000000" w:themeColor="text1"/>
          <w:szCs w:val="16"/>
        </w:rPr>
      </w:pPr>
      <w:r w:rsidRPr="00781112">
        <w:rPr>
          <w:rFonts w:cs="Arial"/>
          <w:color w:val="000000" w:themeColor="text1"/>
          <w:szCs w:val="16"/>
        </w:rPr>
        <w:t>(20 U.S.C. 1416 (a)(3)(A))</w:t>
      </w:r>
    </w:p>
    <w:p w14:paraId="0BDF1E8A" w14:textId="77777777" w:rsidR="005873EB" w:rsidRPr="00781112" w:rsidRDefault="005873EB" w:rsidP="004369B2">
      <w:pPr>
        <w:rPr>
          <w:color w:val="000000" w:themeColor="text1"/>
        </w:rPr>
      </w:pPr>
      <w:r w:rsidRPr="00781112">
        <w:rPr>
          <w:b/>
          <w:color w:val="000000" w:themeColor="text1"/>
        </w:rPr>
        <w:t>Data Source</w:t>
      </w:r>
    </w:p>
    <w:p w14:paraId="09A3580F" w14:textId="77777777" w:rsidR="00A14AEA" w:rsidRPr="0075451F" w:rsidRDefault="00A14AEA" w:rsidP="002621F6">
      <w:pPr>
        <w:rPr>
          <w:rFonts w:cs="Arial"/>
          <w:szCs w:val="16"/>
        </w:rPr>
      </w:pPr>
      <w:r w:rsidRPr="00781112">
        <w:rPr>
          <w:rFonts w:cs="Arial"/>
          <w:color w:val="000000" w:themeColor="text1"/>
          <w:szCs w:val="16"/>
        </w:rPr>
        <w:t xml:space="preserve">3B. Same data as used for reporting to the Department under Title I of the ESEA, using </w:t>
      </w:r>
      <w:proofErr w:type="spellStart"/>
      <w:r w:rsidRPr="00781112">
        <w:rPr>
          <w:rFonts w:cs="Arial"/>
          <w:color w:val="000000" w:themeColor="text1"/>
          <w:szCs w:val="16"/>
        </w:rPr>
        <w:t>ED</w:t>
      </w:r>
      <w:r w:rsidRPr="00BA3DBE">
        <w:rPr>
          <w:rFonts w:cs="Arial"/>
          <w:i/>
          <w:iCs/>
          <w:color w:val="000000" w:themeColor="text1"/>
          <w:szCs w:val="16"/>
        </w:rPr>
        <w:t>Facts</w:t>
      </w:r>
      <w:proofErr w:type="spellEnd"/>
      <w:r w:rsidRPr="00781112">
        <w:rPr>
          <w:rFonts w:cs="Arial"/>
          <w:color w:val="000000" w:themeColor="text1"/>
          <w:szCs w:val="16"/>
        </w:rPr>
        <w:t xml:space="preserve"> file specifications </w:t>
      </w:r>
      <w:r w:rsidR="001B1437" w:rsidRPr="00781112">
        <w:rPr>
          <w:rFonts w:cs="Arial"/>
          <w:szCs w:val="16"/>
        </w:rPr>
        <w:t>FS175 and 178.</w:t>
      </w:r>
    </w:p>
    <w:p w14:paraId="5A75F0F5" w14:textId="77777777" w:rsidR="005873EB" w:rsidRPr="00781112" w:rsidRDefault="005873EB" w:rsidP="004369B2">
      <w:pPr>
        <w:rPr>
          <w:color w:val="000000" w:themeColor="text1"/>
        </w:rPr>
      </w:pPr>
      <w:r w:rsidRPr="00781112">
        <w:rPr>
          <w:b/>
          <w:color w:val="000000" w:themeColor="text1"/>
        </w:rPr>
        <w:t>Measurement</w:t>
      </w:r>
    </w:p>
    <w:p w14:paraId="79A9BD5B" w14:textId="77777777" w:rsidR="00781112" w:rsidRPr="00781112" w:rsidRDefault="00A14AEA" w:rsidP="004369B2">
      <w:pPr>
        <w:rPr>
          <w:rFonts w:cs="Arial"/>
          <w:szCs w:val="16"/>
        </w:rPr>
      </w:pPr>
      <w:r w:rsidRPr="00781112">
        <w:rPr>
          <w:rFonts w:cs="Arial"/>
          <w:color w:val="000000" w:themeColor="text1"/>
          <w:szCs w:val="16"/>
        </w:rPr>
        <w:t xml:space="preserve">B. </w:t>
      </w:r>
      <w:r w:rsidR="001B1437" w:rsidRPr="00781112">
        <w:rPr>
          <w:rFonts w:cs="Arial"/>
          <w:szCs w:val="16"/>
        </w:rPr>
        <w:t>Proficiency rate percent = [(# of children with IEPs scoring at or above proficient against grade level academic achievement standards) divided by the (total # of children with IEPs who received a valid score and for whom a proficiency level was assigned for the regular assessment)]. Calculate separately for reading and math. Calculate separately for grades 4, 8, and high school. The proficiency rate includes both children with IEPs enrolled for a full academic year and those not enrolled for a full academic year</w:t>
      </w:r>
      <w:r w:rsidR="00C239D6" w:rsidRPr="00781112">
        <w:rPr>
          <w:rFonts w:cs="Arial"/>
          <w:szCs w:val="16"/>
        </w:rPr>
        <w:t>.</w:t>
      </w:r>
    </w:p>
    <w:p w14:paraId="7FD24630" w14:textId="77777777" w:rsidR="005873EB" w:rsidRPr="00781112" w:rsidRDefault="005873EB" w:rsidP="004369B2">
      <w:pPr>
        <w:rPr>
          <w:color w:val="000000" w:themeColor="text1"/>
        </w:rPr>
      </w:pPr>
      <w:r w:rsidRPr="00781112">
        <w:rPr>
          <w:b/>
          <w:color w:val="000000" w:themeColor="text1"/>
        </w:rPr>
        <w:t>Instructions</w:t>
      </w:r>
    </w:p>
    <w:p w14:paraId="40DBA2A3" w14:textId="77777777" w:rsidR="00A14AEA" w:rsidRPr="00781112" w:rsidRDefault="00A14AEA" w:rsidP="002621F6">
      <w:pPr>
        <w:rPr>
          <w:rFonts w:cs="Arial"/>
          <w:color w:val="000000" w:themeColor="text1"/>
          <w:szCs w:val="16"/>
        </w:rPr>
      </w:pPr>
      <w:r w:rsidRPr="00781112">
        <w:rPr>
          <w:rFonts w:cs="Arial"/>
          <w:color w:val="000000" w:themeColor="text1"/>
          <w:szCs w:val="16"/>
        </w:rPr>
        <w:t>Describe the results of the calculations and compare the results to the targets. Provide the actual numbers used in the calculation.</w:t>
      </w:r>
    </w:p>
    <w:p w14:paraId="44FB2327" w14:textId="77777777" w:rsidR="00A14AEA" w:rsidRPr="00781112" w:rsidRDefault="00A14AEA" w:rsidP="002621F6">
      <w:pPr>
        <w:rPr>
          <w:rFonts w:cs="Arial"/>
          <w:color w:val="000000" w:themeColor="text1"/>
          <w:szCs w:val="16"/>
        </w:rPr>
      </w:pPr>
      <w:r w:rsidRPr="00781112">
        <w:rPr>
          <w:rFonts w:cs="Arial"/>
          <w:color w:val="000000" w:themeColor="text1"/>
          <w:szCs w:val="16"/>
        </w:rPr>
        <w:t>Include information regarding where to find public reports of assessment participation and performance results, as required by 34 CFR §300.160(f), i.e., a link to the Web site where these data are reported.</w:t>
      </w:r>
    </w:p>
    <w:p w14:paraId="71806422" w14:textId="77777777" w:rsidR="00A14AEA" w:rsidRPr="00781112" w:rsidRDefault="00A14AEA" w:rsidP="002621F6">
      <w:pPr>
        <w:rPr>
          <w:rFonts w:cs="Arial"/>
          <w:color w:val="000000" w:themeColor="text1"/>
          <w:szCs w:val="16"/>
        </w:rPr>
      </w:pPr>
      <w:r w:rsidRPr="00781112">
        <w:rPr>
          <w:rFonts w:cs="Arial"/>
          <w:color w:val="000000" w:themeColor="text1"/>
          <w:szCs w:val="16"/>
        </w:rPr>
        <w:t xml:space="preserve">Indicator 3B: </w:t>
      </w:r>
      <w:r w:rsidR="001B1437" w:rsidRPr="00781112">
        <w:rPr>
          <w:rFonts w:cs="Arial"/>
          <w:szCs w:val="16"/>
        </w:rPr>
        <w:t>Proficiency calculations in this SPP/APR must result in proficiency rates for children with IEPs on the regular assessment in reading/language arts and mathematics assessments (separately) in each of the following grades: 4, 8, and high school, including both children with IEPs enrolled for a full academic year and those not enrolled for a full academic year. Only include children with disabilities who had an IEP at the time of testing.</w:t>
      </w:r>
    </w:p>
    <w:p w14:paraId="658E6BCD" w14:textId="77777777" w:rsidR="00677C8C" w:rsidRPr="00781112" w:rsidRDefault="00573F6C" w:rsidP="008645AD">
      <w:pPr>
        <w:pStyle w:val="Heading2"/>
      </w:pPr>
      <w:r w:rsidRPr="00781112">
        <w:t>3B</w:t>
      </w:r>
      <w:r w:rsidR="00BB4FD7" w:rsidRPr="00781112">
        <w:t xml:space="preserve"> </w:t>
      </w:r>
      <w:r w:rsidRPr="00781112">
        <w:t xml:space="preserve">- </w:t>
      </w:r>
      <w:r w:rsidR="00677C8C" w:rsidRPr="00781112">
        <w:t>Indicator Data</w:t>
      </w:r>
    </w:p>
    <w:bookmarkEnd w:id="13"/>
    <w:p w14:paraId="23CA96A1" w14:textId="77777777" w:rsidR="00E539AB" w:rsidRPr="00781112" w:rsidRDefault="00E539AB" w:rsidP="004369B2">
      <w:pPr>
        <w:rPr>
          <w:b/>
          <w:color w:val="000000" w:themeColor="text1"/>
        </w:rPr>
      </w:pPr>
      <w:r w:rsidRPr="00781112">
        <w:rPr>
          <w:b/>
          <w:color w:val="000000" w:themeColor="text1"/>
        </w:rPr>
        <w:t xml:space="preserve">Historical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HISTDATA"/>
      </w:tblPr>
      <w:tblGrid>
        <w:gridCol w:w="1588"/>
        <w:gridCol w:w="1588"/>
        <w:gridCol w:w="2538"/>
        <w:gridCol w:w="2538"/>
        <w:gridCol w:w="2538"/>
      </w:tblGrid>
      <w:tr w:rsidR="00E87854" w:rsidRPr="00781112" w14:paraId="3396E5FB" w14:textId="77777777" w:rsidTr="009725F4">
        <w:trPr>
          <w:trHeight w:val="368"/>
          <w:tblHeader/>
        </w:trPr>
        <w:tc>
          <w:tcPr>
            <w:tcW w:w="736" w:type="pct"/>
            <w:tcBorders>
              <w:top w:val="single" w:sz="4" w:space="0" w:color="auto"/>
            </w:tcBorders>
            <w:vAlign w:val="center"/>
          </w:tcPr>
          <w:p w14:paraId="2E015B55"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vAlign w:val="center"/>
          </w:tcPr>
          <w:p w14:paraId="0519923E"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vAlign w:val="center"/>
          </w:tcPr>
          <w:p w14:paraId="410BF724"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vAlign w:val="center"/>
          </w:tcPr>
          <w:p w14:paraId="0314F6C6"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564BC379"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Baseline Data</w:t>
            </w:r>
          </w:p>
        </w:tc>
      </w:tr>
      <w:tr w:rsidR="00E87854" w:rsidRPr="00781112" w14:paraId="3C31C1FC" w14:textId="77777777" w:rsidTr="00360DD6">
        <w:trPr>
          <w:trHeight w:val="368"/>
        </w:trPr>
        <w:tc>
          <w:tcPr>
            <w:tcW w:w="736" w:type="pct"/>
            <w:vAlign w:val="center"/>
          </w:tcPr>
          <w:p w14:paraId="3F01A3AD"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vAlign w:val="center"/>
          </w:tcPr>
          <w:p w14:paraId="3CF1075A"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vAlign w:val="center"/>
          </w:tcPr>
          <w:p w14:paraId="05B3E9EE" w14:textId="77777777" w:rsidR="00E87854" w:rsidRPr="00781112" w:rsidRDefault="00E87854" w:rsidP="00827FF4">
            <w:pPr>
              <w:jc w:val="center"/>
              <w:rPr>
                <w:rFonts w:cs="Arial"/>
                <w:color w:val="000000" w:themeColor="text1"/>
                <w:szCs w:val="16"/>
              </w:rPr>
            </w:pPr>
            <w:r w:rsidRPr="00781112">
              <w:rPr>
                <w:rFonts w:cs="Arial"/>
                <w:color w:val="000000" w:themeColor="text1"/>
                <w:szCs w:val="16"/>
              </w:rPr>
              <w:t>Grade 4</w:t>
            </w:r>
          </w:p>
        </w:tc>
        <w:tc>
          <w:tcPr>
            <w:tcW w:w="1176" w:type="pct"/>
            <w:vAlign w:val="center"/>
          </w:tcPr>
          <w:p w14:paraId="622207F5" w14:textId="77777777" w:rsidR="00E87854" w:rsidRPr="00781112" w:rsidRDefault="00E87854"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4E981A32" w14:textId="77777777" w:rsidR="00E87854" w:rsidRPr="00781112" w:rsidRDefault="00E87854" w:rsidP="00827FF4">
            <w:pPr>
              <w:spacing w:before="0" w:after="0"/>
              <w:jc w:val="center"/>
              <w:rPr>
                <w:color w:val="000000" w:themeColor="text1"/>
              </w:rPr>
            </w:pPr>
            <w:r w:rsidRPr="00781112">
              <w:rPr>
                <w:rFonts w:cs="Arial"/>
                <w:color w:val="000000" w:themeColor="text1"/>
                <w:szCs w:val="16"/>
              </w:rPr>
              <w:t>15.87%</w:t>
            </w:r>
          </w:p>
        </w:tc>
      </w:tr>
      <w:tr w:rsidR="00E87854" w:rsidRPr="00781112" w14:paraId="3BEFABB5" w14:textId="77777777" w:rsidTr="00360DD6">
        <w:trPr>
          <w:trHeight w:val="368"/>
        </w:trPr>
        <w:tc>
          <w:tcPr>
            <w:tcW w:w="736" w:type="pct"/>
            <w:vAlign w:val="center"/>
          </w:tcPr>
          <w:p w14:paraId="5BEBC7DF"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vAlign w:val="center"/>
          </w:tcPr>
          <w:p w14:paraId="7F5FA25B"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vAlign w:val="center"/>
          </w:tcPr>
          <w:p w14:paraId="12E46FED"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vAlign w:val="center"/>
          </w:tcPr>
          <w:p w14:paraId="60A69C1B" w14:textId="77777777" w:rsidR="00E87854" w:rsidRPr="00781112" w:rsidRDefault="00E87854"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72BF9CCF"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6.68%</w:t>
            </w:r>
          </w:p>
        </w:tc>
      </w:tr>
      <w:tr w:rsidR="00E87854" w:rsidRPr="00781112" w14:paraId="37FE4CC5" w14:textId="77777777" w:rsidTr="00360DD6">
        <w:trPr>
          <w:trHeight w:val="368"/>
        </w:trPr>
        <w:tc>
          <w:tcPr>
            <w:tcW w:w="736" w:type="pct"/>
            <w:vAlign w:val="center"/>
          </w:tcPr>
          <w:p w14:paraId="749B17FE"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vAlign w:val="center"/>
          </w:tcPr>
          <w:p w14:paraId="7CF451EC"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vAlign w:val="center"/>
          </w:tcPr>
          <w:p w14:paraId="43F7C53E" w14:textId="77777777" w:rsidR="00E87854" w:rsidRPr="00781112" w:rsidRDefault="00E87854" w:rsidP="00827FF4">
            <w:pPr>
              <w:jc w:val="center"/>
              <w:rPr>
                <w:rFonts w:cs="Arial"/>
                <w:color w:val="000000" w:themeColor="text1"/>
                <w:szCs w:val="16"/>
              </w:rPr>
            </w:pPr>
            <w:r w:rsidRPr="00781112">
              <w:rPr>
                <w:rFonts w:cs="Arial"/>
                <w:color w:val="000000" w:themeColor="text1"/>
                <w:szCs w:val="16"/>
              </w:rPr>
              <w:t>Grade HS</w:t>
            </w:r>
          </w:p>
        </w:tc>
        <w:tc>
          <w:tcPr>
            <w:tcW w:w="1176" w:type="pct"/>
            <w:vAlign w:val="center"/>
          </w:tcPr>
          <w:p w14:paraId="1356B4C4" w14:textId="77777777" w:rsidR="00E87854" w:rsidRPr="00781112" w:rsidRDefault="00E87854"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0061837F"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9.24%</w:t>
            </w:r>
          </w:p>
        </w:tc>
      </w:tr>
      <w:tr w:rsidR="00E87854" w:rsidRPr="00781112" w14:paraId="46A8A461" w14:textId="77777777" w:rsidTr="00360DD6">
        <w:trPr>
          <w:trHeight w:val="368"/>
        </w:trPr>
        <w:tc>
          <w:tcPr>
            <w:tcW w:w="736" w:type="pct"/>
            <w:vAlign w:val="center"/>
          </w:tcPr>
          <w:p w14:paraId="31D3ECCC"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vAlign w:val="center"/>
          </w:tcPr>
          <w:p w14:paraId="2A301E0F"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vAlign w:val="center"/>
          </w:tcPr>
          <w:p w14:paraId="12FDF806"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vAlign w:val="center"/>
          </w:tcPr>
          <w:p w14:paraId="3420B81A" w14:textId="77777777" w:rsidR="00E87854" w:rsidRPr="00781112" w:rsidRDefault="00E87854"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66438094"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17.53%</w:t>
            </w:r>
          </w:p>
        </w:tc>
      </w:tr>
      <w:tr w:rsidR="00E87854" w:rsidRPr="00781112" w14:paraId="171D71B2" w14:textId="77777777" w:rsidTr="00360DD6">
        <w:trPr>
          <w:trHeight w:val="368"/>
        </w:trPr>
        <w:tc>
          <w:tcPr>
            <w:tcW w:w="736" w:type="pct"/>
            <w:vAlign w:val="center"/>
          </w:tcPr>
          <w:p w14:paraId="4EB6E552"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vAlign w:val="center"/>
          </w:tcPr>
          <w:p w14:paraId="59884A96"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vAlign w:val="center"/>
          </w:tcPr>
          <w:p w14:paraId="5CA2477D" w14:textId="77777777" w:rsidR="00E87854" w:rsidRPr="00781112" w:rsidRDefault="00E87854" w:rsidP="00827FF4">
            <w:pPr>
              <w:jc w:val="center"/>
              <w:rPr>
                <w:rFonts w:cs="Arial"/>
                <w:color w:val="000000" w:themeColor="text1"/>
                <w:szCs w:val="16"/>
              </w:rPr>
            </w:pPr>
            <w:r w:rsidRPr="00781112">
              <w:rPr>
                <w:rFonts w:cs="Arial"/>
                <w:color w:val="000000" w:themeColor="text1"/>
                <w:szCs w:val="16"/>
              </w:rPr>
              <w:t>Grade 8</w:t>
            </w:r>
          </w:p>
        </w:tc>
        <w:tc>
          <w:tcPr>
            <w:tcW w:w="1176" w:type="pct"/>
            <w:vAlign w:val="center"/>
          </w:tcPr>
          <w:p w14:paraId="589D6EEF" w14:textId="77777777" w:rsidR="00E87854" w:rsidRPr="00781112" w:rsidRDefault="00E87854"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2AB5AF93"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5.42%</w:t>
            </w:r>
          </w:p>
        </w:tc>
      </w:tr>
      <w:tr w:rsidR="00E87854" w:rsidRPr="00781112" w14:paraId="4F9A3D0C" w14:textId="77777777" w:rsidTr="00360DD6">
        <w:trPr>
          <w:trHeight w:val="368"/>
        </w:trPr>
        <w:tc>
          <w:tcPr>
            <w:tcW w:w="736" w:type="pct"/>
            <w:vAlign w:val="center"/>
          </w:tcPr>
          <w:p w14:paraId="5F9F8497"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vAlign w:val="center"/>
          </w:tcPr>
          <w:p w14:paraId="05AE8746"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vAlign w:val="center"/>
          </w:tcPr>
          <w:p w14:paraId="138849EC"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vAlign w:val="center"/>
          </w:tcPr>
          <w:p w14:paraId="6E888CC4" w14:textId="77777777" w:rsidR="00E87854" w:rsidRPr="00781112" w:rsidRDefault="00E87854"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078D3796"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2.58%</w:t>
            </w:r>
          </w:p>
        </w:tc>
      </w:tr>
    </w:tbl>
    <w:p w14:paraId="6B24E11B" w14:textId="77777777" w:rsidR="004D0044" w:rsidRPr="00781112" w:rsidRDefault="004D0044" w:rsidP="00AA3A41">
      <w:pPr>
        <w:tabs>
          <w:tab w:val="left" w:pos="2145"/>
        </w:tabs>
        <w:rPr>
          <w:color w:val="000000" w:themeColor="text1"/>
        </w:rPr>
      </w:pPr>
    </w:p>
    <w:p w14:paraId="00DCAA4B" w14:textId="77777777" w:rsidR="00E539AB" w:rsidRPr="00781112" w:rsidRDefault="00E539AB" w:rsidP="004369B2">
      <w:pPr>
        <w:rPr>
          <w:b/>
          <w:color w:val="000000" w:themeColor="text1"/>
        </w:rPr>
      </w:pPr>
      <w:r w:rsidRPr="00781112">
        <w:rPr>
          <w:b/>
          <w:color w:val="000000" w:themeColor="text1"/>
        </w:rPr>
        <w:t>Targets</w:t>
      </w:r>
    </w:p>
    <w:tbl>
      <w:tblPr>
        <w:tblW w:w="27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TARGETS"/>
      </w:tblPr>
      <w:tblGrid>
        <w:gridCol w:w="1196"/>
        <w:gridCol w:w="1201"/>
        <w:gridCol w:w="1201"/>
        <w:gridCol w:w="1201"/>
        <w:gridCol w:w="1200"/>
      </w:tblGrid>
      <w:tr w:rsidR="00A80E97" w:rsidRPr="00781112" w14:paraId="001A533B" w14:textId="77777777" w:rsidTr="00924AD9">
        <w:tc>
          <w:tcPr>
            <w:tcW w:w="997" w:type="pct"/>
            <w:tcBorders>
              <w:bottom w:val="single" w:sz="4" w:space="0" w:color="auto"/>
            </w:tcBorders>
            <w:vAlign w:val="center"/>
          </w:tcPr>
          <w:p w14:paraId="2C7DBEDD" w14:textId="77777777" w:rsidR="00A80E97" w:rsidRPr="00781112" w:rsidRDefault="00A80E97" w:rsidP="00536B0B">
            <w:pPr>
              <w:jc w:val="center"/>
              <w:rPr>
                <w:b/>
                <w:color w:val="000000" w:themeColor="text1"/>
              </w:rPr>
            </w:pPr>
            <w:r w:rsidRPr="00781112">
              <w:rPr>
                <w:b/>
                <w:color w:val="000000" w:themeColor="text1"/>
              </w:rPr>
              <w:t>Subject</w:t>
            </w:r>
          </w:p>
        </w:tc>
        <w:tc>
          <w:tcPr>
            <w:tcW w:w="1001" w:type="pct"/>
            <w:tcBorders>
              <w:bottom w:val="single" w:sz="4" w:space="0" w:color="auto"/>
            </w:tcBorders>
            <w:vAlign w:val="center"/>
          </w:tcPr>
          <w:p w14:paraId="6F0FDFED" w14:textId="77777777" w:rsidR="00A80E97" w:rsidRPr="00781112" w:rsidRDefault="00A80E97" w:rsidP="00536B0B">
            <w:pPr>
              <w:jc w:val="center"/>
              <w:rPr>
                <w:b/>
                <w:color w:val="000000" w:themeColor="text1"/>
              </w:rPr>
            </w:pPr>
            <w:r w:rsidRPr="00781112">
              <w:rPr>
                <w:b/>
                <w:color w:val="000000" w:themeColor="text1"/>
              </w:rPr>
              <w:t>Group</w:t>
            </w:r>
          </w:p>
        </w:tc>
        <w:tc>
          <w:tcPr>
            <w:tcW w:w="1001" w:type="pct"/>
            <w:vAlign w:val="center"/>
          </w:tcPr>
          <w:p w14:paraId="4F0E82EB" w14:textId="77777777" w:rsidR="00A80E97" w:rsidRPr="00781112" w:rsidDel="008E7B87" w:rsidRDefault="00A80E97" w:rsidP="00536B0B">
            <w:pPr>
              <w:jc w:val="center"/>
              <w:rPr>
                <w:b/>
                <w:color w:val="000000" w:themeColor="text1"/>
              </w:rPr>
            </w:pPr>
            <w:r w:rsidRPr="00781112">
              <w:rPr>
                <w:b/>
                <w:color w:val="000000" w:themeColor="text1"/>
              </w:rPr>
              <w:t>Group Name</w:t>
            </w:r>
          </w:p>
        </w:tc>
        <w:tc>
          <w:tcPr>
            <w:tcW w:w="1001" w:type="pct"/>
            <w:vAlign w:val="center"/>
          </w:tcPr>
          <w:p w14:paraId="7AC13E52" w14:textId="77777777" w:rsidR="00A80E97" w:rsidRPr="00781112" w:rsidRDefault="00A80E97" w:rsidP="00536B0B">
            <w:pPr>
              <w:jc w:val="center"/>
              <w:rPr>
                <w:b/>
                <w:color w:val="000000" w:themeColor="text1"/>
              </w:rPr>
            </w:pPr>
            <w:r w:rsidRPr="00781112">
              <w:rPr>
                <w:b/>
                <w:color w:val="000000" w:themeColor="text1"/>
              </w:rPr>
              <w:t>2024</w:t>
            </w:r>
          </w:p>
        </w:tc>
        <w:tc>
          <w:tcPr>
            <w:tcW w:w="1001" w:type="pct"/>
            <w:vAlign w:val="center"/>
          </w:tcPr>
          <w:p w14:paraId="6280BE88" w14:textId="77777777" w:rsidR="00A80E97" w:rsidRPr="00781112" w:rsidRDefault="00A80E97" w:rsidP="00536B0B">
            <w:pPr>
              <w:jc w:val="center"/>
              <w:rPr>
                <w:b/>
                <w:color w:val="000000" w:themeColor="text1"/>
              </w:rPr>
            </w:pPr>
            <w:r w:rsidRPr="00781112">
              <w:rPr>
                <w:rFonts w:cs="Arial"/>
                <w:b/>
                <w:color w:val="000000" w:themeColor="text1"/>
                <w:szCs w:val="16"/>
              </w:rPr>
              <w:t>2025</w:t>
            </w:r>
          </w:p>
        </w:tc>
      </w:tr>
      <w:tr w:rsidR="00A80E97" w:rsidRPr="00781112" w14:paraId="3731269C" w14:textId="77777777" w:rsidTr="00924AD9">
        <w:tc>
          <w:tcPr>
            <w:tcW w:w="997" w:type="pct"/>
            <w:vAlign w:val="center"/>
          </w:tcPr>
          <w:p w14:paraId="0CF7C086" w14:textId="77777777" w:rsidR="00A80E97" w:rsidRPr="00781112" w:rsidRDefault="00A80E97" w:rsidP="004E5C74">
            <w:pPr>
              <w:spacing w:before="0" w:after="0"/>
              <w:jc w:val="center"/>
              <w:rPr>
                <w:rFonts w:cs="Arial"/>
                <w:color w:val="000000" w:themeColor="text1"/>
                <w:szCs w:val="16"/>
              </w:rPr>
            </w:pPr>
            <w:r w:rsidRPr="00781112">
              <w:rPr>
                <w:rFonts w:cs="Arial"/>
                <w:color w:val="000000" w:themeColor="text1"/>
                <w:szCs w:val="16"/>
              </w:rPr>
              <w:t>Reading</w:t>
            </w:r>
          </w:p>
        </w:tc>
        <w:tc>
          <w:tcPr>
            <w:tcW w:w="1001" w:type="pct"/>
            <w:vAlign w:val="center"/>
          </w:tcPr>
          <w:p w14:paraId="17A1901A" w14:textId="77777777" w:rsidR="00A80E97" w:rsidRPr="00781112" w:rsidRDefault="00A80E97" w:rsidP="004E5C74">
            <w:pPr>
              <w:spacing w:before="0" w:after="0"/>
              <w:jc w:val="center"/>
              <w:rPr>
                <w:rFonts w:cs="Arial"/>
                <w:color w:val="000000" w:themeColor="text1"/>
                <w:szCs w:val="16"/>
              </w:rPr>
            </w:pPr>
            <w:r w:rsidRPr="00781112">
              <w:rPr>
                <w:rFonts w:cs="Arial"/>
                <w:color w:val="000000" w:themeColor="text1"/>
                <w:szCs w:val="16"/>
              </w:rPr>
              <w:t>A &gt;=</w:t>
            </w:r>
          </w:p>
        </w:tc>
        <w:tc>
          <w:tcPr>
            <w:tcW w:w="1001" w:type="pct"/>
            <w:vAlign w:val="center"/>
          </w:tcPr>
          <w:p w14:paraId="2C21F8DF" w14:textId="77777777" w:rsidR="00A80E97" w:rsidRPr="00781112" w:rsidDel="00DB0A73" w:rsidRDefault="00A80E97" w:rsidP="004E5C74">
            <w:pPr>
              <w:jc w:val="center"/>
              <w:rPr>
                <w:rFonts w:cs="Arial"/>
                <w:color w:val="000000" w:themeColor="text1"/>
                <w:szCs w:val="16"/>
              </w:rPr>
            </w:pPr>
            <w:r w:rsidRPr="00781112">
              <w:rPr>
                <w:rFonts w:cs="Arial"/>
                <w:color w:val="000000" w:themeColor="text1"/>
                <w:szCs w:val="16"/>
              </w:rPr>
              <w:t>Grade 4</w:t>
            </w:r>
          </w:p>
        </w:tc>
        <w:tc>
          <w:tcPr>
            <w:tcW w:w="1001" w:type="pct"/>
            <w:vAlign w:val="center"/>
          </w:tcPr>
          <w:p w14:paraId="2E555FE3" w14:textId="77777777" w:rsidR="00A80E97" w:rsidRPr="00781112" w:rsidRDefault="00A80E97" w:rsidP="004E5C74">
            <w:pPr>
              <w:jc w:val="center"/>
              <w:rPr>
                <w:rFonts w:cs="Arial"/>
                <w:color w:val="000000" w:themeColor="text1"/>
                <w:szCs w:val="16"/>
              </w:rPr>
            </w:pPr>
            <w:r w:rsidRPr="00781112">
              <w:rPr>
                <w:rFonts w:cs="Arial"/>
                <w:color w:val="000000" w:themeColor="text1"/>
                <w:szCs w:val="16"/>
              </w:rPr>
              <w:t>17.90%</w:t>
            </w:r>
          </w:p>
        </w:tc>
        <w:tc>
          <w:tcPr>
            <w:tcW w:w="1001" w:type="pct"/>
            <w:vAlign w:val="center"/>
          </w:tcPr>
          <w:p w14:paraId="1C4C53A2" w14:textId="77777777" w:rsidR="00A80E97" w:rsidRPr="00781112" w:rsidRDefault="00A80E97" w:rsidP="004E5C74">
            <w:pPr>
              <w:jc w:val="center"/>
              <w:rPr>
                <w:rFonts w:cs="Arial"/>
                <w:color w:val="000000" w:themeColor="text1"/>
                <w:szCs w:val="16"/>
              </w:rPr>
            </w:pPr>
            <w:r w:rsidRPr="00781112">
              <w:rPr>
                <w:rFonts w:cs="Arial"/>
                <w:color w:val="000000" w:themeColor="text1"/>
                <w:szCs w:val="16"/>
              </w:rPr>
              <w:t>18.40%</w:t>
            </w:r>
          </w:p>
        </w:tc>
      </w:tr>
      <w:tr w:rsidR="00A80E97" w:rsidRPr="00781112" w14:paraId="23DEE006" w14:textId="77777777" w:rsidTr="00924AD9">
        <w:tc>
          <w:tcPr>
            <w:tcW w:w="997" w:type="pct"/>
            <w:vAlign w:val="center"/>
          </w:tcPr>
          <w:p w14:paraId="73A30C11" w14:textId="77777777" w:rsidR="00A80E97" w:rsidRPr="00781112" w:rsidRDefault="00A80E97" w:rsidP="004E5C74">
            <w:pPr>
              <w:spacing w:before="0" w:after="0"/>
              <w:jc w:val="center"/>
              <w:rPr>
                <w:rFonts w:cs="Arial"/>
                <w:color w:val="000000" w:themeColor="text1"/>
                <w:szCs w:val="16"/>
              </w:rPr>
            </w:pPr>
            <w:r w:rsidRPr="00781112">
              <w:rPr>
                <w:rFonts w:cs="Arial"/>
                <w:color w:val="000000" w:themeColor="text1"/>
                <w:szCs w:val="16"/>
              </w:rPr>
              <w:t>Reading</w:t>
            </w:r>
          </w:p>
        </w:tc>
        <w:tc>
          <w:tcPr>
            <w:tcW w:w="1001" w:type="pct"/>
            <w:vAlign w:val="center"/>
          </w:tcPr>
          <w:p w14:paraId="5112E528" w14:textId="77777777" w:rsidR="00A80E97" w:rsidRPr="00781112" w:rsidRDefault="00A80E97" w:rsidP="004E5C74">
            <w:pPr>
              <w:spacing w:before="0" w:after="0"/>
              <w:jc w:val="center"/>
              <w:rPr>
                <w:rFonts w:cs="Arial"/>
                <w:color w:val="000000" w:themeColor="text1"/>
                <w:szCs w:val="16"/>
              </w:rPr>
            </w:pPr>
            <w:r w:rsidRPr="00781112">
              <w:rPr>
                <w:rFonts w:cs="Arial"/>
                <w:color w:val="000000" w:themeColor="text1"/>
                <w:szCs w:val="16"/>
              </w:rPr>
              <w:t>B &gt;=</w:t>
            </w:r>
          </w:p>
        </w:tc>
        <w:tc>
          <w:tcPr>
            <w:tcW w:w="1001" w:type="pct"/>
            <w:vAlign w:val="center"/>
          </w:tcPr>
          <w:p w14:paraId="5CEE0878" w14:textId="77777777" w:rsidR="00A80E97" w:rsidRPr="00781112" w:rsidDel="00DB0A73" w:rsidRDefault="00A80E97" w:rsidP="004E5C74">
            <w:pPr>
              <w:jc w:val="center"/>
              <w:rPr>
                <w:rFonts w:cs="Arial"/>
                <w:color w:val="000000" w:themeColor="text1"/>
                <w:szCs w:val="16"/>
              </w:rPr>
            </w:pPr>
            <w:r w:rsidRPr="00781112">
              <w:rPr>
                <w:rFonts w:cs="Arial"/>
                <w:color w:val="000000" w:themeColor="text1"/>
                <w:szCs w:val="16"/>
              </w:rPr>
              <w:t>Grade 8</w:t>
            </w:r>
          </w:p>
        </w:tc>
        <w:tc>
          <w:tcPr>
            <w:tcW w:w="1001" w:type="pct"/>
            <w:vAlign w:val="center"/>
          </w:tcPr>
          <w:p w14:paraId="32C7D4BD" w14:textId="77777777" w:rsidR="00A80E97" w:rsidRPr="00781112" w:rsidRDefault="00A80E97" w:rsidP="004E5C74">
            <w:pPr>
              <w:jc w:val="center"/>
              <w:rPr>
                <w:rFonts w:cs="Arial"/>
                <w:color w:val="000000" w:themeColor="text1"/>
                <w:szCs w:val="16"/>
              </w:rPr>
            </w:pPr>
            <w:r w:rsidRPr="00781112">
              <w:rPr>
                <w:rFonts w:cs="Arial"/>
                <w:color w:val="000000" w:themeColor="text1"/>
                <w:szCs w:val="16"/>
              </w:rPr>
              <w:t>8.70%</w:t>
            </w:r>
          </w:p>
        </w:tc>
        <w:tc>
          <w:tcPr>
            <w:tcW w:w="1001" w:type="pct"/>
            <w:vAlign w:val="center"/>
          </w:tcPr>
          <w:p w14:paraId="373914C7" w14:textId="77777777" w:rsidR="00A80E97" w:rsidRPr="00781112" w:rsidRDefault="00A80E97" w:rsidP="004E5C74">
            <w:pPr>
              <w:jc w:val="center"/>
              <w:rPr>
                <w:rFonts w:cs="Arial"/>
                <w:color w:val="000000" w:themeColor="text1"/>
                <w:szCs w:val="16"/>
              </w:rPr>
            </w:pPr>
            <w:r w:rsidRPr="00781112">
              <w:rPr>
                <w:rFonts w:cs="Arial"/>
                <w:color w:val="000000" w:themeColor="text1"/>
                <w:szCs w:val="16"/>
              </w:rPr>
              <w:t>9.20%</w:t>
            </w:r>
          </w:p>
        </w:tc>
      </w:tr>
      <w:tr w:rsidR="00A80E97" w:rsidRPr="00781112" w14:paraId="4AF0BA5B" w14:textId="77777777" w:rsidTr="00924AD9">
        <w:tc>
          <w:tcPr>
            <w:tcW w:w="997" w:type="pct"/>
            <w:vAlign w:val="center"/>
          </w:tcPr>
          <w:p w14:paraId="384515D4" w14:textId="77777777" w:rsidR="00A80E97" w:rsidRPr="00781112" w:rsidRDefault="00A80E97" w:rsidP="004E5C74">
            <w:pPr>
              <w:spacing w:before="0" w:after="0"/>
              <w:jc w:val="center"/>
              <w:rPr>
                <w:rFonts w:cs="Arial"/>
                <w:color w:val="000000" w:themeColor="text1"/>
                <w:szCs w:val="16"/>
              </w:rPr>
            </w:pPr>
            <w:r w:rsidRPr="00781112">
              <w:rPr>
                <w:rFonts w:cs="Arial"/>
                <w:color w:val="000000" w:themeColor="text1"/>
                <w:szCs w:val="16"/>
              </w:rPr>
              <w:t>Reading</w:t>
            </w:r>
          </w:p>
        </w:tc>
        <w:tc>
          <w:tcPr>
            <w:tcW w:w="1001" w:type="pct"/>
            <w:vAlign w:val="center"/>
          </w:tcPr>
          <w:p w14:paraId="4D634313" w14:textId="77777777" w:rsidR="00A80E97" w:rsidRPr="00781112" w:rsidRDefault="00A80E97" w:rsidP="004E5C74">
            <w:pPr>
              <w:spacing w:before="0" w:after="0"/>
              <w:jc w:val="center"/>
              <w:rPr>
                <w:rFonts w:cs="Arial"/>
                <w:color w:val="000000" w:themeColor="text1"/>
                <w:szCs w:val="16"/>
              </w:rPr>
            </w:pPr>
            <w:r w:rsidRPr="00781112">
              <w:rPr>
                <w:rFonts w:cs="Arial"/>
                <w:color w:val="000000" w:themeColor="text1"/>
                <w:szCs w:val="16"/>
              </w:rPr>
              <w:t>C &gt;=</w:t>
            </w:r>
          </w:p>
        </w:tc>
        <w:tc>
          <w:tcPr>
            <w:tcW w:w="1001" w:type="pct"/>
            <w:vAlign w:val="center"/>
          </w:tcPr>
          <w:p w14:paraId="741120AB" w14:textId="77777777" w:rsidR="00A80E97" w:rsidRPr="00781112" w:rsidDel="00DB0A73" w:rsidRDefault="00A80E97" w:rsidP="004E5C74">
            <w:pPr>
              <w:jc w:val="center"/>
              <w:rPr>
                <w:rFonts w:cs="Arial"/>
                <w:color w:val="000000" w:themeColor="text1"/>
                <w:szCs w:val="16"/>
              </w:rPr>
            </w:pPr>
            <w:r w:rsidRPr="00781112">
              <w:rPr>
                <w:rFonts w:cs="Arial"/>
                <w:color w:val="000000" w:themeColor="text1"/>
                <w:szCs w:val="16"/>
              </w:rPr>
              <w:t>Grade HS</w:t>
            </w:r>
          </w:p>
        </w:tc>
        <w:tc>
          <w:tcPr>
            <w:tcW w:w="1001" w:type="pct"/>
            <w:vAlign w:val="center"/>
          </w:tcPr>
          <w:p w14:paraId="501F281F" w14:textId="77777777" w:rsidR="00A80E97" w:rsidRPr="00781112" w:rsidRDefault="00A80E97" w:rsidP="004E5C74">
            <w:pPr>
              <w:jc w:val="center"/>
              <w:rPr>
                <w:rFonts w:cs="Arial"/>
                <w:color w:val="000000" w:themeColor="text1"/>
                <w:szCs w:val="16"/>
              </w:rPr>
            </w:pPr>
            <w:r w:rsidRPr="00781112">
              <w:rPr>
                <w:rFonts w:cs="Arial"/>
                <w:color w:val="000000" w:themeColor="text1"/>
                <w:szCs w:val="16"/>
              </w:rPr>
              <w:t>11.70%</w:t>
            </w:r>
          </w:p>
        </w:tc>
        <w:tc>
          <w:tcPr>
            <w:tcW w:w="1001" w:type="pct"/>
            <w:vAlign w:val="center"/>
          </w:tcPr>
          <w:p w14:paraId="56530B98" w14:textId="77777777" w:rsidR="00A80E97" w:rsidRPr="00781112" w:rsidRDefault="00A80E97" w:rsidP="004E5C74">
            <w:pPr>
              <w:jc w:val="center"/>
              <w:rPr>
                <w:rFonts w:cs="Arial"/>
                <w:color w:val="000000" w:themeColor="text1"/>
                <w:szCs w:val="16"/>
              </w:rPr>
            </w:pPr>
            <w:r w:rsidRPr="00781112">
              <w:rPr>
                <w:rFonts w:cs="Arial"/>
                <w:color w:val="000000" w:themeColor="text1"/>
                <w:szCs w:val="16"/>
              </w:rPr>
              <w:t>12.20%</w:t>
            </w:r>
          </w:p>
        </w:tc>
      </w:tr>
      <w:tr w:rsidR="00A80E97" w:rsidRPr="00781112" w14:paraId="5CA30FAA" w14:textId="77777777" w:rsidTr="00924AD9">
        <w:tc>
          <w:tcPr>
            <w:tcW w:w="997" w:type="pct"/>
            <w:vAlign w:val="center"/>
          </w:tcPr>
          <w:p w14:paraId="102A23BB" w14:textId="77777777" w:rsidR="00A80E97" w:rsidRPr="00781112" w:rsidRDefault="00A80E97" w:rsidP="004E5C74">
            <w:pPr>
              <w:spacing w:before="0" w:after="0"/>
              <w:jc w:val="center"/>
              <w:rPr>
                <w:rFonts w:cs="Arial"/>
                <w:color w:val="000000" w:themeColor="text1"/>
                <w:szCs w:val="16"/>
              </w:rPr>
            </w:pPr>
            <w:r w:rsidRPr="00781112">
              <w:rPr>
                <w:rFonts w:cs="Arial"/>
                <w:color w:val="000000" w:themeColor="text1"/>
                <w:szCs w:val="16"/>
              </w:rPr>
              <w:t>Math</w:t>
            </w:r>
          </w:p>
        </w:tc>
        <w:tc>
          <w:tcPr>
            <w:tcW w:w="1001" w:type="pct"/>
            <w:vAlign w:val="center"/>
          </w:tcPr>
          <w:p w14:paraId="3BA97B46" w14:textId="77777777" w:rsidR="00A80E97" w:rsidRPr="00781112" w:rsidRDefault="00A80E97" w:rsidP="004E5C74">
            <w:pPr>
              <w:spacing w:before="0" w:after="0"/>
              <w:jc w:val="center"/>
              <w:rPr>
                <w:rFonts w:cs="Arial"/>
                <w:color w:val="000000" w:themeColor="text1"/>
                <w:szCs w:val="16"/>
              </w:rPr>
            </w:pPr>
            <w:r w:rsidRPr="00781112">
              <w:rPr>
                <w:rFonts w:cs="Arial"/>
                <w:color w:val="000000" w:themeColor="text1"/>
                <w:szCs w:val="16"/>
              </w:rPr>
              <w:t>A &gt;=</w:t>
            </w:r>
          </w:p>
        </w:tc>
        <w:tc>
          <w:tcPr>
            <w:tcW w:w="1001" w:type="pct"/>
            <w:vAlign w:val="center"/>
          </w:tcPr>
          <w:p w14:paraId="6FEB0B10" w14:textId="77777777" w:rsidR="00A80E97" w:rsidRPr="00781112" w:rsidDel="00DB0A73" w:rsidRDefault="00A80E97" w:rsidP="004E5C74">
            <w:pPr>
              <w:jc w:val="center"/>
              <w:rPr>
                <w:rFonts w:cs="Arial"/>
                <w:color w:val="000000" w:themeColor="text1"/>
                <w:szCs w:val="16"/>
              </w:rPr>
            </w:pPr>
            <w:r w:rsidRPr="00781112">
              <w:rPr>
                <w:rFonts w:cs="Arial"/>
                <w:color w:val="000000" w:themeColor="text1"/>
                <w:szCs w:val="16"/>
              </w:rPr>
              <w:t>Grade 4</w:t>
            </w:r>
          </w:p>
        </w:tc>
        <w:tc>
          <w:tcPr>
            <w:tcW w:w="1001" w:type="pct"/>
            <w:vAlign w:val="center"/>
          </w:tcPr>
          <w:p w14:paraId="27144E77" w14:textId="77777777" w:rsidR="00A80E97" w:rsidRPr="00781112" w:rsidRDefault="00A80E97" w:rsidP="004E5C74">
            <w:pPr>
              <w:jc w:val="center"/>
              <w:rPr>
                <w:rFonts w:cs="Arial"/>
                <w:color w:val="000000" w:themeColor="text1"/>
                <w:szCs w:val="16"/>
              </w:rPr>
            </w:pPr>
            <w:r w:rsidRPr="00781112">
              <w:rPr>
                <w:rFonts w:cs="Arial"/>
                <w:color w:val="000000" w:themeColor="text1"/>
                <w:szCs w:val="16"/>
              </w:rPr>
              <w:t>20.00%</w:t>
            </w:r>
          </w:p>
        </w:tc>
        <w:tc>
          <w:tcPr>
            <w:tcW w:w="1001" w:type="pct"/>
            <w:vAlign w:val="center"/>
          </w:tcPr>
          <w:p w14:paraId="5112E334" w14:textId="77777777" w:rsidR="00A80E97" w:rsidRPr="00781112" w:rsidRDefault="00A80E97" w:rsidP="004E5C74">
            <w:pPr>
              <w:jc w:val="center"/>
              <w:rPr>
                <w:rFonts w:cs="Arial"/>
                <w:color w:val="000000" w:themeColor="text1"/>
                <w:szCs w:val="16"/>
              </w:rPr>
            </w:pPr>
            <w:r w:rsidRPr="00781112">
              <w:rPr>
                <w:rFonts w:cs="Arial"/>
                <w:color w:val="000000" w:themeColor="text1"/>
                <w:szCs w:val="16"/>
              </w:rPr>
              <w:t>20.50%</w:t>
            </w:r>
          </w:p>
        </w:tc>
      </w:tr>
      <w:tr w:rsidR="00A80E97" w:rsidRPr="00781112" w14:paraId="30A93E88" w14:textId="77777777" w:rsidTr="00924AD9">
        <w:tc>
          <w:tcPr>
            <w:tcW w:w="997" w:type="pct"/>
            <w:vAlign w:val="center"/>
          </w:tcPr>
          <w:p w14:paraId="769CDB6D" w14:textId="77777777" w:rsidR="00A80E97" w:rsidRPr="00781112" w:rsidRDefault="00A80E97" w:rsidP="004E5C74">
            <w:pPr>
              <w:spacing w:before="0" w:after="0"/>
              <w:jc w:val="center"/>
              <w:rPr>
                <w:rFonts w:cs="Arial"/>
                <w:color w:val="000000" w:themeColor="text1"/>
                <w:szCs w:val="16"/>
              </w:rPr>
            </w:pPr>
            <w:r w:rsidRPr="00781112">
              <w:rPr>
                <w:rFonts w:cs="Arial"/>
                <w:color w:val="000000" w:themeColor="text1"/>
                <w:szCs w:val="16"/>
              </w:rPr>
              <w:t>Math</w:t>
            </w:r>
          </w:p>
        </w:tc>
        <w:tc>
          <w:tcPr>
            <w:tcW w:w="1001" w:type="pct"/>
            <w:vAlign w:val="center"/>
          </w:tcPr>
          <w:p w14:paraId="7A9AC94C" w14:textId="77777777" w:rsidR="00A80E97" w:rsidRPr="00781112" w:rsidRDefault="00A80E97" w:rsidP="004E5C74">
            <w:pPr>
              <w:spacing w:before="0" w:after="0"/>
              <w:jc w:val="center"/>
              <w:rPr>
                <w:rFonts w:cs="Arial"/>
                <w:color w:val="000000" w:themeColor="text1"/>
                <w:szCs w:val="16"/>
              </w:rPr>
            </w:pPr>
            <w:r w:rsidRPr="00781112">
              <w:rPr>
                <w:rFonts w:cs="Arial"/>
                <w:color w:val="000000" w:themeColor="text1"/>
                <w:szCs w:val="16"/>
              </w:rPr>
              <w:t>B &gt;=</w:t>
            </w:r>
          </w:p>
        </w:tc>
        <w:tc>
          <w:tcPr>
            <w:tcW w:w="1001" w:type="pct"/>
            <w:vAlign w:val="center"/>
          </w:tcPr>
          <w:p w14:paraId="1F296D9C" w14:textId="77777777" w:rsidR="00A80E97" w:rsidRPr="00781112" w:rsidDel="00DB0A73" w:rsidRDefault="00A80E97" w:rsidP="004E5C74">
            <w:pPr>
              <w:jc w:val="center"/>
              <w:rPr>
                <w:rFonts w:cs="Arial"/>
                <w:color w:val="000000" w:themeColor="text1"/>
                <w:szCs w:val="16"/>
              </w:rPr>
            </w:pPr>
            <w:r w:rsidRPr="00781112">
              <w:rPr>
                <w:rFonts w:cs="Arial"/>
                <w:color w:val="000000" w:themeColor="text1"/>
                <w:szCs w:val="16"/>
              </w:rPr>
              <w:t>Grade 8</w:t>
            </w:r>
          </w:p>
        </w:tc>
        <w:tc>
          <w:tcPr>
            <w:tcW w:w="1001" w:type="pct"/>
            <w:vAlign w:val="center"/>
          </w:tcPr>
          <w:p w14:paraId="135EBD09" w14:textId="77777777" w:rsidR="00A80E97" w:rsidRPr="00781112" w:rsidRDefault="00A80E97" w:rsidP="004E5C74">
            <w:pPr>
              <w:jc w:val="center"/>
              <w:rPr>
                <w:rFonts w:cs="Arial"/>
                <w:color w:val="000000" w:themeColor="text1"/>
                <w:szCs w:val="16"/>
              </w:rPr>
            </w:pPr>
            <w:r w:rsidRPr="00781112">
              <w:rPr>
                <w:rFonts w:cs="Arial"/>
                <w:color w:val="000000" w:themeColor="text1"/>
                <w:szCs w:val="16"/>
              </w:rPr>
              <w:t>7.50%</w:t>
            </w:r>
          </w:p>
        </w:tc>
        <w:tc>
          <w:tcPr>
            <w:tcW w:w="1001" w:type="pct"/>
            <w:vAlign w:val="center"/>
          </w:tcPr>
          <w:p w14:paraId="3486C10F" w14:textId="77777777" w:rsidR="00A80E97" w:rsidRPr="00781112" w:rsidRDefault="00A80E97" w:rsidP="004E5C74">
            <w:pPr>
              <w:jc w:val="center"/>
              <w:rPr>
                <w:rFonts w:cs="Arial"/>
                <w:color w:val="000000" w:themeColor="text1"/>
                <w:szCs w:val="16"/>
              </w:rPr>
            </w:pPr>
            <w:r w:rsidRPr="00781112">
              <w:rPr>
                <w:rFonts w:cs="Arial"/>
                <w:color w:val="000000" w:themeColor="text1"/>
                <w:szCs w:val="16"/>
              </w:rPr>
              <w:t>8.00%</w:t>
            </w:r>
          </w:p>
        </w:tc>
      </w:tr>
      <w:tr w:rsidR="00A80E97" w:rsidRPr="00781112" w14:paraId="77D20676" w14:textId="77777777" w:rsidTr="00924AD9">
        <w:tc>
          <w:tcPr>
            <w:tcW w:w="997" w:type="pct"/>
            <w:vAlign w:val="center"/>
          </w:tcPr>
          <w:p w14:paraId="67D0B854" w14:textId="77777777" w:rsidR="00A80E97" w:rsidRPr="00781112" w:rsidRDefault="00A80E97" w:rsidP="004E5C74">
            <w:pPr>
              <w:spacing w:before="0" w:after="0"/>
              <w:jc w:val="center"/>
              <w:rPr>
                <w:rFonts w:cs="Arial"/>
                <w:color w:val="000000" w:themeColor="text1"/>
                <w:szCs w:val="16"/>
              </w:rPr>
            </w:pPr>
            <w:r w:rsidRPr="00781112">
              <w:rPr>
                <w:rFonts w:cs="Arial"/>
                <w:color w:val="000000" w:themeColor="text1"/>
                <w:szCs w:val="16"/>
              </w:rPr>
              <w:t>Math</w:t>
            </w:r>
          </w:p>
        </w:tc>
        <w:tc>
          <w:tcPr>
            <w:tcW w:w="1001" w:type="pct"/>
            <w:vAlign w:val="center"/>
          </w:tcPr>
          <w:p w14:paraId="4D3C4EF3" w14:textId="77777777" w:rsidR="00A80E97" w:rsidRPr="00781112" w:rsidRDefault="00A80E97" w:rsidP="004E5C74">
            <w:pPr>
              <w:spacing w:before="0" w:after="0"/>
              <w:jc w:val="center"/>
              <w:rPr>
                <w:rFonts w:cs="Arial"/>
                <w:color w:val="000000" w:themeColor="text1"/>
                <w:szCs w:val="16"/>
              </w:rPr>
            </w:pPr>
            <w:r w:rsidRPr="00781112">
              <w:rPr>
                <w:rFonts w:cs="Arial"/>
                <w:color w:val="000000" w:themeColor="text1"/>
                <w:szCs w:val="16"/>
              </w:rPr>
              <w:t>C &gt;=</w:t>
            </w:r>
          </w:p>
        </w:tc>
        <w:tc>
          <w:tcPr>
            <w:tcW w:w="1001" w:type="pct"/>
            <w:vAlign w:val="center"/>
          </w:tcPr>
          <w:p w14:paraId="1DAD915A" w14:textId="77777777" w:rsidR="00A80E97" w:rsidRPr="00781112" w:rsidDel="00DB0A73" w:rsidRDefault="00A80E97" w:rsidP="004E5C74">
            <w:pPr>
              <w:jc w:val="center"/>
              <w:rPr>
                <w:rFonts w:cs="Arial"/>
                <w:color w:val="000000" w:themeColor="text1"/>
                <w:szCs w:val="16"/>
              </w:rPr>
            </w:pPr>
            <w:r w:rsidRPr="00781112">
              <w:rPr>
                <w:rFonts w:cs="Arial"/>
                <w:color w:val="000000" w:themeColor="text1"/>
                <w:szCs w:val="16"/>
              </w:rPr>
              <w:t>Grade HS</w:t>
            </w:r>
          </w:p>
        </w:tc>
        <w:tc>
          <w:tcPr>
            <w:tcW w:w="1001" w:type="pct"/>
            <w:vAlign w:val="center"/>
          </w:tcPr>
          <w:p w14:paraId="26ADF1B4" w14:textId="77777777" w:rsidR="00A80E97" w:rsidRPr="00781112" w:rsidRDefault="00A80E97" w:rsidP="004E5C74">
            <w:pPr>
              <w:jc w:val="center"/>
              <w:rPr>
                <w:rFonts w:cs="Arial"/>
                <w:color w:val="000000" w:themeColor="text1"/>
                <w:szCs w:val="16"/>
              </w:rPr>
            </w:pPr>
            <w:r w:rsidRPr="00781112">
              <w:rPr>
                <w:rFonts w:cs="Arial"/>
                <w:color w:val="000000" w:themeColor="text1"/>
                <w:szCs w:val="16"/>
              </w:rPr>
              <w:t>5.00%</w:t>
            </w:r>
          </w:p>
        </w:tc>
        <w:tc>
          <w:tcPr>
            <w:tcW w:w="1001" w:type="pct"/>
            <w:vAlign w:val="center"/>
          </w:tcPr>
          <w:p w14:paraId="7A1E4F38" w14:textId="77777777" w:rsidR="00A80E97" w:rsidRPr="00781112" w:rsidRDefault="00A80E97" w:rsidP="004E5C74">
            <w:pPr>
              <w:jc w:val="center"/>
              <w:rPr>
                <w:rFonts w:cs="Arial"/>
                <w:color w:val="000000" w:themeColor="text1"/>
                <w:szCs w:val="16"/>
              </w:rPr>
            </w:pPr>
            <w:r w:rsidRPr="00781112">
              <w:rPr>
                <w:rFonts w:cs="Arial"/>
                <w:color w:val="000000" w:themeColor="text1"/>
                <w:szCs w:val="16"/>
              </w:rPr>
              <w:t>5.50%</w:t>
            </w:r>
          </w:p>
        </w:tc>
      </w:tr>
    </w:tbl>
    <w:p w14:paraId="4F4EC518" w14:textId="77777777" w:rsidR="002D145D" w:rsidRPr="00781112" w:rsidRDefault="002D145D" w:rsidP="004369B2">
      <w:pPr>
        <w:rPr>
          <w:b/>
          <w:color w:val="000000" w:themeColor="text1"/>
        </w:rPr>
      </w:pPr>
      <w:r w:rsidRPr="00781112">
        <w:rPr>
          <w:b/>
          <w:color w:val="000000" w:themeColor="text1"/>
        </w:rPr>
        <w:t xml:space="preserve">Targets: Description of Stakeholder Input </w:t>
      </w:r>
    </w:p>
    <w:p w14:paraId="1BEBF6AC" w14:textId="77777777" w:rsidR="002D145D" w:rsidRPr="00781112" w:rsidRDefault="002B7490" w:rsidP="002D145D">
      <w:pPr>
        <w:rPr>
          <w:rFonts w:cs="Arial"/>
          <w:color w:val="000000" w:themeColor="text1"/>
          <w:szCs w:val="16"/>
        </w:rPr>
      </w:pPr>
      <w:r w:rsidRPr="00781112">
        <w:rPr>
          <w:rFonts w:cs="Arial"/>
          <w:color w:val="000000" w:themeColor="text1"/>
          <w:szCs w:val="16"/>
        </w:rPr>
        <w:t>WVDE/OSE maintains robust stakeholder engagement through multiple communication and collaboration channels:</w:t>
      </w:r>
    </w:p>
    <w:p w14:paraId="4662ECDD" w14:textId="77777777" w:rsidR="00CA787A" w:rsidRDefault="003169E9">
      <w:r>
        <w:rPr>
          <w:color w:val="000000"/>
        </w:rPr>
        <w:t>*DIRECT COMMUNICATION/CONSULTATION*</w:t>
      </w:r>
    </w:p>
    <w:p w14:paraId="5C25C5F5" w14:textId="77777777" w:rsidR="00CA787A" w:rsidRDefault="003169E9">
      <w:r>
        <w:rPr>
          <w:color w:val="000000"/>
        </w:rPr>
        <w:t>—Engaging in one-on-one calls with parents, advocates, educators, and community stakeholders.</w:t>
      </w:r>
    </w:p>
    <w:p w14:paraId="30282285" w14:textId="77777777" w:rsidR="00CA787A" w:rsidRDefault="003169E9">
      <w:r>
        <w:rPr>
          <w:color w:val="000000"/>
        </w:rPr>
        <w:t>—Distributing emails and surveys to solicit input from diverse stakeholder groups.</w:t>
      </w:r>
    </w:p>
    <w:p w14:paraId="0EC10BFB" w14:textId="77777777" w:rsidR="00CA787A" w:rsidRDefault="003169E9">
      <w:r>
        <w:rPr>
          <w:color w:val="000000"/>
        </w:rPr>
        <w:t>—Hosting bi-monthly secondary transition office hours to address Indicator 13 compliance and results, and to provide technical assistance for IEP development.</w:t>
      </w:r>
    </w:p>
    <w:p w14:paraId="1EF5507C" w14:textId="77777777" w:rsidR="00CA787A" w:rsidRDefault="003169E9">
      <w:r>
        <w:rPr>
          <w:color w:val="000000"/>
        </w:rPr>
        <w:t>—Monthly virtual meetings with stakeholders to identify and troubleshoot areas of concern throughout the state.</w:t>
      </w:r>
    </w:p>
    <w:p w14:paraId="441D76A5" w14:textId="77777777" w:rsidR="00CA787A" w:rsidRDefault="003169E9">
      <w:r>
        <w:rPr>
          <w:color w:val="000000"/>
        </w:rPr>
        <w:t>*INFORMATION SHARING*</w:t>
      </w:r>
    </w:p>
    <w:p w14:paraId="395D6A5D" w14:textId="77777777" w:rsidR="00CA787A" w:rsidRDefault="003169E9">
      <w:r>
        <w:rPr>
          <w:color w:val="000000"/>
        </w:rPr>
        <w:t>—Utilizing a dedicated Microsoft Teams platform for communication with LEAs.</w:t>
      </w:r>
    </w:p>
    <w:p w14:paraId="4FC64421" w14:textId="77777777" w:rsidR="00CA787A" w:rsidRDefault="003169E9">
      <w:r>
        <w:rPr>
          <w:color w:val="000000"/>
        </w:rPr>
        <w:t>—Maintaining a public input form on the WVDE website specifically for SSIP feedback.</w:t>
      </w:r>
    </w:p>
    <w:p w14:paraId="043097BC" w14:textId="77777777" w:rsidR="00CA787A" w:rsidRDefault="003169E9">
      <w:r>
        <w:rPr>
          <w:color w:val="000000"/>
        </w:rPr>
        <w:lastRenderedPageBreak/>
        <w:t xml:space="preserve">—Collecting input from parents, students, and school personnel as required components of monitoring activities. </w:t>
      </w:r>
    </w:p>
    <w:p w14:paraId="5739B06E" w14:textId="77777777" w:rsidR="00CA787A" w:rsidRDefault="003169E9">
      <w:r>
        <w:rPr>
          <w:color w:val="000000"/>
        </w:rPr>
        <w:t>—Facilitating cross-office communication and coordination on general and special education initiatives.</w:t>
      </w:r>
    </w:p>
    <w:p w14:paraId="5B326172" w14:textId="77777777" w:rsidR="00CA787A" w:rsidRDefault="003169E9">
      <w:r>
        <w:rPr>
          <w:color w:val="000000"/>
        </w:rPr>
        <w:t>*COLLABORATIVE PARTNERSHIPS*</w:t>
      </w:r>
    </w:p>
    <w:p w14:paraId="36D14B6D" w14:textId="77777777" w:rsidR="00CA787A" w:rsidRDefault="003169E9">
      <w:r>
        <w:rPr>
          <w:color w:val="000000"/>
        </w:rPr>
        <w:t>—Engaging in ongoing meetings and interagency teams dedicated to enhancing outcomes for individuals with disabilities.</w:t>
      </w:r>
    </w:p>
    <w:p w14:paraId="1647557D" w14:textId="77777777" w:rsidR="00CA787A" w:rsidRDefault="003169E9">
      <w:r>
        <w:rPr>
          <w:color w:val="000000"/>
        </w:rPr>
        <w:t>—Ensuring the state director's active participation in all WVACEEC meetings, including involvement in sessions, capacity-building efforts, and feedback collection from LEAs, parents, and community organizations.</w:t>
      </w:r>
    </w:p>
    <w:p w14:paraId="49A75B6D" w14:textId="77777777" w:rsidR="00CA787A" w:rsidRDefault="003169E9">
      <w:r>
        <w:rPr>
          <w:color w:val="000000"/>
        </w:rPr>
        <w:t>—Maintaining regular meetings and collaborative relationships with legislators, advocacy organizations, educator associations, and other stakeholders to strengthen stakeholder knowledge of IDEA procedures, improve SEA-stakeholder dialogue, and collaboratively develop strategies for ongoing improvement toward special education goals (e.g., the Developmental Disability Council (DD Council), Statewide Independent Living Council (SILC), State Rehabilitation Council (SRC), Employment First Task Force, Olmstead Council).</w:t>
      </w:r>
    </w:p>
    <w:p w14:paraId="346B3539" w14:textId="77777777" w:rsidR="002D145D" w:rsidRPr="00781112" w:rsidRDefault="002B7490" w:rsidP="002D145D">
      <w:pPr>
        <w:rPr>
          <w:rFonts w:cs="Arial"/>
          <w:color w:val="000000" w:themeColor="text1"/>
          <w:szCs w:val="16"/>
        </w:rPr>
      </w:pPr>
      <w:r w:rsidRPr="00781112">
        <w:rPr>
          <w:rFonts w:cs="Arial"/>
          <w:color w:val="000000" w:themeColor="text1"/>
          <w:szCs w:val="16"/>
        </w:rPr>
        <w:t>Stakeholders did not indicate any interest in revising the Assessment Proficiency (grade-level standards) targets during meetings held throughout the reporting period. However, WVDE/OSE remains open to considering any concerns or recommendations stakeholders may have regarding these targets.</w:t>
      </w:r>
    </w:p>
    <w:p w14:paraId="0FE59045" w14:textId="77777777" w:rsidR="00F20369" w:rsidRPr="00781112" w:rsidRDefault="00F20369" w:rsidP="004369B2">
      <w:pPr>
        <w:rPr>
          <w:color w:val="000000" w:themeColor="text1"/>
        </w:rPr>
      </w:pPr>
      <w:bookmarkStart w:id="14" w:name="_Toc392159273"/>
    </w:p>
    <w:p w14:paraId="74DC6242" w14:textId="77777777" w:rsidR="00344AE0" w:rsidRPr="00781112" w:rsidRDefault="00FA33C9">
      <w:pPr>
        <w:rPr>
          <w:b/>
          <w:color w:val="000000" w:themeColor="text1"/>
        </w:rPr>
      </w:pPr>
      <w:r>
        <w:rPr>
          <w:b/>
          <w:color w:val="000000" w:themeColor="text1"/>
        </w:rPr>
        <w:t xml:space="preserve">FFY 2024 Data Disaggregation from </w:t>
      </w:r>
      <w:proofErr w:type="spellStart"/>
      <w:r>
        <w:rPr>
          <w:b/>
          <w:color w:val="000000" w:themeColor="text1"/>
        </w:rPr>
        <w:t>ED</w:t>
      </w:r>
      <w:r w:rsidRPr="00BA3DBE">
        <w:rPr>
          <w:b/>
          <w:i/>
          <w:iCs/>
          <w:color w:val="000000" w:themeColor="text1"/>
        </w:rPr>
        <w:t>Facts</w:t>
      </w:r>
      <w:proofErr w:type="spellEnd"/>
    </w:p>
    <w:p w14:paraId="45B26AD9" w14:textId="77777777" w:rsidR="00C01339" w:rsidRPr="00781112" w:rsidRDefault="00344AE0" w:rsidP="00552927">
      <w:pPr>
        <w:rPr>
          <w:rFonts w:cs="Arial"/>
          <w:b/>
          <w:color w:val="000000" w:themeColor="text1"/>
          <w:szCs w:val="16"/>
        </w:rPr>
      </w:pPr>
      <w:r w:rsidRPr="00781112">
        <w:rPr>
          <w:rFonts w:cs="Arial"/>
          <w:b/>
          <w:color w:val="000000" w:themeColor="text1"/>
          <w:szCs w:val="16"/>
        </w:rPr>
        <w:t xml:space="preserve">Data Source:  </w:t>
      </w:r>
    </w:p>
    <w:p w14:paraId="68B9DDD2" w14:textId="77777777" w:rsidR="00C470E8" w:rsidRPr="00781112" w:rsidRDefault="002B7490" w:rsidP="00552927">
      <w:pPr>
        <w:rPr>
          <w:rFonts w:cs="Arial"/>
          <w:color w:val="000000" w:themeColor="text1"/>
          <w:szCs w:val="16"/>
        </w:rPr>
      </w:pPr>
      <w:r w:rsidRPr="00781112">
        <w:rPr>
          <w:rFonts w:cs="Arial"/>
          <w:color w:val="000000" w:themeColor="text1"/>
          <w:szCs w:val="16"/>
        </w:rPr>
        <w:t>SY 2024-25 Academic Achievement in Reading/Language Arts (</w:t>
      </w:r>
      <w:proofErr w:type="spellStart"/>
      <w:r w:rsidRPr="00781112">
        <w:rPr>
          <w:rFonts w:cs="Arial"/>
          <w:color w:val="000000" w:themeColor="text1"/>
          <w:szCs w:val="16"/>
        </w:rPr>
        <w:t>EDFacts</w:t>
      </w:r>
      <w:proofErr w:type="spellEnd"/>
      <w:r w:rsidRPr="00781112">
        <w:rPr>
          <w:rFonts w:cs="Arial"/>
          <w:color w:val="000000" w:themeColor="text1"/>
          <w:szCs w:val="16"/>
        </w:rPr>
        <w:t xml:space="preserve"> file spec FS178; Data Group: 876, 877)</w:t>
      </w:r>
    </w:p>
    <w:p w14:paraId="3D7FBD12" w14:textId="77777777" w:rsidR="00C01339" w:rsidRPr="00781112" w:rsidRDefault="00344AE0" w:rsidP="00552927">
      <w:pPr>
        <w:rPr>
          <w:rFonts w:cs="Arial"/>
          <w:b/>
          <w:color w:val="000000" w:themeColor="text1"/>
          <w:szCs w:val="16"/>
        </w:rPr>
      </w:pPr>
      <w:r w:rsidRPr="00781112">
        <w:rPr>
          <w:rFonts w:cs="Arial"/>
          <w:b/>
          <w:color w:val="000000" w:themeColor="text1"/>
          <w:szCs w:val="16"/>
        </w:rPr>
        <w:t xml:space="preserve">Date: </w:t>
      </w:r>
    </w:p>
    <w:p w14:paraId="68853813" w14:textId="77777777" w:rsidR="00344AE0" w:rsidRPr="00781112" w:rsidRDefault="002B7490" w:rsidP="00552927">
      <w:pPr>
        <w:rPr>
          <w:rFonts w:cs="Arial"/>
          <w:color w:val="000000" w:themeColor="text1"/>
          <w:szCs w:val="16"/>
        </w:rPr>
      </w:pPr>
      <w:r w:rsidRPr="00781112">
        <w:rPr>
          <w:rFonts w:cs="Arial"/>
          <w:color w:val="000000" w:themeColor="text1"/>
          <w:szCs w:val="16"/>
        </w:rPr>
        <w:t>01/07/2026</w:t>
      </w:r>
    </w:p>
    <w:p w14:paraId="59C51741" w14:textId="77777777" w:rsidR="009D0D68" w:rsidRPr="00781112" w:rsidRDefault="00FE2056">
      <w:pPr>
        <w:rPr>
          <w:b/>
          <w:color w:val="000000" w:themeColor="text1"/>
        </w:rPr>
      </w:pPr>
      <w:r w:rsidRPr="00781112">
        <w:rPr>
          <w:b/>
          <w:color w:val="000000" w:themeColor="text1"/>
        </w:rPr>
        <w:t>Reading Assessment Proficiency Data by Grade (1)</w:t>
      </w:r>
    </w:p>
    <w:tbl>
      <w:tblPr>
        <w:tblStyle w:val="TableGrid"/>
        <w:tblW w:w="5000" w:type="pct"/>
        <w:tblLayout w:type="fixed"/>
        <w:tblLook w:val="04A0" w:firstRow="1" w:lastRow="0" w:firstColumn="1" w:lastColumn="0" w:noHBand="0" w:noVBand="1"/>
        <w:tblCaption w:val="B03BASSPARTDATABYGRDRLA"/>
      </w:tblPr>
      <w:tblGrid>
        <w:gridCol w:w="2426"/>
        <w:gridCol w:w="2788"/>
        <w:gridCol w:w="2788"/>
        <w:gridCol w:w="2788"/>
      </w:tblGrid>
      <w:tr w:rsidR="00BB2745" w:rsidRPr="00781112" w14:paraId="7286F439" w14:textId="77777777" w:rsidTr="009E026B">
        <w:tc>
          <w:tcPr>
            <w:tcW w:w="1124" w:type="pct"/>
          </w:tcPr>
          <w:p w14:paraId="7919F718" w14:textId="77777777" w:rsidR="00BB2745" w:rsidRPr="00781112" w:rsidRDefault="00835EAD" w:rsidP="00BB2745">
            <w:pPr>
              <w:jc w:val="center"/>
              <w:rPr>
                <w:rFonts w:cs="Arial"/>
                <w:b/>
                <w:bCs/>
                <w:color w:val="000000" w:themeColor="text1"/>
                <w:szCs w:val="16"/>
              </w:rPr>
            </w:pPr>
            <w:r w:rsidRPr="00781112">
              <w:rPr>
                <w:rFonts w:cs="Arial"/>
                <w:b/>
                <w:bCs/>
                <w:color w:val="000000" w:themeColor="text1"/>
                <w:szCs w:val="16"/>
              </w:rPr>
              <w:t>Group</w:t>
            </w:r>
          </w:p>
        </w:tc>
        <w:tc>
          <w:tcPr>
            <w:tcW w:w="1292" w:type="pct"/>
            <w:vAlign w:val="center"/>
          </w:tcPr>
          <w:p w14:paraId="742955CB" w14:textId="77777777" w:rsidR="00BB2745" w:rsidRPr="00781112" w:rsidRDefault="00BB2745" w:rsidP="00196CE6">
            <w:pPr>
              <w:jc w:val="center"/>
              <w:rPr>
                <w:rFonts w:cs="Arial"/>
                <w:b/>
                <w:bCs/>
                <w:color w:val="000000" w:themeColor="text1"/>
                <w:szCs w:val="16"/>
              </w:rPr>
            </w:pPr>
            <w:r w:rsidRPr="00781112">
              <w:rPr>
                <w:rFonts w:cs="Arial"/>
                <w:b/>
                <w:bCs/>
                <w:color w:val="000000" w:themeColor="text1"/>
                <w:szCs w:val="16"/>
              </w:rPr>
              <w:t>Grade 4</w:t>
            </w:r>
          </w:p>
        </w:tc>
        <w:tc>
          <w:tcPr>
            <w:tcW w:w="1292" w:type="pct"/>
            <w:vAlign w:val="center"/>
          </w:tcPr>
          <w:p w14:paraId="70CD332C" w14:textId="77777777" w:rsidR="00BB2745" w:rsidRPr="00781112" w:rsidRDefault="00BB2745" w:rsidP="00315E88">
            <w:pPr>
              <w:jc w:val="center"/>
              <w:rPr>
                <w:rFonts w:cs="Arial"/>
                <w:b/>
                <w:bCs/>
                <w:color w:val="000000" w:themeColor="text1"/>
                <w:szCs w:val="16"/>
              </w:rPr>
            </w:pPr>
            <w:r w:rsidRPr="00781112">
              <w:rPr>
                <w:rFonts w:cs="Arial"/>
                <w:b/>
                <w:bCs/>
                <w:color w:val="000000" w:themeColor="text1"/>
                <w:szCs w:val="16"/>
              </w:rPr>
              <w:t>Grade 8</w:t>
            </w:r>
          </w:p>
        </w:tc>
        <w:tc>
          <w:tcPr>
            <w:tcW w:w="1292" w:type="pct"/>
            <w:vAlign w:val="center"/>
          </w:tcPr>
          <w:p w14:paraId="0B310484" w14:textId="77777777" w:rsidR="00BB2745" w:rsidRPr="00781112" w:rsidRDefault="00BB2745" w:rsidP="00E14CF0">
            <w:pPr>
              <w:jc w:val="center"/>
              <w:rPr>
                <w:rFonts w:cs="Arial"/>
                <w:b/>
                <w:bCs/>
                <w:color w:val="000000" w:themeColor="text1"/>
                <w:szCs w:val="16"/>
              </w:rPr>
            </w:pPr>
            <w:r w:rsidRPr="00781112">
              <w:rPr>
                <w:rFonts w:cs="Arial"/>
                <w:b/>
                <w:bCs/>
                <w:color w:val="000000" w:themeColor="text1"/>
                <w:szCs w:val="16"/>
              </w:rPr>
              <w:t>Grade HS</w:t>
            </w:r>
          </w:p>
        </w:tc>
      </w:tr>
      <w:tr w:rsidR="003B0C91" w:rsidRPr="00781112" w14:paraId="4709C042" w14:textId="77777777" w:rsidTr="009E026B">
        <w:tc>
          <w:tcPr>
            <w:tcW w:w="1124" w:type="pct"/>
          </w:tcPr>
          <w:p w14:paraId="3E54185B" w14:textId="77777777" w:rsidR="003B0C91" w:rsidRPr="00781112" w:rsidRDefault="003B0C91" w:rsidP="003B0C91">
            <w:pPr>
              <w:rPr>
                <w:rFonts w:cs="Arial"/>
                <w:color w:val="000000" w:themeColor="text1"/>
                <w:szCs w:val="16"/>
              </w:rPr>
            </w:pPr>
            <w:r w:rsidRPr="00781112">
              <w:rPr>
                <w:rFonts w:cs="Arial"/>
                <w:szCs w:val="16"/>
                <w:shd w:val="clear" w:color="auto" w:fill="FFFFFF"/>
              </w:rPr>
              <w:t>a. Children with IEPs who received a valid score and a proficiency level was assigned for the regular assessment</w:t>
            </w:r>
          </w:p>
        </w:tc>
        <w:tc>
          <w:tcPr>
            <w:tcW w:w="1292" w:type="pct"/>
            <w:vAlign w:val="center"/>
          </w:tcPr>
          <w:p w14:paraId="3B373965" w14:textId="77777777" w:rsidR="003B0C91" w:rsidRPr="00781112" w:rsidRDefault="003B0C91" w:rsidP="00360DD6">
            <w:pPr>
              <w:jc w:val="center"/>
              <w:rPr>
                <w:rFonts w:cs="Arial"/>
                <w:color w:val="000000" w:themeColor="text1"/>
                <w:szCs w:val="16"/>
              </w:rPr>
            </w:pPr>
            <w:r w:rsidRPr="00781112">
              <w:rPr>
                <w:rFonts w:cs="Arial"/>
                <w:color w:val="000000" w:themeColor="text1"/>
                <w:szCs w:val="16"/>
              </w:rPr>
              <w:t>4,009</w:t>
            </w:r>
          </w:p>
        </w:tc>
        <w:tc>
          <w:tcPr>
            <w:tcW w:w="1292" w:type="pct"/>
            <w:vAlign w:val="center"/>
          </w:tcPr>
          <w:p w14:paraId="50A1A577" w14:textId="77777777" w:rsidR="003B0C91" w:rsidRPr="00781112" w:rsidRDefault="003B0C91" w:rsidP="00360DD6">
            <w:pPr>
              <w:jc w:val="center"/>
              <w:rPr>
                <w:rFonts w:cs="Arial"/>
                <w:color w:val="000000" w:themeColor="text1"/>
                <w:szCs w:val="16"/>
              </w:rPr>
            </w:pPr>
            <w:r w:rsidRPr="00781112">
              <w:rPr>
                <w:rFonts w:cs="Arial"/>
                <w:color w:val="000000" w:themeColor="text1"/>
                <w:szCs w:val="16"/>
              </w:rPr>
              <w:t>3,363</w:t>
            </w:r>
          </w:p>
        </w:tc>
        <w:tc>
          <w:tcPr>
            <w:tcW w:w="1292" w:type="pct"/>
            <w:vAlign w:val="center"/>
          </w:tcPr>
          <w:p w14:paraId="6455B4E6" w14:textId="77777777" w:rsidR="003B0C91" w:rsidRPr="00781112" w:rsidRDefault="003B0C91" w:rsidP="00360DD6">
            <w:pPr>
              <w:jc w:val="center"/>
              <w:rPr>
                <w:rFonts w:cs="Arial"/>
                <w:color w:val="000000" w:themeColor="text1"/>
                <w:szCs w:val="16"/>
              </w:rPr>
            </w:pPr>
            <w:r w:rsidRPr="00781112">
              <w:rPr>
                <w:rFonts w:cs="Arial"/>
                <w:color w:val="000000" w:themeColor="text1"/>
                <w:szCs w:val="16"/>
              </w:rPr>
              <w:t>2,437</w:t>
            </w:r>
          </w:p>
        </w:tc>
      </w:tr>
      <w:tr w:rsidR="003B0C91" w:rsidRPr="00781112" w14:paraId="3420F4F2" w14:textId="77777777" w:rsidTr="009E026B">
        <w:tc>
          <w:tcPr>
            <w:tcW w:w="1124" w:type="pct"/>
          </w:tcPr>
          <w:p w14:paraId="5C21829C" w14:textId="77777777" w:rsidR="003B0C91" w:rsidRPr="00781112" w:rsidRDefault="003B0C91" w:rsidP="003B0C91">
            <w:pPr>
              <w:rPr>
                <w:rFonts w:cs="Arial"/>
                <w:color w:val="000000" w:themeColor="text1"/>
                <w:szCs w:val="16"/>
              </w:rPr>
            </w:pPr>
            <w:r w:rsidRPr="00781112">
              <w:rPr>
                <w:rFonts w:cs="Arial"/>
                <w:szCs w:val="16"/>
                <w:shd w:val="clear" w:color="auto" w:fill="FFFFFF"/>
              </w:rPr>
              <w:t xml:space="preserve">b. </w:t>
            </w:r>
            <w:r w:rsidR="005527CB">
              <w:rPr>
                <w:rFonts w:cs="Arial"/>
                <w:color w:val="000000" w:themeColor="text1"/>
                <w:szCs w:val="16"/>
              </w:rPr>
              <w:t xml:space="preserve">Children with </w:t>
            </w:r>
            <w:r w:rsidRPr="00781112">
              <w:rPr>
                <w:rFonts w:cs="Arial"/>
                <w:szCs w:val="16"/>
                <w:shd w:val="clear" w:color="auto" w:fill="FFFFFF"/>
              </w:rPr>
              <w:t>IEPs in regular assessment with no accommodations scored at or above proficient against grade level</w:t>
            </w:r>
          </w:p>
        </w:tc>
        <w:tc>
          <w:tcPr>
            <w:tcW w:w="1292" w:type="pct"/>
            <w:vAlign w:val="center"/>
          </w:tcPr>
          <w:p w14:paraId="0C9C8453" w14:textId="77777777" w:rsidR="003B0C91" w:rsidRPr="00781112" w:rsidRDefault="003B0C91" w:rsidP="00360DD6">
            <w:pPr>
              <w:jc w:val="center"/>
              <w:rPr>
                <w:rFonts w:cs="Arial"/>
                <w:color w:val="000000" w:themeColor="text1"/>
                <w:szCs w:val="16"/>
              </w:rPr>
            </w:pPr>
            <w:r w:rsidRPr="00781112">
              <w:rPr>
                <w:rFonts w:cs="Arial"/>
                <w:color w:val="000000" w:themeColor="text1"/>
                <w:szCs w:val="16"/>
              </w:rPr>
              <w:t>428</w:t>
            </w:r>
          </w:p>
        </w:tc>
        <w:tc>
          <w:tcPr>
            <w:tcW w:w="1292" w:type="pct"/>
            <w:vAlign w:val="center"/>
          </w:tcPr>
          <w:p w14:paraId="6B8D1BF9" w14:textId="77777777" w:rsidR="003B0C91" w:rsidRPr="00781112" w:rsidRDefault="003B0C91" w:rsidP="00360DD6">
            <w:pPr>
              <w:jc w:val="center"/>
              <w:rPr>
                <w:rFonts w:cs="Arial"/>
                <w:color w:val="000000" w:themeColor="text1"/>
                <w:szCs w:val="16"/>
              </w:rPr>
            </w:pPr>
            <w:r w:rsidRPr="00781112">
              <w:rPr>
                <w:rFonts w:cs="Arial"/>
                <w:color w:val="000000" w:themeColor="text1"/>
                <w:szCs w:val="16"/>
              </w:rPr>
              <w:t>110</w:t>
            </w:r>
          </w:p>
        </w:tc>
        <w:tc>
          <w:tcPr>
            <w:tcW w:w="1292" w:type="pct"/>
            <w:vAlign w:val="center"/>
          </w:tcPr>
          <w:p w14:paraId="1F7705A9" w14:textId="77777777" w:rsidR="003B0C91" w:rsidRPr="00781112" w:rsidRDefault="003B0C91" w:rsidP="00360DD6">
            <w:pPr>
              <w:jc w:val="center"/>
              <w:rPr>
                <w:rFonts w:cs="Arial"/>
                <w:color w:val="000000" w:themeColor="text1"/>
                <w:szCs w:val="16"/>
              </w:rPr>
            </w:pPr>
            <w:r w:rsidRPr="00781112">
              <w:rPr>
                <w:rFonts w:cs="Arial"/>
                <w:color w:val="000000" w:themeColor="text1"/>
                <w:szCs w:val="16"/>
              </w:rPr>
              <w:t>170</w:t>
            </w:r>
          </w:p>
        </w:tc>
      </w:tr>
      <w:tr w:rsidR="003B0C91" w:rsidRPr="00781112" w14:paraId="4021640B" w14:textId="77777777" w:rsidTr="009E026B">
        <w:tc>
          <w:tcPr>
            <w:tcW w:w="1124" w:type="pct"/>
          </w:tcPr>
          <w:p w14:paraId="6F61A581" w14:textId="77777777" w:rsidR="003B0C91" w:rsidRPr="00781112" w:rsidRDefault="003B0C91" w:rsidP="003B0C91">
            <w:pPr>
              <w:rPr>
                <w:rFonts w:cs="Arial"/>
                <w:color w:val="000000" w:themeColor="text1"/>
                <w:szCs w:val="16"/>
              </w:rPr>
            </w:pPr>
            <w:r w:rsidRPr="00781112">
              <w:rPr>
                <w:rFonts w:cs="Arial"/>
                <w:szCs w:val="16"/>
                <w:shd w:val="clear" w:color="auto" w:fill="FFFFFF"/>
              </w:rPr>
              <w:t xml:space="preserve">c. </w:t>
            </w:r>
            <w:r w:rsidR="005527CB">
              <w:rPr>
                <w:rFonts w:cs="Arial"/>
                <w:color w:val="000000" w:themeColor="text1"/>
                <w:szCs w:val="16"/>
              </w:rPr>
              <w:t xml:space="preserve">Children with </w:t>
            </w:r>
            <w:r w:rsidRPr="00781112">
              <w:rPr>
                <w:rFonts w:cs="Arial"/>
                <w:szCs w:val="16"/>
                <w:shd w:val="clear" w:color="auto" w:fill="FFFFFF"/>
              </w:rPr>
              <w:t>IEPs in regular assessment with accommodations scored at or above proficient against grade level</w:t>
            </w:r>
          </w:p>
        </w:tc>
        <w:tc>
          <w:tcPr>
            <w:tcW w:w="1292" w:type="pct"/>
            <w:vAlign w:val="center"/>
          </w:tcPr>
          <w:p w14:paraId="10172B8B" w14:textId="77777777" w:rsidR="003B0C91" w:rsidRPr="00781112" w:rsidRDefault="003B0C91" w:rsidP="00360DD6">
            <w:pPr>
              <w:jc w:val="center"/>
              <w:rPr>
                <w:rFonts w:cs="Arial"/>
                <w:color w:val="000000" w:themeColor="text1"/>
                <w:szCs w:val="16"/>
              </w:rPr>
            </w:pPr>
            <w:r w:rsidRPr="00781112">
              <w:rPr>
                <w:rFonts w:cs="Arial"/>
                <w:color w:val="000000" w:themeColor="text1"/>
                <w:szCs w:val="16"/>
              </w:rPr>
              <w:t>315</w:t>
            </w:r>
          </w:p>
        </w:tc>
        <w:tc>
          <w:tcPr>
            <w:tcW w:w="1292" w:type="pct"/>
            <w:vAlign w:val="center"/>
          </w:tcPr>
          <w:p w14:paraId="63EE39B4" w14:textId="77777777" w:rsidR="003B0C91" w:rsidRPr="00781112" w:rsidRDefault="003B0C91" w:rsidP="00360DD6">
            <w:pPr>
              <w:jc w:val="center"/>
              <w:rPr>
                <w:rFonts w:cs="Arial"/>
                <w:color w:val="000000" w:themeColor="text1"/>
                <w:szCs w:val="16"/>
              </w:rPr>
            </w:pPr>
            <w:r w:rsidRPr="00781112">
              <w:rPr>
                <w:rFonts w:cs="Arial"/>
                <w:color w:val="000000" w:themeColor="text1"/>
                <w:szCs w:val="16"/>
              </w:rPr>
              <w:t>202</w:t>
            </w:r>
          </w:p>
        </w:tc>
        <w:tc>
          <w:tcPr>
            <w:tcW w:w="1292" w:type="pct"/>
            <w:vAlign w:val="center"/>
          </w:tcPr>
          <w:p w14:paraId="45288FCC" w14:textId="77777777" w:rsidR="003B0C91" w:rsidRPr="00781112" w:rsidRDefault="003B0C91" w:rsidP="00360DD6">
            <w:pPr>
              <w:jc w:val="center"/>
              <w:rPr>
                <w:rFonts w:cs="Arial"/>
                <w:color w:val="000000" w:themeColor="text1"/>
                <w:szCs w:val="16"/>
              </w:rPr>
            </w:pPr>
            <w:r w:rsidRPr="00781112">
              <w:rPr>
                <w:rFonts w:cs="Arial"/>
                <w:color w:val="000000" w:themeColor="text1"/>
                <w:szCs w:val="16"/>
              </w:rPr>
              <w:t>168</w:t>
            </w:r>
          </w:p>
        </w:tc>
      </w:tr>
    </w:tbl>
    <w:p w14:paraId="5C07D927" w14:textId="77777777" w:rsidR="00346807" w:rsidRPr="00781112" w:rsidRDefault="00346807">
      <w:pPr>
        <w:rPr>
          <w:b/>
          <w:color w:val="000000" w:themeColor="text1"/>
        </w:rPr>
      </w:pPr>
    </w:p>
    <w:p w14:paraId="3422A13C" w14:textId="77777777" w:rsidR="00C01339" w:rsidRPr="00781112" w:rsidRDefault="00382F22" w:rsidP="00552927">
      <w:pPr>
        <w:rPr>
          <w:rFonts w:cs="Arial"/>
          <w:b/>
          <w:color w:val="000000" w:themeColor="text1"/>
          <w:szCs w:val="16"/>
        </w:rPr>
      </w:pPr>
      <w:r w:rsidRPr="00781112">
        <w:rPr>
          <w:rFonts w:cs="Arial"/>
          <w:b/>
          <w:color w:val="000000" w:themeColor="text1"/>
          <w:szCs w:val="16"/>
        </w:rPr>
        <w:t xml:space="preserve">Data Source: </w:t>
      </w:r>
    </w:p>
    <w:p w14:paraId="2F903C23" w14:textId="77777777" w:rsidR="00C470E8" w:rsidRPr="00781112" w:rsidRDefault="002B7490" w:rsidP="00552927">
      <w:pPr>
        <w:rPr>
          <w:rFonts w:cs="Arial"/>
          <w:color w:val="000000" w:themeColor="text1"/>
          <w:szCs w:val="16"/>
        </w:rPr>
      </w:pPr>
      <w:r w:rsidRPr="00781112">
        <w:rPr>
          <w:rFonts w:cs="Arial"/>
          <w:color w:val="000000" w:themeColor="text1"/>
          <w:szCs w:val="16"/>
        </w:rPr>
        <w:t>SY 2024-25 Academic Achievement in Mathematics (</w:t>
      </w:r>
      <w:proofErr w:type="spellStart"/>
      <w:r w:rsidRPr="00781112">
        <w:rPr>
          <w:rFonts w:cs="Arial"/>
          <w:color w:val="000000" w:themeColor="text1"/>
          <w:szCs w:val="16"/>
        </w:rPr>
        <w:t>EDFacts</w:t>
      </w:r>
      <w:proofErr w:type="spellEnd"/>
      <w:r w:rsidRPr="00781112">
        <w:rPr>
          <w:rFonts w:cs="Arial"/>
          <w:color w:val="000000" w:themeColor="text1"/>
          <w:szCs w:val="16"/>
        </w:rPr>
        <w:t xml:space="preserve"> file spec FS175; Data Group: 874, 875)</w:t>
      </w:r>
    </w:p>
    <w:p w14:paraId="4B5FCD2D" w14:textId="77777777" w:rsidR="00C01339" w:rsidRPr="00781112" w:rsidRDefault="00382F22" w:rsidP="00552927">
      <w:pPr>
        <w:rPr>
          <w:rFonts w:cs="Arial"/>
          <w:b/>
          <w:color w:val="000000" w:themeColor="text1"/>
          <w:szCs w:val="16"/>
        </w:rPr>
      </w:pPr>
      <w:r w:rsidRPr="00781112">
        <w:rPr>
          <w:rFonts w:cs="Arial"/>
          <w:b/>
          <w:color w:val="000000" w:themeColor="text1"/>
          <w:szCs w:val="16"/>
        </w:rPr>
        <w:t xml:space="preserve">Date: </w:t>
      </w:r>
    </w:p>
    <w:p w14:paraId="354F159C" w14:textId="77777777" w:rsidR="005D18BE" w:rsidRPr="00781112" w:rsidRDefault="002B7490" w:rsidP="00552927">
      <w:pPr>
        <w:rPr>
          <w:rFonts w:cs="Arial"/>
          <w:color w:val="000000" w:themeColor="text1"/>
          <w:szCs w:val="16"/>
        </w:rPr>
      </w:pPr>
      <w:r w:rsidRPr="00781112">
        <w:rPr>
          <w:rFonts w:cs="Arial"/>
          <w:color w:val="000000" w:themeColor="text1"/>
          <w:szCs w:val="16"/>
        </w:rPr>
        <w:t>01/07/2026</w:t>
      </w:r>
    </w:p>
    <w:p w14:paraId="35FCC87B" w14:textId="77777777" w:rsidR="00FE2056" w:rsidRPr="00781112" w:rsidRDefault="00FE2056">
      <w:pPr>
        <w:rPr>
          <w:b/>
          <w:color w:val="000000" w:themeColor="text1"/>
        </w:rPr>
      </w:pPr>
      <w:r w:rsidRPr="00781112">
        <w:rPr>
          <w:b/>
          <w:color w:val="000000" w:themeColor="text1"/>
        </w:rPr>
        <w:t>Math Assessment Proficiency Data by Grade (1)</w:t>
      </w:r>
    </w:p>
    <w:tbl>
      <w:tblPr>
        <w:tblStyle w:val="TableGrid"/>
        <w:tblW w:w="4998" w:type="pct"/>
        <w:tblLayout w:type="fixed"/>
        <w:tblLook w:val="04A0" w:firstRow="1" w:lastRow="0" w:firstColumn="1" w:lastColumn="0" w:noHBand="0" w:noVBand="1"/>
        <w:tblCaption w:val="B03BASSPARTDATABYGRDMATH"/>
      </w:tblPr>
      <w:tblGrid>
        <w:gridCol w:w="2425"/>
        <w:gridCol w:w="2787"/>
        <w:gridCol w:w="2787"/>
        <w:gridCol w:w="2787"/>
      </w:tblGrid>
      <w:tr w:rsidR="00EB6900" w:rsidRPr="00781112" w14:paraId="2A3AFF0C" w14:textId="77777777" w:rsidTr="009E026B">
        <w:tc>
          <w:tcPr>
            <w:tcW w:w="1124" w:type="pct"/>
          </w:tcPr>
          <w:p w14:paraId="3DA3E31C" w14:textId="77777777" w:rsidR="00EB6900" w:rsidRPr="00781112" w:rsidRDefault="00835EAD" w:rsidP="00EB6900">
            <w:pPr>
              <w:jc w:val="center"/>
              <w:rPr>
                <w:rFonts w:cs="Arial"/>
                <w:b/>
                <w:bCs/>
                <w:color w:val="000000" w:themeColor="text1"/>
                <w:szCs w:val="16"/>
              </w:rPr>
            </w:pPr>
            <w:r w:rsidRPr="00781112">
              <w:rPr>
                <w:rFonts w:cs="Arial"/>
                <w:b/>
                <w:bCs/>
                <w:color w:val="000000" w:themeColor="text1"/>
                <w:szCs w:val="16"/>
              </w:rPr>
              <w:t>Group</w:t>
            </w:r>
          </w:p>
        </w:tc>
        <w:tc>
          <w:tcPr>
            <w:tcW w:w="1292" w:type="pct"/>
            <w:vAlign w:val="center"/>
          </w:tcPr>
          <w:p w14:paraId="534C8D80" w14:textId="77777777" w:rsidR="00EB6900" w:rsidRPr="00781112" w:rsidRDefault="00EB6900" w:rsidP="00196CE6">
            <w:pPr>
              <w:jc w:val="center"/>
              <w:rPr>
                <w:rFonts w:cs="Arial"/>
                <w:b/>
                <w:bCs/>
                <w:color w:val="000000" w:themeColor="text1"/>
                <w:szCs w:val="16"/>
              </w:rPr>
            </w:pPr>
            <w:r w:rsidRPr="00781112">
              <w:rPr>
                <w:rFonts w:cs="Arial"/>
                <w:b/>
                <w:bCs/>
                <w:color w:val="000000" w:themeColor="text1"/>
                <w:szCs w:val="16"/>
              </w:rPr>
              <w:t>Grade 4</w:t>
            </w:r>
          </w:p>
        </w:tc>
        <w:tc>
          <w:tcPr>
            <w:tcW w:w="1292" w:type="pct"/>
            <w:vAlign w:val="center"/>
          </w:tcPr>
          <w:p w14:paraId="3ADD49A8" w14:textId="77777777" w:rsidR="00EB6900" w:rsidRPr="00781112" w:rsidRDefault="00EB6900" w:rsidP="00315E88">
            <w:pPr>
              <w:jc w:val="center"/>
              <w:rPr>
                <w:rFonts w:cs="Arial"/>
                <w:b/>
                <w:bCs/>
                <w:color w:val="000000" w:themeColor="text1"/>
                <w:szCs w:val="16"/>
              </w:rPr>
            </w:pPr>
            <w:r w:rsidRPr="00781112">
              <w:rPr>
                <w:rFonts w:cs="Arial"/>
                <w:b/>
                <w:bCs/>
                <w:color w:val="000000" w:themeColor="text1"/>
                <w:szCs w:val="16"/>
              </w:rPr>
              <w:t>Grade 8</w:t>
            </w:r>
          </w:p>
        </w:tc>
        <w:tc>
          <w:tcPr>
            <w:tcW w:w="1292" w:type="pct"/>
            <w:vAlign w:val="center"/>
          </w:tcPr>
          <w:p w14:paraId="565F89EC" w14:textId="77777777" w:rsidR="00EB6900" w:rsidRPr="00781112" w:rsidRDefault="00EB6900" w:rsidP="00E14CF0">
            <w:pPr>
              <w:jc w:val="center"/>
              <w:rPr>
                <w:rFonts w:cs="Arial"/>
                <w:b/>
                <w:bCs/>
                <w:color w:val="000000" w:themeColor="text1"/>
                <w:szCs w:val="16"/>
              </w:rPr>
            </w:pPr>
            <w:r w:rsidRPr="00781112">
              <w:rPr>
                <w:rFonts w:cs="Arial"/>
                <w:b/>
                <w:bCs/>
                <w:color w:val="000000" w:themeColor="text1"/>
                <w:szCs w:val="16"/>
              </w:rPr>
              <w:t>Grade HS</w:t>
            </w:r>
          </w:p>
        </w:tc>
      </w:tr>
      <w:tr w:rsidR="00EB6900" w:rsidRPr="00781112" w14:paraId="1B8C5D02" w14:textId="77777777" w:rsidTr="009E026B">
        <w:tc>
          <w:tcPr>
            <w:tcW w:w="1124" w:type="pct"/>
          </w:tcPr>
          <w:p w14:paraId="345740CF" w14:textId="77777777" w:rsidR="00EB6900" w:rsidRPr="00781112" w:rsidRDefault="00EB6900" w:rsidP="00EB6900">
            <w:pPr>
              <w:rPr>
                <w:rFonts w:cs="Arial"/>
                <w:color w:val="000000" w:themeColor="text1"/>
                <w:szCs w:val="16"/>
              </w:rPr>
            </w:pPr>
            <w:r w:rsidRPr="00781112">
              <w:rPr>
                <w:rFonts w:cs="Arial"/>
                <w:szCs w:val="16"/>
                <w:shd w:val="clear" w:color="auto" w:fill="FFFFFF"/>
              </w:rPr>
              <w:t>a. Children with IEPs who received a valid score and a proficiency level was assigned for the regular assessment</w:t>
            </w:r>
          </w:p>
        </w:tc>
        <w:tc>
          <w:tcPr>
            <w:tcW w:w="1292" w:type="pct"/>
            <w:vAlign w:val="center"/>
          </w:tcPr>
          <w:p w14:paraId="125E09B0" w14:textId="77777777" w:rsidR="00EB6900" w:rsidRPr="00781112" w:rsidRDefault="00EB6900" w:rsidP="00360DD6">
            <w:pPr>
              <w:jc w:val="center"/>
              <w:rPr>
                <w:rFonts w:cs="Arial"/>
                <w:color w:val="000000" w:themeColor="text1"/>
                <w:szCs w:val="16"/>
              </w:rPr>
            </w:pPr>
            <w:r w:rsidRPr="00781112">
              <w:rPr>
                <w:rFonts w:cs="Arial"/>
                <w:color w:val="000000" w:themeColor="text1"/>
                <w:szCs w:val="16"/>
              </w:rPr>
              <w:t>4,006</w:t>
            </w:r>
          </w:p>
        </w:tc>
        <w:tc>
          <w:tcPr>
            <w:tcW w:w="1292" w:type="pct"/>
            <w:vAlign w:val="center"/>
          </w:tcPr>
          <w:p w14:paraId="3CA6592A" w14:textId="77777777" w:rsidR="00EB6900" w:rsidRPr="00781112" w:rsidRDefault="00EB6900" w:rsidP="00360DD6">
            <w:pPr>
              <w:jc w:val="center"/>
              <w:rPr>
                <w:rFonts w:cs="Arial"/>
                <w:color w:val="000000" w:themeColor="text1"/>
                <w:szCs w:val="16"/>
              </w:rPr>
            </w:pPr>
            <w:r w:rsidRPr="00781112">
              <w:rPr>
                <w:rFonts w:cs="Arial"/>
                <w:color w:val="000000" w:themeColor="text1"/>
                <w:szCs w:val="16"/>
              </w:rPr>
              <w:t>3,372</w:t>
            </w:r>
          </w:p>
        </w:tc>
        <w:tc>
          <w:tcPr>
            <w:tcW w:w="1292" w:type="pct"/>
            <w:vAlign w:val="center"/>
          </w:tcPr>
          <w:p w14:paraId="54B76AE3" w14:textId="77777777" w:rsidR="00EB6900" w:rsidRPr="00781112" w:rsidRDefault="00EB6900" w:rsidP="00360DD6">
            <w:pPr>
              <w:jc w:val="center"/>
              <w:rPr>
                <w:rFonts w:cs="Arial"/>
                <w:color w:val="000000" w:themeColor="text1"/>
                <w:szCs w:val="16"/>
              </w:rPr>
            </w:pPr>
            <w:r w:rsidRPr="00781112">
              <w:rPr>
                <w:rFonts w:cs="Arial"/>
                <w:color w:val="000000" w:themeColor="text1"/>
                <w:szCs w:val="16"/>
              </w:rPr>
              <w:t>2,437</w:t>
            </w:r>
          </w:p>
        </w:tc>
      </w:tr>
      <w:tr w:rsidR="00EB6900" w:rsidRPr="00781112" w14:paraId="34C14F3A" w14:textId="77777777" w:rsidTr="009E026B">
        <w:tc>
          <w:tcPr>
            <w:tcW w:w="1124" w:type="pct"/>
          </w:tcPr>
          <w:p w14:paraId="72D8E7B2" w14:textId="77777777" w:rsidR="00EB6900" w:rsidRPr="00781112" w:rsidRDefault="00EB6900" w:rsidP="00EB6900">
            <w:pPr>
              <w:rPr>
                <w:rFonts w:cs="Arial"/>
                <w:color w:val="000000" w:themeColor="text1"/>
                <w:szCs w:val="16"/>
              </w:rPr>
            </w:pPr>
            <w:r w:rsidRPr="00781112">
              <w:rPr>
                <w:rFonts w:cs="Arial"/>
                <w:szCs w:val="16"/>
                <w:shd w:val="clear" w:color="auto" w:fill="FFFFFF"/>
              </w:rPr>
              <w:t>b. Children with IEPs in regular assessment with no accommodations scored at or above proficient against grade level</w:t>
            </w:r>
          </w:p>
        </w:tc>
        <w:tc>
          <w:tcPr>
            <w:tcW w:w="1292" w:type="pct"/>
            <w:vAlign w:val="center"/>
          </w:tcPr>
          <w:p w14:paraId="063D8CEE" w14:textId="77777777" w:rsidR="00EB6900" w:rsidRPr="00781112" w:rsidRDefault="00EB6900" w:rsidP="00360DD6">
            <w:pPr>
              <w:jc w:val="center"/>
              <w:rPr>
                <w:rFonts w:cs="Arial"/>
                <w:color w:val="000000" w:themeColor="text1"/>
                <w:szCs w:val="16"/>
              </w:rPr>
            </w:pPr>
            <w:r w:rsidRPr="00781112">
              <w:rPr>
                <w:rFonts w:cs="Arial"/>
                <w:color w:val="000000" w:themeColor="text1"/>
                <w:szCs w:val="16"/>
              </w:rPr>
              <w:t>472</w:t>
            </w:r>
          </w:p>
        </w:tc>
        <w:tc>
          <w:tcPr>
            <w:tcW w:w="1292" w:type="pct"/>
            <w:vAlign w:val="center"/>
          </w:tcPr>
          <w:p w14:paraId="02544448" w14:textId="77777777" w:rsidR="00EB6900" w:rsidRPr="00781112" w:rsidRDefault="00EB6900" w:rsidP="00360DD6">
            <w:pPr>
              <w:jc w:val="center"/>
              <w:rPr>
                <w:rFonts w:cs="Arial"/>
                <w:color w:val="000000" w:themeColor="text1"/>
                <w:szCs w:val="16"/>
              </w:rPr>
            </w:pPr>
            <w:r w:rsidRPr="00781112">
              <w:rPr>
                <w:rFonts w:cs="Arial"/>
                <w:color w:val="000000" w:themeColor="text1"/>
                <w:szCs w:val="16"/>
              </w:rPr>
              <w:t>81</w:t>
            </w:r>
          </w:p>
        </w:tc>
        <w:tc>
          <w:tcPr>
            <w:tcW w:w="1292" w:type="pct"/>
            <w:vAlign w:val="center"/>
          </w:tcPr>
          <w:p w14:paraId="75CC2C02" w14:textId="77777777" w:rsidR="00EB6900" w:rsidRPr="00781112" w:rsidRDefault="00EB6900" w:rsidP="00360DD6">
            <w:pPr>
              <w:jc w:val="center"/>
              <w:rPr>
                <w:rFonts w:cs="Arial"/>
                <w:color w:val="000000" w:themeColor="text1"/>
                <w:szCs w:val="16"/>
              </w:rPr>
            </w:pPr>
            <w:r w:rsidRPr="00781112">
              <w:rPr>
                <w:rFonts w:cs="Arial"/>
                <w:color w:val="000000" w:themeColor="text1"/>
                <w:szCs w:val="16"/>
              </w:rPr>
              <w:t>40</w:t>
            </w:r>
          </w:p>
        </w:tc>
      </w:tr>
      <w:tr w:rsidR="00EB6900" w:rsidRPr="00781112" w14:paraId="5A0F7BE9" w14:textId="77777777" w:rsidTr="009E026B">
        <w:tc>
          <w:tcPr>
            <w:tcW w:w="1124" w:type="pct"/>
          </w:tcPr>
          <w:p w14:paraId="77093045" w14:textId="77777777" w:rsidR="00EB6900" w:rsidRPr="00781112" w:rsidRDefault="00EB6900" w:rsidP="00EB6900">
            <w:pPr>
              <w:rPr>
                <w:rFonts w:cs="Arial"/>
                <w:color w:val="000000" w:themeColor="text1"/>
                <w:szCs w:val="16"/>
              </w:rPr>
            </w:pPr>
            <w:r w:rsidRPr="00781112">
              <w:rPr>
                <w:rFonts w:cs="Arial"/>
                <w:szCs w:val="16"/>
                <w:shd w:val="clear" w:color="auto" w:fill="FFFFFF"/>
              </w:rPr>
              <w:t>c. Children with IEPs in regular assessment with accommodations scored at or above proficient against grade level</w:t>
            </w:r>
          </w:p>
        </w:tc>
        <w:tc>
          <w:tcPr>
            <w:tcW w:w="1292" w:type="pct"/>
            <w:vAlign w:val="center"/>
          </w:tcPr>
          <w:p w14:paraId="368DBCDB" w14:textId="77777777" w:rsidR="00EB6900" w:rsidRPr="00781112" w:rsidRDefault="00EB6900" w:rsidP="00360DD6">
            <w:pPr>
              <w:jc w:val="center"/>
              <w:rPr>
                <w:rFonts w:cs="Arial"/>
                <w:color w:val="000000" w:themeColor="text1"/>
                <w:szCs w:val="16"/>
              </w:rPr>
            </w:pPr>
            <w:r w:rsidRPr="00781112">
              <w:rPr>
                <w:rFonts w:cs="Arial"/>
                <w:color w:val="000000" w:themeColor="text1"/>
                <w:szCs w:val="16"/>
              </w:rPr>
              <w:t>342</w:t>
            </w:r>
          </w:p>
        </w:tc>
        <w:tc>
          <w:tcPr>
            <w:tcW w:w="1292" w:type="pct"/>
            <w:vAlign w:val="center"/>
          </w:tcPr>
          <w:p w14:paraId="7692E5B6" w14:textId="77777777" w:rsidR="00EB6900" w:rsidRPr="00781112" w:rsidRDefault="00EB6900" w:rsidP="00360DD6">
            <w:pPr>
              <w:jc w:val="center"/>
              <w:rPr>
                <w:rFonts w:cs="Arial"/>
                <w:color w:val="000000" w:themeColor="text1"/>
                <w:szCs w:val="16"/>
              </w:rPr>
            </w:pPr>
            <w:r w:rsidRPr="00781112">
              <w:rPr>
                <w:rFonts w:cs="Arial"/>
                <w:color w:val="000000" w:themeColor="text1"/>
                <w:szCs w:val="16"/>
              </w:rPr>
              <w:t>125</w:t>
            </w:r>
          </w:p>
        </w:tc>
        <w:tc>
          <w:tcPr>
            <w:tcW w:w="1292" w:type="pct"/>
            <w:vAlign w:val="center"/>
          </w:tcPr>
          <w:p w14:paraId="7C83743E" w14:textId="77777777" w:rsidR="00EB6900" w:rsidRPr="00781112" w:rsidRDefault="00EB6900" w:rsidP="00360DD6">
            <w:pPr>
              <w:jc w:val="center"/>
              <w:rPr>
                <w:rFonts w:cs="Arial"/>
                <w:color w:val="000000" w:themeColor="text1"/>
                <w:szCs w:val="16"/>
              </w:rPr>
            </w:pPr>
            <w:r w:rsidRPr="00781112">
              <w:rPr>
                <w:rFonts w:cs="Arial"/>
                <w:color w:val="000000" w:themeColor="text1"/>
                <w:szCs w:val="16"/>
              </w:rPr>
              <w:t>26</w:t>
            </w:r>
          </w:p>
        </w:tc>
      </w:tr>
    </w:tbl>
    <w:bookmarkEnd w:id="14"/>
    <w:p w14:paraId="1F11908F" w14:textId="77777777" w:rsidR="00502870" w:rsidRDefault="00502870" w:rsidP="00502870">
      <w:pPr>
        <w:pStyle w:val="Subhed"/>
        <w:rPr>
          <w:b w:val="0"/>
          <w:bCs/>
        </w:rPr>
      </w:pPr>
      <w:r w:rsidRPr="00580D24">
        <w:rPr>
          <w:b w:val="0"/>
          <w:bCs/>
        </w:rPr>
        <w:t>(1)The term “regular assessment” is an aggregation of the following types of assessments as applicable for each grade/ grade group: regular assessment based on grade-level achievement standards, advanced assessment, Innovative Assessment Demonstration Authority (IADA) pilot assessment, high school regular assessment I, high school regular assessment II, high school regular assessment III and locally-selected nationally recognized high school assessment in the prefilled data in this indicator.</w:t>
      </w:r>
      <w:r>
        <w:t xml:space="preserve"> </w:t>
      </w:r>
    </w:p>
    <w:p w14:paraId="7FE37B89" w14:textId="77777777" w:rsidR="00966232" w:rsidRPr="00781112" w:rsidRDefault="00966232" w:rsidP="004369B2">
      <w:pPr>
        <w:rPr>
          <w:color w:val="000000" w:themeColor="text1"/>
        </w:rPr>
      </w:pPr>
    </w:p>
    <w:p w14:paraId="550742CF" w14:textId="77777777" w:rsidR="00E539AB" w:rsidRPr="00781112" w:rsidRDefault="0047313F" w:rsidP="004369B2">
      <w:pPr>
        <w:rPr>
          <w:b/>
          <w:color w:val="000000" w:themeColor="text1"/>
        </w:rPr>
      </w:pPr>
      <w:r>
        <w:rPr>
          <w:b/>
          <w:color w:val="000000" w:themeColor="text1"/>
        </w:rPr>
        <w:t>FFY 2024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FFYAPRDATARLA"/>
      </w:tblPr>
      <w:tblGrid>
        <w:gridCol w:w="428"/>
        <w:gridCol w:w="888"/>
        <w:gridCol w:w="2027"/>
        <w:gridCol w:w="2026"/>
        <w:gridCol w:w="1085"/>
        <w:gridCol w:w="1085"/>
        <w:gridCol w:w="1085"/>
        <w:gridCol w:w="1085"/>
        <w:gridCol w:w="1081"/>
      </w:tblGrid>
      <w:tr w:rsidR="00FA33C9" w:rsidRPr="00781112" w14:paraId="0E2BED6A" w14:textId="77777777" w:rsidTr="004B3F40">
        <w:trPr>
          <w:tblHeader/>
        </w:trPr>
        <w:tc>
          <w:tcPr>
            <w:tcW w:w="198" w:type="pct"/>
            <w:vAlign w:val="bottom"/>
          </w:tcPr>
          <w:p w14:paraId="129AEBC6" w14:textId="77777777" w:rsidR="00FA33C9" w:rsidRPr="00781112" w:rsidRDefault="00FA33C9" w:rsidP="00FA33C9">
            <w:pPr>
              <w:jc w:val="center"/>
              <w:rPr>
                <w:b/>
                <w:color w:val="000000" w:themeColor="text1"/>
              </w:rPr>
            </w:pPr>
            <w:r w:rsidRPr="00781112">
              <w:rPr>
                <w:b/>
                <w:color w:val="000000" w:themeColor="text1"/>
              </w:rPr>
              <w:lastRenderedPageBreak/>
              <w:t>Group</w:t>
            </w:r>
          </w:p>
        </w:tc>
        <w:tc>
          <w:tcPr>
            <w:tcW w:w="411" w:type="pct"/>
            <w:vAlign w:val="bottom"/>
          </w:tcPr>
          <w:p w14:paraId="5C53C5F9" w14:textId="77777777" w:rsidR="00FA33C9" w:rsidRPr="00781112" w:rsidRDefault="00FA33C9" w:rsidP="00FA33C9">
            <w:pPr>
              <w:jc w:val="center"/>
              <w:rPr>
                <w:b/>
                <w:color w:val="000000" w:themeColor="text1"/>
              </w:rPr>
            </w:pPr>
            <w:r w:rsidRPr="00781112">
              <w:rPr>
                <w:b/>
                <w:color w:val="000000" w:themeColor="text1"/>
              </w:rPr>
              <w:t>Group Name</w:t>
            </w:r>
          </w:p>
        </w:tc>
        <w:tc>
          <w:tcPr>
            <w:tcW w:w="939" w:type="pct"/>
          </w:tcPr>
          <w:p w14:paraId="14DEC065" w14:textId="77777777" w:rsidR="00FA33C9" w:rsidRPr="00781112" w:rsidRDefault="00FA33C9" w:rsidP="00FA33C9">
            <w:pPr>
              <w:jc w:val="center"/>
              <w:rPr>
                <w:b/>
                <w:bCs/>
                <w:color w:val="000000" w:themeColor="text1"/>
              </w:rPr>
            </w:pPr>
            <w:r w:rsidRPr="00781112">
              <w:rPr>
                <w:b/>
                <w:bCs/>
              </w:rPr>
              <w:t>Number of Children with IEPs Scoring At or Above Proficient Against Grade Level Academic Achievement Standards</w:t>
            </w:r>
          </w:p>
        </w:tc>
        <w:tc>
          <w:tcPr>
            <w:tcW w:w="939" w:type="pct"/>
          </w:tcPr>
          <w:p w14:paraId="40879B7D" w14:textId="77777777" w:rsidR="00FA33C9" w:rsidRPr="00781112" w:rsidRDefault="00FA33C9" w:rsidP="00FA33C9">
            <w:pPr>
              <w:jc w:val="center"/>
              <w:rPr>
                <w:b/>
                <w:bCs/>
                <w:color w:val="000000" w:themeColor="text1"/>
              </w:rPr>
            </w:pPr>
            <w:r w:rsidRPr="00781112">
              <w:rPr>
                <w:b/>
                <w:bCs/>
              </w:rPr>
              <w:t>Number of Children with IEPs who Received a Valid Score and for whom a Proficiency Level was Assigned for the Regular Assessment</w:t>
            </w:r>
          </w:p>
        </w:tc>
        <w:tc>
          <w:tcPr>
            <w:tcW w:w="503" w:type="pct"/>
            <w:vAlign w:val="bottom"/>
          </w:tcPr>
          <w:p w14:paraId="2D64D81D" w14:textId="77777777" w:rsidR="00FA33C9" w:rsidRPr="00073BD7" w:rsidRDefault="00FA33C9" w:rsidP="00FA33C9">
            <w:pPr>
              <w:jc w:val="center"/>
              <w:rPr>
                <w:b/>
                <w:bCs/>
                <w:color w:val="000000" w:themeColor="text1"/>
              </w:rPr>
            </w:pPr>
            <w:r w:rsidRPr="00073BD7">
              <w:rPr>
                <w:b/>
                <w:bCs/>
              </w:rPr>
              <w:t>FFY 2023 Data</w:t>
            </w:r>
          </w:p>
        </w:tc>
        <w:tc>
          <w:tcPr>
            <w:tcW w:w="503" w:type="pct"/>
            <w:vAlign w:val="bottom"/>
          </w:tcPr>
          <w:p w14:paraId="10C391E0" w14:textId="77777777" w:rsidR="00FA33C9" w:rsidRPr="00073BD7" w:rsidRDefault="00FA33C9" w:rsidP="00FA33C9">
            <w:pPr>
              <w:jc w:val="center"/>
              <w:rPr>
                <w:b/>
                <w:bCs/>
                <w:color w:val="000000" w:themeColor="text1"/>
              </w:rPr>
            </w:pPr>
            <w:r w:rsidRPr="00073BD7">
              <w:rPr>
                <w:b/>
                <w:bCs/>
              </w:rPr>
              <w:t>FFY 2024 Target</w:t>
            </w:r>
          </w:p>
        </w:tc>
        <w:tc>
          <w:tcPr>
            <w:tcW w:w="503" w:type="pct"/>
            <w:vAlign w:val="bottom"/>
          </w:tcPr>
          <w:p w14:paraId="39C000D6" w14:textId="77777777" w:rsidR="00FA33C9" w:rsidRPr="00073BD7" w:rsidRDefault="00FA33C9" w:rsidP="00FA33C9">
            <w:pPr>
              <w:jc w:val="center"/>
              <w:rPr>
                <w:b/>
                <w:bCs/>
                <w:color w:val="000000" w:themeColor="text1"/>
              </w:rPr>
            </w:pPr>
            <w:r w:rsidRPr="00073BD7">
              <w:rPr>
                <w:b/>
                <w:bCs/>
              </w:rPr>
              <w:t>FFY 2024 Data</w:t>
            </w:r>
          </w:p>
        </w:tc>
        <w:tc>
          <w:tcPr>
            <w:tcW w:w="503" w:type="pct"/>
            <w:vAlign w:val="bottom"/>
          </w:tcPr>
          <w:p w14:paraId="15ECF001" w14:textId="77777777" w:rsidR="00FA33C9" w:rsidRPr="00781112" w:rsidRDefault="00FA33C9" w:rsidP="00FA33C9">
            <w:pPr>
              <w:jc w:val="center"/>
              <w:rPr>
                <w:b/>
                <w:color w:val="000000" w:themeColor="text1"/>
              </w:rPr>
            </w:pPr>
            <w:r w:rsidRPr="00781112">
              <w:rPr>
                <w:b/>
                <w:color w:val="000000" w:themeColor="text1"/>
              </w:rPr>
              <w:t>Status</w:t>
            </w:r>
          </w:p>
        </w:tc>
        <w:tc>
          <w:tcPr>
            <w:tcW w:w="501" w:type="pct"/>
            <w:vAlign w:val="bottom"/>
          </w:tcPr>
          <w:p w14:paraId="3DC01D2C" w14:textId="77777777" w:rsidR="00FA33C9" w:rsidRPr="00781112" w:rsidRDefault="00FA33C9" w:rsidP="00FA33C9">
            <w:pPr>
              <w:jc w:val="center"/>
              <w:rPr>
                <w:b/>
                <w:color w:val="000000" w:themeColor="text1"/>
              </w:rPr>
            </w:pPr>
            <w:r w:rsidRPr="00781112">
              <w:rPr>
                <w:b/>
                <w:color w:val="000000" w:themeColor="text1"/>
              </w:rPr>
              <w:t>Slippage</w:t>
            </w:r>
          </w:p>
        </w:tc>
      </w:tr>
      <w:tr w:rsidR="00AD0E97" w:rsidRPr="00781112" w14:paraId="45243848" w14:textId="77777777" w:rsidTr="004B3F40">
        <w:tc>
          <w:tcPr>
            <w:tcW w:w="198" w:type="pct"/>
            <w:vAlign w:val="center"/>
          </w:tcPr>
          <w:p w14:paraId="463FB979" w14:textId="77777777"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A</w:t>
            </w:r>
          </w:p>
        </w:tc>
        <w:tc>
          <w:tcPr>
            <w:tcW w:w="411" w:type="pct"/>
            <w:vAlign w:val="center"/>
          </w:tcPr>
          <w:p w14:paraId="15BB391E" w14:textId="77777777"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4</w:t>
            </w:r>
          </w:p>
        </w:tc>
        <w:tc>
          <w:tcPr>
            <w:tcW w:w="939" w:type="pct"/>
            <w:vAlign w:val="center"/>
          </w:tcPr>
          <w:p w14:paraId="4A8AE56D" w14:textId="77777777" w:rsidR="00AD0E97" w:rsidRPr="00781112" w:rsidRDefault="00AD0E97" w:rsidP="00AD0E97">
            <w:pPr>
              <w:jc w:val="center"/>
              <w:rPr>
                <w:rFonts w:cs="Arial"/>
                <w:color w:val="000000" w:themeColor="text1"/>
                <w:szCs w:val="16"/>
              </w:rPr>
            </w:pPr>
            <w:r w:rsidRPr="00781112">
              <w:rPr>
                <w:rFonts w:cs="Arial"/>
                <w:color w:val="000000"/>
                <w:szCs w:val="16"/>
              </w:rPr>
              <w:t>743</w:t>
            </w:r>
          </w:p>
        </w:tc>
        <w:tc>
          <w:tcPr>
            <w:tcW w:w="939" w:type="pct"/>
            <w:vAlign w:val="center"/>
          </w:tcPr>
          <w:p w14:paraId="4D9062E9" w14:textId="77777777" w:rsidR="00AD0E97" w:rsidRPr="00781112" w:rsidRDefault="00AD0E97" w:rsidP="00AD0E97">
            <w:pPr>
              <w:jc w:val="center"/>
              <w:rPr>
                <w:rFonts w:cs="Arial"/>
                <w:color w:val="000000" w:themeColor="text1"/>
                <w:szCs w:val="16"/>
              </w:rPr>
            </w:pPr>
            <w:r w:rsidRPr="00781112">
              <w:rPr>
                <w:rFonts w:cs="Arial"/>
                <w:color w:val="000000" w:themeColor="text1"/>
                <w:szCs w:val="16"/>
              </w:rPr>
              <w:t>4,009</w:t>
            </w:r>
          </w:p>
        </w:tc>
        <w:tc>
          <w:tcPr>
            <w:tcW w:w="503" w:type="pct"/>
            <w:vAlign w:val="center"/>
          </w:tcPr>
          <w:p w14:paraId="372F5618" w14:textId="77777777" w:rsidR="00AD0E97" w:rsidRPr="00781112" w:rsidRDefault="00AD0E97" w:rsidP="00AD0E97">
            <w:pPr>
              <w:jc w:val="center"/>
              <w:rPr>
                <w:rFonts w:cs="Arial"/>
                <w:color w:val="000000" w:themeColor="text1"/>
                <w:szCs w:val="16"/>
              </w:rPr>
            </w:pPr>
            <w:r w:rsidRPr="00781112">
              <w:rPr>
                <w:rFonts w:cs="Arial"/>
                <w:color w:val="000000" w:themeColor="text1"/>
                <w:szCs w:val="16"/>
              </w:rPr>
              <w:t>18.39%</w:t>
            </w:r>
          </w:p>
        </w:tc>
        <w:tc>
          <w:tcPr>
            <w:tcW w:w="503" w:type="pct"/>
            <w:vAlign w:val="center"/>
          </w:tcPr>
          <w:p w14:paraId="2E069B34" w14:textId="77777777" w:rsidR="00AD0E97" w:rsidRPr="00781112" w:rsidRDefault="00AD0E97" w:rsidP="00045F82">
            <w:pPr>
              <w:rPr>
                <w:rFonts w:cs="Arial"/>
                <w:color w:val="000000" w:themeColor="text1"/>
                <w:szCs w:val="16"/>
              </w:rPr>
            </w:pPr>
            <w:r w:rsidRPr="00781112">
              <w:rPr>
                <w:rFonts w:cs="Arial"/>
                <w:color w:val="000000" w:themeColor="text1"/>
                <w:szCs w:val="16"/>
              </w:rPr>
              <w:t>17.90%</w:t>
            </w:r>
          </w:p>
        </w:tc>
        <w:tc>
          <w:tcPr>
            <w:tcW w:w="503" w:type="pct"/>
            <w:vAlign w:val="center"/>
          </w:tcPr>
          <w:p w14:paraId="4E7CF47A" w14:textId="77777777" w:rsidR="00AD0E97" w:rsidRPr="00781112" w:rsidRDefault="00AD0E97" w:rsidP="00AD0E97">
            <w:pPr>
              <w:jc w:val="center"/>
              <w:rPr>
                <w:rFonts w:cs="Arial"/>
                <w:color w:val="000000" w:themeColor="text1"/>
                <w:szCs w:val="16"/>
              </w:rPr>
            </w:pPr>
            <w:r w:rsidRPr="00781112">
              <w:rPr>
                <w:rFonts w:cs="Arial"/>
                <w:color w:val="000000" w:themeColor="text1"/>
                <w:szCs w:val="16"/>
              </w:rPr>
              <w:t>18.53%</w:t>
            </w:r>
          </w:p>
        </w:tc>
        <w:tc>
          <w:tcPr>
            <w:tcW w:w="503" w:type="pct"/>
            <w:vAlign w:val="center"/>
          </w:tcPr>
          <w:p w14:paraId="2ABBDD50" w14:textId="77777777" w:rsidR="00AD0E97" w:rsidRPr="00781112" w:rsidRDefault="00AD0E97" w:rsidP="00AD0E97">
            <w:pPr>
              <w:jc w:val="center"/>
              <w:rPr>
                <w:rFonts w:cs="Arial"/>
                <w:color w:val="000000" w:themeColor="text1"/>
                <w:szCs w:val="16"/>
              </w:rPr>
            </w:pPr>
            <w:r w:rsidRPr="00781112">
              <w:rPr>
                <w:rFonts w:cs="Arial"/>
                <w:color w:val="000000" w:themeColor="text1"/>
                <w:szCs w:val="16"/>
              </w:rPr>
              <w:t>Met target</w:t>
            </w:r>
          </w:p>
        </w:tc>
        <w:tc>
          <w:tcPr>
            <w:tcW w:w="501" w:type="pct"/>
            <w:vAlign w:val="center"/>
          </w:tcPr>
          <w:p w14:paraId="04261C9C" w14:textId="77777777" w:rsidR="00AD0E97" w:rsidRPr="00781112" w:rsidRDefault="00AD0E97" w:rsidP="00AD0E97">
            <w:pPr>
              <w:jc w:val="center"/>
              <w:rPr>
                <w:rFonts w:cs="Arial"/>
                <w:color w:val="000000" w:themeColor="text1"/>
                <w:szCs w:val="16"/>
              </w:rPr>
            </w:pPr>
            <w:r w:rsidRPr="00781112">
              <w:rPr>
                <w:rFonts w:cs="Arial"/>
                <w:color w:val="000000" w:themeColor="text1"/>
                <w:szCs w:val="16"/>
              </w:rPr>
              <w:t>No Slippage</w:t>
            </w:r>
          </w:p>
        </w:tc>
      </w:tr>
      <w:tr w:rsidR="00AD0E97" w:rsidRPr="00781112" w14:paraId="4F9F66F7" w14:textId="77777777" w:rsidTr="004B3F40">
        <w:tc>
          <w:tcPr>
            <w:tcW w:w="198" w:type="pct"/>
            <w:vAlign w:val="center"/>
          </w:tcPr>
          <w:p w14:paraId="198FF10F" w14:textId="77777777"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B</w:t>
            </w:r>
          </w:p>
        </w:tc>
        <w:tc>
          <w:tcPr>
            <w:tcW w:w="411" w:type="pct"/>
            <w:vAlign w:val="center"/>
          </w:tcPr>
          <w:p w14:paraId="421F8A31" w14:textId="77777777"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8</w:t>
            </w:r>
          </w:p>
        </w:tc>
        <w:tc>
          <w:tcPr>
            <w:tcW w:w="939" w:type="pct"/>
            <w:vAlign w:val="center"/>
          </w:tcPr>
          <w:p w14:paraId="4F05470D" w14:textId="77777777" w:rsidR="00AD0E97" w:rsidRPr="00781112" w:rsidRDefault="00AD0E97" w:rsidP="00AD0E97">
            <w:pPr>
              <w:jc w:val="center"/>
              <w:rPr>
                <w:rFonts w:cs="Arial"/>
                <w:color w:val="000000" w:themeColor="text1"/>
                <w:szCs w:val="16"/>
              </w:rPr>
            </w:pPr>
            <w:r w:rsidRPr="00781112">
              <w:rPr>
                <w:rFonts w:cs="Arial"/>
                <w:color w:val="000000"/>
                <w:szCs w:val="16"/>
              </w:rPr>
              <w:t>312</w:t>
            </w:r>
          </w:p>
        </w:tc>
        <w:tc>
          <w:tcPr>
            <w:tcW w:w="939" w:type="pct"/>
            <w:vAlign w:val="center"/>
          </w:tcPr>
          <w:p w14:paraId="1883A1FB" w14:textId="77777777" w:rsidR="00AD0E97" w:rsidRPr="00781112" w:rsidRDefault="00AD0E97" w:rsidP="00AD0E97">
            <w:pPr>
              <w:jc w:val="center"/>
              <w:rPr>
                <w:rFonts w:cs="Arial"/>
                <w:color w:val="000000" w:themeColor="text1"/>
                <w:szCs w:val="16"/>
              </w:rPr>
            </w:pPr>
            <w:r w:rsidRPr="00781112">
              <w:rPr>
                <w:rFonts w:cs="Arial"/>
                <w:color w:val="000000" w:themeColor="text1"/>
                <w:szCs w:val="16"/>
              </w:rPr>
              <w:t>3,363</w:t>
            </w:r>
          </w:p>
        </w:tc>
        <w:tc>
          <w:tcPr>
            <w:tcW w:w="503" w:type="pct"/>
            <w:vAlign w:val="center"/>
          </w:tcPr>
          <w:p w14:paraId="0CE9CF03" w14:textId="77777777" w:rsidR="00AD0E97" w:rsidRPr="00781112" w:rsidRDefault="00AD0E97" w:rsidP="00AD0E97">
            <w:pPr>
              <w:jc w:val="center"/>
              <w:rPr>
                <w:rFonts w:cs="Arial"/>
                <w:color w:val="000000" w:themeColor="text1"/>
                <w:szCs w:val="16"/>
              </w:rPr>
            </w:pPr>
            <w:r w:rsidRPr="00781112">
              <w:rPr>
                <w:rFonts w:cs="Arial"/>
                <w:color w:val="000000" w:themeColor="text1"/>
                <w:szCs w:val="16"/>
              </w:rPr>
              <w:t>9.27%</w:t>
            </w:r>
          </w:p>
        </w:tc>
        <w:tc>
          <w:tcPr>
            <w:tcW w:w="503" w:type="pct"/>
            <w:vAlign w:val="center"/>
          </w:tcPr>
          <w:p w14:paraId="00B75BBE" w14:textId="77777777" w:rsidR="00AD0E97" w:rsidRPr="00781112" w:rsidRDefault="00AD0E97" w:rsidP="00AD0E97">
            <w:pPr>
              <w:jc w:val="center"/>
              <w:rPr>
                <w:rFonts w:cs="Arial"/>
                <w:color w:val="000000" w:themeColor="text1"/>
                <w:szCs w:val="16"/>
              </w:rPr>
            </w:pPr>
            <w:r w:rsidRPr="00781112">
              <w:rPr>
                <w:rFonts w:cs="Arial"/>
                <w:color w:val="000000" w:themeColor="text1"/>
                <w:szCs w:val="16"/>
              </w:rPr>
              <w:t>8.70%</w:t>
            </w:r>
          </w:p>
        </w:tc>
        <w:tc>
          <w:tcPr>
            <w:tcW w:w="503" w:type="pct"/>
            <w:vAlign w:val="center"/>
          </w:tcPr>
          <w:p w14:paraId="15473D9A" w14:textId="77777777" w:rsidR="00AD0E97" w:rsidRPr="00781112" w:rsidRDefault="00AD0E97" w:rsidP="00AD0E97">
            <w:pPr>
              <w:jc w:val="center"/>
              <w:rPr>
                <w:rFonts w:cs="Arial"/>
                <w:color w:val="000000" w:themeColor="text1"/>
                <w:szCs w:val="16"/>
              </w:rPr>
            </w:pPr>
            <w:r w:rsidRPr="00781112">
              <w:rPr>
                <w:rFonts w:cs="Arial"/>
                <w:color w:val="000000" w:themeColor="text1"/>
                <w:szCs w:val="16"/>
              </w:rPr>
              <w:t>9.28%</w:t>
            </w:r>
          </w:p>
        </w:tc>
        <w:tc>
          <w:tcPr>
            <w:tcW w:w="503" w:type="pct"/>
            <w:vAlign w:val="center"/>
          </w:tcPr>
          <w:p w14:paraId="6912EB8D" w14:textId="77777777" w:rsidR="00AD0E97" w:rsidRPr="00781112" w:rsidRDefault="00AD0E97" w:rsidP="00AD0E97">
            <w:pPr>
              <w:jc w:val="center"/>
              <w:rPr>
                <w:rFonts w:cs="Arial"/>
                <w:color w:val="000000" w:themeColor="text1"/>
                <w:szCs w:val="16"/>
              </w:rPr>
            </w:pPr>
            <w:r w:rsidRPr="00781112">
              <w:rPr>
                <w:rFonts w:cs="Arial"/>
                <w:color w:val="000000" w:themeColor="text1"/>
                <w:szCs w:val="16"/>
              </w:rPr>
              <w:t>Met target</w:t>
            </w:r>
          </w:p>
        </w:tc>
        <w:tc>
          <w:tcPr>
            <w:tcW w:w="501" w:type="pct"/>
            <w:vAlign w:val="center"/>
          </w:tcPr>
          <w:p w14:paraId="15E364D1" w14:textId="77777777" w:rsidR="00AD0E97" w:rsidRPr="00781112" w:rsidRDefault="00AD0E97" w:rsidP="00AD0E97">
            <w:pPr>
              <w:jc w:val="center"/>
              <w:rPr>
                <w:rFonts w:cs="Arial"/>
                <w:color w:val="000000" w:themeColor="text1"/>
                <w:szCs w:val="16"/>
              </w:rPr>
            </w:pPr>
            <w:r w:rsidRPr="00781112">
              <w:rPr>
                <w:rFonts w:cs="Arial"/>
                <w:color w:val="000000" w:themeColor="text1"/>
                <w:szCs w:val="16"/>
              </w:rPr>
              <w:t>No Slippage</w:t>
            </w:r>
          </w:p>
        </w:tc>
      </w:tr>
      <w:tr w:rsidR="00AD0E97" w:rsidRPr="00781112" w14:paraId="177F5459" w14:textId="77777777" w:rsidTr="004B3F40">
        <w:tc>
          <w:tcPr>
            <w:tcW w:w="198" w:type="pct"/>
            <w:vAlign w:val="center"/>
          </w:tcPr>
          <w:p w14:paraId="313DDEAF" w14:textId="77777777"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C</w:t>
            </w:r>
          </w:p>
        </w:tc>
        <w:tc>
          <w:tcPr>
            <w:tcW w:w="411" w:type="pct"/>
            <w:vAlign w:val="center"/>
          </w:tcPr>
          <w:p w14:paraId="2D94A7F5" w14:textId="77777777"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HS</w:t>
            </w:r>
          </w:p>
        </w:tc>
        <w:tc>
          <w:tcPr>
            <w:tcW w:w="939" w:type="pct"/>
            <w:vAlign w:val="center"/>
          </w:tcPr>
          <w:p w14:paraId="3AFC2750" w14:textId="77777777" w:rsidR="00AD0E97" w:rsidRPr="00781112" w:rsidRDefault="00AD0E97" w:rsidP="00AD0E97">
            <w:pPr>
              <w:jc w:val="center"/>
              <w:rPr>
                <w:rFonts w:cs="Arial"/>
                <w:color w:val="000000" w:themeColor="text1"/>
                <w:szCs w:val="16"/>
              </w:rPr>
            </w:pPr>
            <w:r w:rsidRPr="00781112">
              <w:rPr>
                <w:rFonts w:cs="Arial"/>
                <w:color w:val="000000"/>
                <w:szCs w:val="16"/>
              </w:rPr>
              <w:t>338</w:t>
            </w:r>
          </w:p>
        </w:tc>
        <w:tc>
          <w:tcPr>
            <w:tcW w:w="939" w:type="pct"/>
            <w:vAlign w:val="center"/>
          </w:tcPr>
          <w:p w14:paraId="767D0293" w14:textId="77777777" w:rsidR="00AD0E97" w:rsidRPr="00781112" w:rsidRDefault="00AD0E97" w:rsidP="00AD0E97">
            <w:pPr>
              <w:jc w:val="center"/>
              <w:rPr>
                <w:rFonts w:cs="Arial"/>
                <w:color w:val="000000" w:themeColor="text1"/>
                <w:szCs w:val="16"/>
              </w:rPr>
            </w:pPr>
            <w:r w:rsidRPr="00781112">
              <w:rPr>
                <w:rFonts w:cs="Arial"/>
                <w:color w:val="000000" w:themeColor="text1"/>
                <w:szCs w:val="16"/>
              </w:rPr>
              <w:t>2,437</w:t>
            </w:r>
          </w:p>
        </w:tc>
        <w:tc>
          <w:tcPr>
            <w:tcW w:w="503" w:type="pct"/>
            <w:vAlign w:val="center"/>
          </w:tcPr>
          <w:p w14:paraId="34D8AB6D" w14:textId="77777777" w:rsidR="00AD0E97" w:rsidRPr="00781112" w:rsidRDefault="00AD0E97" w:rsidP="00AD0E97">
            <w:pPr>
              <w:jc w:val="center"/>
              <w:rPr>
                <w:rFonts w:cs="Arial"/>
                <w:color w:val="000000" w:themeColor="text1"/>
                <w:szCs w:val="16"/>
              </w:rPr>
            </w:pPr>
            <w:r w:rsidRPr="00781112">
              <w:rPr>
                <w:rFonts w:cs="Arial"/>
                <w:color w:val="000000" w:themeColor="text1"/>
                <w:szCs w:val="16"/>
              </w:rPr>
              <w:t>10.49%</w:t>
            </w:r>
          </w:p>
        </w:tc>
        <w:tc>
          <w:tcPr>
            <w:tcW w:w="503" w:type="pct"/>
            <w:vAlign w:val="center"/>
          </w:tcPr>
          <w:p w14:paraId="77354F55" w14:textId="77777777" w:rsidR="00AD0E97" w:rsidRPr="00781112" w:rsidRDefault="00AD0E97" w:rsidP="00AD0E97">
            <w:pPr>
              <w:jc w:val="center"/>
              <w:rPr>
                <w:rFonts w:cs="Arial"/>
                <w:color w:val="000000" w:themeColor="text1"/>
                <w:szCs w:val="16"/>
              </w:rPr>
            </w:pPr>
            <w:r w:rsidRPr="00781112">
              <w:rPr>
                <w:rFonts w:cs="Arial"/>
                <w:color w:val="000000" w:themeColor="text1"/>
                <w:szCs w:val="16"/>
              </w:rPr>
              <w:t>11.70%</w:t>
            </w:r>
          </w:p>
        </w:tc>
        <w:tc>
          <w:tcPr>
            <w:tcW w:w="503" w:type="pct"/>
            <w:vAlign w:val="center"/>
          </w:tcPr>
          <w:p w14:paraId="53316ECE" w14:textId="77777777" w:rsidR="00AD0E97" w:rsidRPr="00781112" w:rsidRDefault="00AD0E97" w:rsidP="00AD0E97">
            <w:pPr>
              <w:jc w:val="center"/>
              <w:rPr>
                <w:rFonts w:cs="Arial"/>
                <w:color w:val="000000" w:themeColor="text1"/>
                <w:szCs w:val="16"/>
              </w:rPr>
            </w:pPr>
            <w:r w:rsidRPr="00781112">
              <w:rPr>
                <w:rFonts w:cs="Arial"/>
                <w:color w:val="000000" w:themeColor="text1"/>
                <w:szCs w:val="16"/>
              </w:rPr>
              <w:t>13.87%</w:t>
            </w:r>
          </w:p>
        </w:tc>
        <w:tc>
          <w:tcPr>
            <w:tcW w:w="503" w:type="pct"/>
            <w:vAlign w:val="center"/>
          </w:tcPr>
          <w:p w14:paraId="2A74C9A7" w14:textId="77777777" w:rsidR="00AD0E97" w:rsidRPr="00781112" w:rsidRDefault="00AD0E97" w:rsidP="00AD0E97">
            <w:pPr>
              <w:jc w:val="center"/>
              <w:rPr>
                <w:rFonts w:cs="Arial"/>
                <w:color w:val="000000" w:themeColor="text1"/>
                <w:szCs w:val="16"/>
              </w:rPr>
            </w:pPr>
            <w:r w:rsidRPr="00781112">
              <w:rPr>
                <w:rFonts w:cs="Arial"/>
                <w:color w:val="000000" w:themeColor="text1"/>
                <w:szCs w:val="16"/>
              </w:rPr>
              <w:t>Met target</w:t>
            </w:r>
          </w:p>
        </w:tc>
        <w:tc>
          <w:tcPr>
            <w:tcW w:w="501" w:type="pct"/>
            <w:vAlign w:val="center"/>
          </w:tcPr>
          <w:p w14:paraId="5D68C5F6" w14:textId="77777777" w:rsidR="00AD0E97" w:rsidRPr="00781112" w:rsidRDefault="00AD0E97" w:rsidP="00AD0E97">
            <w:pPr>
              <w:jc w:val="center"/>
              <w:rPr>
                <w:rFonts w:cs="Arial"/>
                <w:color w:val="000000" w:themeColor="text1"/>
                <w:szCs w:val="16"/>
              </w:rPr>
            </w:pPr>
            <w:r w:rsidRPr="00781112">
              <w:rPr>
                <w:rFonts w:cs="Arial"/>
                <w:color w:val="000000" w:themeColor="text1"/>
                <w:szCs w:val="16"/>
              </w:rPr>
              <w:t>No Slippage</w:t>
            </w:r>
          </w:p>
        </w:tc>
      </w:tr>
    </w:tbl>
    <w:p w14:paraId="0AD395FB" w14:textId="77777777" w:rsidR="005004AB" w:rsidRPr="00781112" w:rsidRDefault="005004AB" w:rsidP="005004AB">
      <w:pPr>
        <w:rPr>
          <w:color w:val="000000" w:themeColor="text1"/>
        </w:rPr>
      </w:pPr>
    </w:p>
    <w:p w14:paraId="722D61C6" w14:textId="77777777" w:rsidR="00497DE4" w:rsidRPr="00781112" w:rsidRDefault="0047313F" w:rsidP="004369B2">
      <w:pPr>
        <w:rPr>
          <w:b/>
          <w:color w:val="000000" w:themeColor="text1"/>
        </w:rPr>
      </w:pPr>
      <w:r>
        <w:rPr>
          <w:b/>
          <w:color w:val="000000" w:themeColor="text1"/>
        </w:rPr>
        <w:t>FFY 2024 SPP/APR Data: Math Assessment</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FFYAPRDATAMATHASS"/>
      </w:tblPr>
      <w:tblGrid>
        <w:gridCol w:w="481"/>
        <w:gridCol w:w="1048"/>
        <w:gridCol w:w="1932"/>
        <w:gridCol w:w="1932"/>
        <w:gridCol w:w="1078"/>
        <w:gridCol w:w="1078"/>
        <w:gridCol w:w="1078"/>
        <w:gridCol w:w="1078"/>
        <w:gridCol w:w="1076"/>
      </w:tblGrid>
      <w:tr w:rsidR="00FA33C9" w:rsidRPr="00781112" w14:paraId="22226D19" w14:textId="77777777" w:rsidTr="00242D8A">
        <w:trPr>
          <w:tblHeader/>
          <w:jc w:val="center"/>
        </w:trPr>
        <w:tc>
          <w:tcPr>
            <w:tcW w:w="223" w:type="pct"/>
            <w:vAlign w:val="bottom"/>
          </w:tcPr>
          <w:p w14:paraId="520CCD7C" w14:textId="77777777" w:rsidR="00FA33C9" w:rsidRPr="00781112" w:rsidRDefault="00FA33C9" w:rsidP="00FA33C9">
            <w:pPr>
              <w:jc w:val="center"/>
              <w:rPr>
                <w:b/>
                <w:color w:val="000000" w:themeColor="text1"/>
              </w:rPr>
            </w:pPr>
            <w:r w:rsidRPr="00781112">
              <w:rPr>
                <w:b/>
                <w:color w:val="000000" w:themeColor="text1"/>
              </w:rPr>
              <w:t>Group</w:t>
            </w:r>
          </w:p>
        </w:tc>
        <w:tc>
          <w:tcPr>
            <w:tcW w:w="486" w:type="pct"/>
            <w:vAlign w:val="bottom"/>
          </w:tcPr>
          <w:p w14:paraId="5033DEE5" w14:textId="77777777" w:rsidR="00FA33C9" w:rsidRPr="00781112" w:rsidRDefault="00FA33C9" w:rsidP="00FA33C9">
            <w:pPr>
              <w:jc w:val="center"/>
              <w:rPr>
                <w:b/>
                <w:color w:val="000000" w:themeColor="text1"/>
              </w:rPr>
            </w:pPr>
            <w:r w:rsidRPr="00781112">
              <w:rPr>
                <w:b/>
                <w:color w:val="000000" w:themeColor="text1"/>
              </w:rPr>
              <w:t>Group Name</w:t>
            </w:r>
          </w:p>
        </w:tc>
        <w:tc>
          <w:tcPr>
            <w:tcW w:w="896" w:type="pct"/>
          </w:tcPr>
          <w:p w14:paraId="70FAD0A7" w14:textId="77777777" w:rsidR="00FA33C9" w:rsidRPr="00781112" w:rsidRDefault="00FA33C9" w:rsidP="00FA33C9">
            <w:pPr>
              <w:jc w:val="center"/>
              <w:rPr>
                <w:b/>
                <w:color w:val="000000" w:themeColor="text1"/>
              </w:rPr>
            </w:pPr>
            <w:r w:rsidRPr="00781112">
              <w:rPr>
                <w:b/>
                <w:bCs/>
              </w:rPr>
              <w:t>Number of Children with IEPs Scoring At or Above Proficient Against Grade Level Academic Achievement Standards</w:t>
            </w:r>
          </w:p>
        </w:tc>
        <w:tc>
          <w:tcPr>
            <w:tcW w:w="896" w:type="pct"/>
          </w:tcPr>
          <w:p w14:paraId="61239239" w14:textId="77777777" w:rsidR="00FA33C9" w:rsidRPr="00781112" w:rsidRDefault="00FA33C9" w:rsidP="00FA33C9">
            <w:pPr>
              <w:jc w:val="center"/>
              <w:rPr>
                <w:b/>
                <w:color w:val="000000" w:themeColor="text1"/>
              </w:rPr>
            </w:pPr>
            <w:r w:rsidRPr="00781112">
              <w:rPr>
                <w:b/>
                <w:bCs/>
              </w:rPr>
              <w:t>Number of Children with IEPs who Received a Valid Score and for whom a Proficiency Level was Assigned for the Regular Assessment</w:t>
            </w:r>
          </w:p>
        </w:tc>
        <w:tc>
          <w:tcPr>
            <w:tcW w:w="500" w:type="pct"/>
            <w:vAlign w:val="bottom"/>
          </w:tcPr>
          <w:p w14:paraId="2CAD82C7" w14:textId="77777777" w:rsidR="00FA33C9" w:rsidRPr="00073BD7" w:rsidRDefault="00FA33C9" w:rsidP="00FA33C9">
            <w:pPr>
              <w:jc w:val="center"/>
              <w:rPr>
                <w:b/>
                <w:bCs/>
                <w:color w:val="000000" w:themeColor="text1"/>
              </w:rPr>
            </w:pPr>
            <w:r w:rsidRPr="00073BD7">
              <w:rPr>
                <w:b/>
                <w:bCs/>
              </w:rPr>
              <w:t>FFY 2023 Data</w:t>
            </w:r>
          </w:p>
        </w:tc>
        <w:tc>
          <w:tcPr>
            <w:tcW w:w="500" w:type="pct"/>
            <w:vAlign w:val="bottom"/>
          </w:tcPr>
          <w:p w14:paraId="177EDF9E" w14:textId="77777777" w:rsidR="00FA33C9" w:rsidRPr="00073BD7" w:rsidRDefault="00FA33C9" w:rsidP="00FA33C9">
            <w:pPr>
              <w:jc w:val="center"/>
              <w:rPr>
                <w:b/>
                <w:bCs/>
                <w:color w:val="000000" w:themeColor="text1"/>
              </w:rPr>
            </w:pPr>
            <w:r w:rsidRPr="00073BD7">
              <w:rPr>
                <w:b/>
                <w:bCs/>
              </w:rPr>
              <w:t>FFY 2024 Target</w:t>
            </w:r>
          </w:p>
        </w:tc>
        <w:tc>
          <w:tcPr>
            <w:tcW w:w="500" w:type="pct"/>
            <w:vAlign w:val="bottom"/>
          </w:tcPr>
          <w:p w14:paraId="79556346" w14:textId="77777777" w:rsidR="00FA33C9" w:rsidRPr="00073BD7" w:rsidRDefault="00FA33C9" w:rsidP="00FA33C9">
            <w:pPr>
              <w:jc w:val="center"/>
              <w:rPr>
                <w:b/>
                <w:bCs/>
                <w:color w:val="000000" w:themeColor="text1"/>
              </w:rPr>
            </w:pPr>
            <w:r w:rsidRPr="00073BD7">
              <w:rPr>
                <w:b/>
                <w:bCs/>
              </w:rPr>
              <w:t>FFY 2024 Data</w:t>
            </w:r>
          </w:p>
        </w:tc>
        <w:tc>
          <w:tcPr>
            <w:tcW w:w="500" w:type="pct"/>
            <w:vAlign w:val="bottom"/>
          </w:tcPr>
          <w:p w14:paraId="5BCE5B15" w14:textId="77777777" w:rsidR="00FA33C9" w:rsidRPr="00781112" w:rsidRDefault="00FA33C9" w:rsidP="00FA33C9">
            <w:pPr>
              <w:jc w:val="center"/>
              <w:rPr>
                <w:b/>
                <w:color w:val="000000" w:themeColor="text1"/>
              </w:rPr>
            </w:pPr>
            <w:r w:rsidRPr="00781112">
              <w:rPr>
                <w:b/>
                <w:color w:val="000000" w:themeColor="text1"/>
              </w:rPr>
              <w:t>Status</w:t>
            </w:r>
          </w:p>
        </w:tc>
        <w:tc>
          <w:tcPr>
            <w:tcW w:w="499" w:type="pct"/>
            <w:vAlign w:val="bottom"/>
          </w:tcPr>
          <w:p w14:paraId="168908C7" w14:textId="77777777" w:rsidR="00FA33C9" w:rsidRPr="00781112" w:rsidRDefault="00FA33C9" w:rsidP="00FA33C9">
            <w:pPr>
              <w:jc w:val="center"/>
              <w:rPr>
                <w:b/>
                <w:color w:val="000000" w:themeColor="text1"/>
              </w:rPr>
            </w:pPr>
            <w:r w:rsidRPr="00781112">
              <w:rPr>
                <w:b/>
                <w:color w:val="000000" w:themeColor="text1"/>
              </w:rPr>
              <w:t>Slippage</w:t>
            </w:r>
          </w:p>
        </w:tc>
      </w:tr>
      <w:tr w:rsidR="00242D8A" w:rsidRPr="00781112" w14:paraId="6D9931A4" w14:textId="77777777" w:rsidTr="00242D8A">
        <w:trPr>
          <w:jc w:val="center"/>
        </w:trPr>
        <w:tc>
          <w:tcPr>
            <w:tcW w:w="223" w:type="pct"/>
            <w:vAlign w:val="center"/>
          </w:tcPr>
          <w:p w14:paraId="1DC01168" w14:textId="77777777" w:rsidR="00242D8A" w:rsidRPr="00781112" w:rsidRDefault="00242D8A" w:rsidP="00242D8A">
            <w:pPr>
              <w:pStyle w:val="Default"/>
              <w:jc w:val="center"/>
              <w:rPr>
                <w:b/>
                <w:color w:val="000000" w:themeColor="text1"/>
                <w:sz w:val="16"/>
                <w:szCs w:val="16"/>
              </w:rPr>
            </w:pPr>
            <w:r w:rsidRPr="00781112">
              <w:rPr>
                <w:rFonts w:eastAsiaTheme="minorHAnsi"/>
                <w:b/>
                <w:color w:val="000000" w:themeColor="text1"/>
                <w:sz w:val="16"/>
                <w:szCs w:val="16"/>
              </w:rPr>
              <w:t>A</w:t>
            </w:r>
          </w:p>
        </w:tc>
        <w:tc>
          <w:tcPr>
            <w:tcW w:w="486" w:type="pct"/>
            <w:vAlign w:val="center"/>
          </w:tcPr>
          <w:p w14:paraId="6C687488" w14:textId="77777777"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4</w:t>
            </w:r>
          </w:p>
        </w:tc>
        <w:tc>
          <w:tcPr>
            <w:tcW w:w="896" w:type="pct"/>
            <w:vAlign w:val="center"/>
          </w:tcPr>
          <w:p w14:paraId="7E4B769F" w14:textId="77777777" w:rsidR="00242D8A" w:rsidRPr="00781112" w:rsidRDefault="00242D8A" w:rsidP="00242D8A">
            <w:pPr>
              <w:jc w:val="center"/>
              <w:rPr>
                <w:rFonts w:cs="Arial"/>
                <w:color w:val="000000" w:themeColor="text1"/>
                <w:szCs w:val="16"/>
              </w:rPr>
            </w:pPr>
            <w:r w:rsidRPr="00781112">
              <w:rPr>
                <w:rFonts w:cs="Arial"/>
                <w:color w:val="000000" w:themeColor="text1"/>
                <w:szCs w:val="16"/>
              </w:rPr>
              <w:t>814</w:t>
            </w:r>
          </w:p>
        </w:tc>
        <w:tc>
          <w:tcPr>
            <w:tcW w:w="896" w:type="pct"/>
            <w:vAlign w:val="center"/>
          </w:tcPr>
          <w:p w14:paraId="30129D49" w14:textId="77777777" w:rsidR="00242D8A" w:rsidRPr="00781112" w:rsidRDefault="00242D8A" w:rsidP="00242D8A">
            <w:pPr>
              <w:jc w:val="center"/>
              <w:rPr>
                <w:rFonts w:cs="Arial"/>
                <w:color w:val="000000" w:themeColor="text1"/>
                <w:szCs w:val="16"/>
              </w:rPr>
            </w:pPr>
            <w:r w:rsidRPr="00242D8A">
              <w:rPr>
                <w:rFonts w:cs="Arial"/>
                <w:color w:val="000000" w:themeColor="text1"/>
                <w:szCs w:val="16"/>
              </w:rPr>
              <w:t>4,006</w:t>
            </w:r>
          </w:p>
        </w:tc>
        <w:tc>
          <w:tcPr>
            <w:tcW w:w="500" w:type="pct"/>
            <w:vAlign w:val="center"/>
          </w:tcPr>
          <w:p w14:paraId="5528C62C" w14:textId="77777777" w:rsidR="00242D8A" w:rsidRPr="00781112" w:rsidRDefault="00242D8A" w:rsidP="00242D8A">
            <w:pPr>
              <w:jc w:val="center"/>
              <w:rPr>
                <w:rFonts w:cs="Arial"/>
                <w:color w:val="000000" w:themeColor="text1"/>
                <w:szCs w:val="16"/>
              </w:rPr>
            </w:pPr>
            <w:r w:rsidRPr="00781112">
              <w:rPr>
                <w:rFonts w:cs="Arial"/>
                <w:color w:val="000000" w:themeColor="text1"/>
                <w:szCs w:val="16"/>
              </w:rPr>
              <w:t>19.82%</w:t>
            </w:r>
          </w:p>
        </w:tc>
        <w:tc>
          <w:tcPr>
            <w:tcW w:w="500" w:type="pct"/>
            <w:vAlign w:val="center"/>
          </w:tcPr>
          <w:p w14:paraId="184758DC" w14:textId="77777777" w:rsidR="00242D8A" w:rsidRPr="00781112" w:rsidRDefault="00242D8A" w:rsidP="00242D8A">
            <w:pPr>
              <w:jc w:val="center"/>
              <w:rPr>
                <w:rFonts w:cs="Arial"/>
                <w:color w:val="000000" w:themeColor="text1"/>
                <w:szCs w:val="16"/>
              </w:rPr>
            </w:pPr>
            <w:r w:rsidRPr="00781112">
              <w:rPr>
                <w:rFonts w:cs="Arial"/>
                <w:color w:val="000000" w:themeColor="text1"/>
                <w:szCs w:val="16"/>
              </w:rPr>
              <w:t>20.00%</w:t>
            </w:r>
          </w:p>
        </w:tc>
        <w:tc>
          <w:tcPr>
            <w:tcW w:w="500" w:type="pct"/>
            <w:vAlign w:val="center"/>
          </w:tcPr>
          <w:p w14:paraId="04289F5B" w14:textId="77777777" w:rsidR="00242D8A" w:rsidRPr="00781112" w:rsidRDefault="00242D8A" w:rsidP="00242D8A">
            <w:pPr>
              <w:jc w:val="center"/>
              <w:rPr>
                <w:rFonts w:cs="Arial"/>
                <w:color w:val="000000" w:themeColor="text1"/>
                <w:szCs w:val="16"/>
              </w:rPr>
            </w:pPr>
            <w:r w:rsidRPr="00781112">
              <w:rPr>
                <w:rFonts w:cs="Arial"/>
                <w:color w:val="000000" w:themeColor="text1"/>
                <w:szCs w:val="16"/>
              </w:rPr>
              <w:t>20.32%</w:t>
            </w:r>
          </w:p>
        </w:tc>
        <w:tc>
          <w:tcPr>
            <w:tcW w:w="500" w:type="pct"/>
            <w:vAlign w:val="center"/>
          </w:tcPr>
          <w:p w14:paraId="257618B6" w14:textId="77777777" w:rsidR="00242D8A" w:rsidRPr="00781112" w:rsidRDefault="00242D8A" w:rsidP="00242D8A">
            <w:pPr>
              <w:jc w:val="center"/>
              <w:rPr>
                <w:rFonts w:cs="Arial"/>
                <w:color w:val="000000" w:themeColor="text1"/>
                <w:szCs w:val="16"/>
              </w:rPr>
            </w:pPr>
            <w:r w:rsidRPr="00781112">
              <w:rPr>
                <w:rFonts w:cs="Arial"/>
                <w:color w:val="000000" w:themeColor="text1"/>
                <w:szCs w:val="16"/>
              </w:rPr>
              <w:t>Met target</w:t>
            </w:r>
          </w:p>
        </w:tc>
        <w:tc>
          <w:tcPr>
            <w:tcW w:w="499" w:type="pct"/>
            <w:vAlign w:val="center"/>
          </w:tcPr>
          <w:p w14:paraId="3E9ECFDD" w14:textId="77777777" w:rsidR="00242D8A" w:rsidRPr="00781112" w:rsidRDefault="00242D8A" w:rsidP="00242D8A">
            <w:pPr>
              <w:jc w:val="center"/>
              <w:rPr>
                <w:rFonts w:cs="Arial"/>
                <w:color w:val="000000" w:themeColor="text1"/>
                <w:szCs w:val="16"/>
              </w:rPr>
            </w:pPr>
            <w:r w:rsidRPr="00781112">
              <w:rPr>
                <w:rFonts w:cs="Arial"/>
                <w:color w:val="000000" w:themeColor="text1"/>
                <w:szCs w:val="16"/>
              </w:rPr>
              <w:t>No Slippage</w:t>
            </w:r>
          </w:p>
        </w:tc>
      </w:tr>
      <w:tr w:rsidR="00242D8A" w:rsidRPr="00781112" w14:paraId="1A35804C" w14:textId="77777777" w:rsidTr="00242D8A">
        <w:trPr>
          <w:jc w:val="center"/>
        </w:trPr>
        <w:tc>
          <w:tcPr>
            <w:tcW w:w="223" w:type="pct"/>
            <w:vAlign w:val="center"/>
          </w:tcPr>
          <w:p w14:paraId="2912510C" w14:textId="77777777" w:rsidR="00242D8A" w:rsidRPr="00781112" w:rsidRDefault="00242D8A" w:rsidP="00242D8A">
            <w:pPr>
              <w:pStyle w:val="Default"/>
              <w:jc w:val="center"/>
              <w:rPr>
                <w:b/>
                <w:color w:val="000000" w:themeColor="text1"/>
                <w:sz w:val="16"/>
                <w:szCs w:val="16"/>
              </w:rPr>
            </w:pPr>
            <w:r w:rsidRPr="00781112">
              <w:rPr>
                <w:b/>
                <w:color w:val="000000" w:themeColor="text1"/>
                <w:sz w:val="16"/>
                <w:szCs w:val="16"/>
              </w:rPr>
              <w:t>B</w:t>
            </w:r>
          </w:p>
        </w:tc>
        <w:tc>
          <w:tcPr>
            <w:tcW w:w="486" w:type="pct"/>
            <w:vAlign w:val="center"/>
          </w:tcPr>
          <w:p w14:paraId="3EBC0590" w14:textId="77777777"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8</w:t>
            </w:r>
          </w:p>
        </w:tc>
        <w:tc>
          <w:tcPr>
            <w:tcW w:w="896" w:type="pct"/>
            <w:vAlign w:val="center"/>
          </w:tcPr>
          <w:p w14:paraId="4E2E34BC" w14:textId="77777777" w:rsidR="00242D8A" w:rsidRPr="00781112" w:rsidRDefault="00242D8A" w:rsidP="00242D8A">
            <w:pPr>
              <w:jc w:val="center"/>
              <w:rPr>
                <w:rFonts w:cs="Arial"/>
                <w:color w:val="000000" w:themeColor="text1"/>
                <w:szCs w:val="16"/>
              </w:rPr>
            </w:pPr>
            <w:r w:rsidRPr="00781112">
              <w:rPr>
                <w:rFonts w:cs="Arial"/>
                <w:color w:val="000000" w:themeColor="text1"/>
                <w:szCs w:val="16"/>
              </w:rPr>
              <w:t>206</w:t>
            </w:r>
          </w:p>
        </w:tc>
        <w:tc>
          <w:tcPr>
            <w:tcW w:w="896" w:type="pct"/>
            <w:vAlign w:val="center"/>
          </w:tcPr>
          <w:p w14:paraId="5DA9FED1" w14:textId="77777777" w:rsidR="00242D8A" w:rsidRPr="00781112" w:rsidRDefault="00242D8A" w:rsidP="00242D8A">
            <w:pPr>
              <w:jc w:val="center"/>
              <w:rPr>
                <w:rFonts w:cs="Arial"/>
                <w:color w:val="000000" w:themeColor="text1"/>
                <w:szCs w:val="16"/>
              </w:rPr>
            </w:pPr>
            <w:r w:rsidRPr="00242D8A">
              <w:rPr>
                <w:rFonts w:cs="Arial"/>
                <w:color w:val="000000" w:themeColor="text1"/>
                <w:szCs w:val="16"/>
              </w:rPr>
              <w:t>3,372</w:t>
            </w:r>
          </w:p>
        </w:tc>
        <w:tc>
          <w:tcPr>
            <w:tcW w:w="500" w:type="pct"/>
            <w:vAlign w:val="center"/>
          </w:tcPr>
          <w:p w14:paraId="5DA16EB1" w14:textId="77777777" w:rsidR="00242D8A" w:rsidRPr="00781112" w:rsidRDefault="00242D8A" w:rsidP="00242D8A">
            <w:pPr>
              <w:jc w:val="center"/>
              <w:rPr>
                <w:rFonts w:cs="Arial"/>
                <w:color w:val="000000" w:themeColor="text1"/>
                <w:szCs w:val="16"/>
              </w:rPr>
            </w:pPr>
            <w:r w:rsidRPr="00781112">
              <w:rPr>
                <w:rFonts w:cs="Arial"/>
                <w:color w:val="000000" w:themeColor="text1"/>
                <w:szCs w:val="16"/>
              </w:rPr>
              <w:t>4.63%</w:t>
            </w:r>
          </w:p>
        </w:tc>
        <w:tc>
          <w:tcPr>
            <w:tcW w:w="500" w:type="pct"/>
            <w:vAlign w:val="center"/>
          </w:tcPr>
          <w:p w14:paraId="1520632E" w14:textId="77777777" w:rsidR="00242D8A" w:rsidRPr="00781112" w:rsidRDefault="00242D8A" w:rsidP="00242D8A">
            <w:pPr>
              <w:jc w:val="center"/>
              <w:rPr>
                <w:rFonts w:cs="Arial"/>
                <w:color w:val="000000" w:themeColor="text1"/>
                <w:szCs w:val="16"/>
              </w:rPr>
            </w:pPr>
            <w:r w:rsidRPr="00781112">
              <w:rPr>
                <w:rFonts w:cs="Arial"/>
                <w:color w:val="000000" w:themeColor="text1"/>
                <w:szCs w:val="16"/>
              </w:rPr>
              <w:t>7.50%</w:t>
            </w:r>
          </w:p>
        </w:tc>
        <w:tc>
          <w:tcPr>
            <w:tcW w:w="500" w:type="pct"/>
            <w:vAlign w:val="center"/>
          </w:tcPr>
          <w:p w14:paraId="16899E40" w14:textId="77777777" w:rsidR="00242D8A" w:rsidRPr="00781112" w:rsidRDefault="00242D8A" w:rsidP="00242D8A">
            <w:pPr>
              <w:jc w:val="center"/>
              <w:rPr>
                <w:rFonts w:cs="Arial"/>
                <w:color w:val="000000" w:themeColor="text1"/>
                <w:szCs w:val="16"/>
              </w:rPr>
            </w:pPr>
            <w:r w:rsidRPr="00781112">
              <w:rPr>
                <w:rFonts w:cs="Arial"/>
                <w:color w:val="000000" w:themeColor="text1"/>
                <w:szCs w:val="16"/>
              </w:rPr>
              <w:t>6.11%</w:t>
            </w:r>
          </w:p>
        </w:tc>
        <w:tc>
          <w:tcPr>
            <w:tcW w:w="500" w:type="pct"/>
            <w:vAlign w:val="center"/>
          </w:tcPr>
          <w:p w14:paraId="3888BC1E" w14:textId="77777777" w:rsidR="00242D8A" w:rsidRPr="00781112" w:rsidRDefault="00242D8A" w:rsidP="00242D8A">
            <w:pPr>
              <w:jc w:val="center"/>
              <w:rPr>
                <w:rFonts w:cs="Arial"/>
                <w:color w:val="000000" w:themeColor="text1"/>
                <w:szCs w:val="16"/>
              </w:rPr>
            </w:pPr>
            <w:r w:rsidRPr="00781112">
              <w:rPr>
                <w:rFonts w:cs="Arial"/>
                <w:color w:val="000000" w:themeColor="text1"/>
                <w:szCs w:val="16"/>
              </w:rPr>
              <w:t>Did not meet target</w:t>
            </w:r>
          </w:p>
        </w:tc>
        <w:tc>
          <w:tcPr>
            <w:tcW w:w="499" w:type="pct"/>
            <w:vAlign w:val="center"/>
          </w:tcPr>
          <w:p w14:paraId="70A58D95" w14:textId="77777777" w:rsidR="00242D8A" w:rsidRPr="00781112" w:rsidRDefault="00242D8A" w:rsidP="00242D8A">
            <w:pPr>
              <w:jc w:val="center"/>
              <w:rPr>
                <w:rFonts w:cs="Arial"/>
                <w:color w:val="000000" w:themeColor="text1"/>
                <w:szCs w:val="16"/>
              </w:rPr>
            </w:pPr>
            <w:r w:rsidRPr="00781112">
              <w:rPr>
                <w:rFonts w:cs="Arial"/>
                <w:color w:val="000000" w:themeColor="text1"/>
                <w:szCs w:val="16"/>
              </w:rPr>
              <w:t>No Slippage</w:t>
            </w:r>
          </w:p>
        </w:tc>
      </w:tr>
      <w:tr w:rsidR="00242D8A" w:rsidRPr="00781112" w14:paraId="1E2F3F1C" w14:textId="77777777" w:rsidTr="00242D8A">
        <w:trPr>
          <w:jc w:val="center"/>
        </w:trPr>
        <w:tc>
          <w:tcPr>
            <w:tcW w:w="223" w:type="pct"/>
            <w:vAlign w:val="center"/>
          </w:tcPr>
          <w:p w14:paraId="11879E22" w14:textId="77777777" w:rsidR="00242D8A" w:rsidRPr="00781112" w:rsidRDefault="00242D8A" w:rsidP="00242D8A">
            <w:pPr>
              <w:pStyle w:val="Default"/>
              <w:jc w:val="center"/>
              <w:rPr>
                <w:rFonts w:eastAsiaTheme="minorHAnsi"/>
                <w:color w:val="000000" w:themeColor="text1"/>
                <w:sz w:val="16"/>
                <w:szCs w:val="16"/>
              </w:rPr>
            </w:pPr>
            <w:r w:rsidRPr="00781112">
              <w:rPr>
                <w:b/>
                <w:color w:val="000000" w:themeColor="text1"/>
                <w:sz w:val="16"/>
                <w:szCs w:val="16"/>
              </w:rPr>
              <w:t>C</w:t>
            </w:r>
          </w:p>
        </w:tc>
        <w:tc>
          <w:tcPr>
            <w:tcW w:w="486" w:type="pct"/>
            <w:vAlign w:val="center"/>
          </w:tcPr>
          <w:p w14:paraId="1ACA2C83" w14:textId="77777777"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HS</w:t>
            </w:r>
          </w:p>
        </w:tc>
        <w:tc>
          <w:tcPr>
            <w:tcW w:w="896" w:type="pct"/>
            <w:vAlign w:val="center"/>
          </w:tcPr>
          <w:p w14:paraId="591A4CDE" w14:textId="77777777" w:rsidR="00242D8A" w:rsidRPr="00781112" w:rsidRDefault="00242D8A" w:rsidP="00242D8A">
            <w:pPr>
              <w:jc w:val="center"/>
              <w:rPr>
                <w:rFonts w:cs="Arial"/>
                <w:color w:val="000000" w:themeColor="text1"/>
                <w:szCs w:val="16"/>
              </w:rPr>
            </w:pPr>
            <w:r w:rsidRPr="00781112">
              <w:rPr>
                <w:rFonts w:cs="Arial"/>
                <w:color w:val="000000" w:themeColor="text1"/>
                <w:szCs w:val="16"/>
              </w:rPr>
              <w:t>66</w:t>
            </w:r>
          </w:p>
        </w:tc>
        <w:tc>
          <w:tcPr>
            <w:tcW w:w="896" w:type="pct"/>
            <w:vAlign w:val="center"/>
          </w:tcPr>
          <w:p w14:paraId="6103D217" w14:textId="77777777" w:rsidR="00242D8A" w:rsidRPr="00781112" w:rsidRDefault="00242D8A" w:rsidP="00242D8A">
            <w:pPr>
              <w:jc w:val="center"/>
              <w:rPr>
                <w:rFonts w:cs="Arial"/>
                <w:color w:val="000000" w:themeColor="text1"/>
                <w:szCs w:val="16"/>
              </w:rPr>
            </w:pPr>
            <w:r w:rsidRPr="00242D8A">
              <w:rPr>
                <w:rFonts w:cs="Arial"/>
                <w:color w:val="000000" w:themeColor="text1"/>
                <w:szCs w:val="16"/>
              </w:rPr>
              <w:t>2,437</w:t>
            </w:r>
          </w:p>
        </w:tc>
        <w:tc>
          <w:tcPr>
            <w:tcW w:w="500" w:type="pct"/>
            <w:vAlign w:val="center"/>
          </w:tcPr>
          <w:p w14:paraId="6A9F9658" w14:textId="77777777" w:rsidR="00242D8A" w:rsidRPr="00781112" w:rsidRDefault="00242D8A" w:rsidP="00242D8A">
            <w:pPr>
              <w:jc w:val="center"/>
              <w:rPr>
                <w:rFonts w:cs="Arial"/>
                <w:color w:val="000000" w:themeColor="text1"/>
                <w:szCs w:val="16"/>
              </w:rPr>
            </w:pPr>
            <w:r w:rsidRPr="00781112">
              <w:rPr>
                <w:rFonts w:cs="Arial"/>
                <w:color w:val="000000" w:themeColor="text1"/>
                <w:szCs w:val="16"/>
              </w:rPr>
              <w:t>2.32%</w:t>
            </w:r>
          </w:p>
        </w:tc>
        <w:tc>
          <w:tcPr>
            <w:tcW w:w="500" w:type="pct"/>
            <w:vAlign w:val="center"/>
          </w:tcPr>
          <w:p w14:paraId="07578D95" w14:textId="77777777" w:rsidR="00242D8A" w:rsidRPr="00781112" w:rsidRDefault="00242D8A" w:rsidP="00242D8A">
            <w:pPr>
              <w:jc w:val="center"/>
              <w:rPr>
                <w:rFonts w:cs="Arial"/>
                <w:color w:val="000000" w:themeColor="text1"/>
                <w:szCs w:val="16"/>
              </w:rPr>
            </w:pPr>
            <w:r w:rsidRPr="00781112">
              <w:rPr>
                <w:rFonts w:cs="Arial"/>
                <w:color w:val="000000" w:themeColor="text1"/>
                <w:szCs w:val="16"/>
              </w:rPr>
              <w:t>5.00%</w:t>
            </w:r>
          </w:p>
        </w:tc>
        <w:tc>
          <w:tcPr>
            <w:tcW w:w="500" w:type="pct"/>
            <w:vAlign w:val="center"/>
          </w:tcPr>
          <w:p w14:paraId="44DF37EA" w14:textId="77777777" w:rsidR="00242D8A" w:rsidRPr="00781112" w:rsidRDefault="00242D8A" w:rsidP="00242D8A">
            <w:pPr>
              <w:jc w:val="center"/>
              <w:rPr>
                <w:rFonts w:cs="Arial"/>
                <w:color w:val="000000" w:themeColor="text1"/>
                <w:szCs w:val="16"/>
              </w:rPr>
            </w:pPr>
            <w:r w:rsidRPr="00781112">
              <w:rPr>
                <w:rFonts w:cs="Arial"/>
                <w:color w:val="000000" w:themeColor="text1"/>
                <w:szCs w:val="16"/>
              </w:rPr>
              <w:t>2.71%</w:t>
            </w:r>
          </w:p>
        </w:tc>
        <w:tc>
          <w:tcPr>
            <w:tcW w:w="500" w:type="pct"/>
            <w:vAlign w:val="center"/>
          </w:tcPr>
          <w:p w14:paraId="4270DAFB" w14:textId="77777777" w:rsidR="00242D8A" w:rsidRPr="00781112" w:rsidRDefault="00242D8A" w:rsidP="00242D8A">
            <w:pPr>
              <w:jc w:val="center"/>
              <w:rPr>
                <w:rFonts w:cs="Arial"/>
                <w:color w:val="000000" w:themeColor="text1"/>
                <w:szCs w:val="16"/>
              </w:rPr>
            </w:pPr>
            <w:r w:rsidRPr="00781112">
              <w:rPr>
                <w:rFonts w:cs="Arial"/>
                <w:color w:val="000000" w:themeColor="text1"/>
                <w:szCs w:val="16"/>
              </w:rPr>
              <w:t>Did not meet target</w:t>
            </w:r>
          </w:p>
        </w:tc>
        <w:tc>
          <w:tcPr>
            <w:tcW w:w="499" w:type="pct"/>
            <w:vAlign w:val="center"/>
          </w:tcPr>
          <w:p w14:paraId="7E8DBA41" w14:textId="77777777" w:rsidR="00242D8A" w:rsidRPr="00781112" w:rsidRDefault="00242D8A" w:rsidP="00242D8A">
            <w:pPr>
              <w:jc w:val="center"/>
              <w:rPr>
                <w:rFonts w:cs="Arial"/>
                <w:color w:val="000000" w:themeColor="text1"/>
                <w:szCs w:val="16"/>
              </w:rPr>
            </w:pPr>
            <w:r w:rsidRPr="00781112">
              <w:rPr>
                <w:rFonts w:cs="Arial"/>
                <w:color w:val="000000" w:themeColor="text1"/>
                <w:szCs w:val="16"/>
              </w:rPr>
              <w:t>No Slippage</w:t>
            </w:r>
          </w:p>
        </w:tc>
      </w:tr>
    </w:tbl>
    <w:p w14:paraId="1594D371" w14:textId="77777777" w:rsidR="00CF57A2" w:rsidRPr="00781112" w:rsidRDefault="00CF57A2" w:rsidP="00580134">
      <w:pPr>
        <w:rPr>
          <w:rFonts w:cs="Arial"/>
          <w:iCs/>
          <w:color w:val="000000" w:themeColor="text1"/>
          <w:szCs w:val="16"/>
        </w:rPr>
      </w:pPr>
    </w:p>
    <w:p w14:paraId="0980475B" w14:textId="77777777" w:rsidR="00497DE4" w:rsidRPr="00781112" w:rsidRDefault="00497DE4" w:rsidP="004369B2">
      <w:pPr>
        <w:rPr>
          <w:color w:val="000000" w:themeColor="text1"/>
        </w:rPr>
      </w:pPr>
      <w:r w:rsidRPr="00781112">
        <w:rPr>
          <w:b/>
          <w:color w:val="000000" w:themeColor="text1"/>
        </w:rPr>
        <w:t>Regulatory Information</w:t>
      </w:r>
    </w:p>
    <w:p w14:paraId="193E3578" w14:textId="77777777" w:rsidR="00497DE4" w:rsidRPr="00781112" w:rsidRDefault="00A14B5D" w:rsidP="00552927">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r w:rsidR="00497DE4" w:rsidRPr="00781112">
        <w:rPr>
          <w:rFonts w:cs="Arial"/>
          <w:b/>
          <w:color w:val="000000" w:themeColor="text1"/>
          <w:szCs w:val="16"/>
          <w:shd w:val="clear" w:color="auto" w:fill="FFFFFF"/>
        </w:rPr>
        <w:t xml:space="preserve"> </w:t>
      </w:r>
    </w:p>
    <w:p w14:paraId="0295F40B" w14:textId="77777777" w:rsidR="00585959" w:rsidRPr="00781112" w:rsidRDefault="00585959" w:rsidP="004369B2">
      <w:pPr>
        <w:rPr>
          <w:color w:val="000000" w:themeColor="text1"/>
        </w:rPr>
      </w:pPr>
    </w:p>
    <w:p w14:paraId="4DC00D5B" w14:textId="77777777" w:rsidR="000A5A2E" w:rsidRPr="00781112" w:rsidRDefault="000A5A2E" w:rsidP="004369B2">
      <w:pPr>
        <w:rPr>
          <w:color w:val="000000" w:themeColor="text1"/>
        </w:rPr>
      </w:pPr>
      <w:r w:rsidRPr="00781112">
        <w:rPr>
          <w:b/>
          <w:color w:val="000000" w:themeColor="text1"/>
        </w:rPr>
        <w:t>Public Reporting Information</w:t>
      </w:r>
    </w:p>
    <w:p w14:paraId="5BCD4136" w14:textId="77777777" w:rsidR="00E539AB" w:rsidRPr="00781112" w:rsidRDefault="00E539AB" w:rsidP="00E539AB">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14:paraId="6C4BADB3" w14:textId="77777777" w:rsidR="00A869E9" w:rsidRPr="00781112" w:rsidRDefault="002B7490" w:rsidP="00E539AB">
      <w:pPr>
        <w:rPr>
          <w:rFonts w:cs="Arial"/>
          <w:color w:val="000000" w:themeColor="text1"/>
          <w:szCs w:val="16"/>
        </w:rPr>
      </w:pPr>
      <w:r w:rsidRPr="00781112">
        <w:rPr>
          <w:rFonts w:cs="Arial"/>
          <w:color w:val="000000" w:themeColor="text1"/>
          <w:szCs w:val="16"/>
        </w:rPr>
        <w:t>West Virginia uses the General Summative Assessment (GSA) to determine grade-level academic achievement standard proficiency in reading and math and the Alternate Summative Assessment (ASA) to determine alternate academic achievement standard proficiency in reading and math.</w:t>
      </w:r>
    </w:p>
    <w:p w14:paraId="2E539A40" w14:textId="77777777" w:rsidR="00CA787A" w:rsidRDefault="00CA787A"/>
    <w:p w14:paraId="58514438" w14:textId="77777777" w:rsidR="00CA787A" w:rsidRDefault="003169E9">
      <w:r>
        <w:rPr>
          <w:color w:val="000000"/>
        </w:rPr>
        <w:t>PARTICIPATION AND PERFORMANCE – ALL STUDENTS – REGULAR ASSESSMENTS</w:t>
      </w:r>
    </w:p>
    <w:p w14:paraId="40B2F04F" w14:textId="77777777" w:rsidR="00CA787A" w:rsidRDefault="003169E9">
      <w:r>
        <w:rPr>
          <w:color w:val="000000"/>
        </w:rPr>
        <w:t>— https://zoomwv.k12.wv.us/Dashboard/dashboard/7310</w:t>
      </w:r>
    </w:p>
    <w:p w14:paraId="2BB9E9FB" w14:textId="77777777" w:rsidR="00CA787A" w:rsidRDefault="003169E9">
      <w:r>
        <w:rPr>
          <w:color w:val="000000"/>
        </w:rPr>
        <w:t xml:space="preserve">— From the </w:t>
      </w:r>
      <w:proofErr w:type="spellStart"/>
      <w:r>
        <w:rPr>
          <w:color w:val="000000"/>
        </w:rPr>
        <w:t>ZoomWV</w:t>
      </w:r>
      <w:proofErr w:type="spellEnd"/>
      <w:r>
        <w:rPr>
          <w:color w:val="000000"/>
        </w:rPr>
        <w:t xml:space="preserve"> homepage, use the breadcrumbs: </w:t>
      </w:r>
      <w:proofErr w:type="spellStart"/>
      <w:r>
        <w:rPr>
          <w:color w:val="000000"/>
        </w:rPr>
        <w:t>ZoomWV</w:t>
      </w:r>
      <w:proofErr w:type="spellEnd"/>
      <w:r>
        <w:rPr>
          <w:color w:val="000000"/>
        </w:rPr>
        <w:t xml:space="preserve"> &gt; State Assessment Results &gt; State Assessment Subgroups</w:t>
      </w:r>
    </w:p>
    <w:p w14:paraId="16520F83" w14:textId="77777777" w:rsidR="00CA787A" w:rsidRDefault="003169E9">
      <w:r>
        <w:rPr>
          <w:color w:val="000000"/>
        </w:rPr>
        <w:t>Make sure the following filters are set:</w:t>
      </w:r>
    </w:p>
    <w:p w14:paraId="6529D972" w14:textId="77777777" w:rsidR="00CA787A" w:rsidRDefault="003169E9">
      <w:r>
        <w:rPr>
          <w:color w:val="000000"/>
        </w:rPr>
        <w:t>—School Year – 2024-2025</w:t>
      </w:r>
    </w:p>
    <w:p w14:paraId="1187E7D9" w14:textId="77777777" w:rsidR="00CA787A" w:rsidRDefault="003169E9">
      <w:r>
        <w:rPr>
          <w:color w:val="000000"/>
        </w:rPr>
        <w:t>—District/County – All Districts</w:t>
      </w:r>
    </w:p>
    <w:p w14:paraId="25D625DB" w14:textId="77777777" w:rsidR="00CA787A" w:rsidRDefault="003169E9">
      <w:r>
        <w:rPr>
          <w:color w:val="000000"/>
        </w:rPr>
        <w:t>—School – All Schools</w:t>
      </w:r>
    </w:p>
    <w:p w14:paraId="23771AFA" w14:textId="77777777" w:rsidR="00CA787A" w:rsidRDefault="003169E9">
      <w:r>
        <w:rPr>
          <w:color w:val="000000"/>
        </w:rPr>
        <w:t>—Grade Level – All grades, or set to check each grade that must be reported separately (i.e., 4, 8, 11)</w:t>
      </w:r>
    </w:p>
    <w:p w14:paraId="2B52A92F" w14:textId="77777777" w:rsidR="00CA787A" w:rsidRDefault="003169E9">
      <w:r>
        <w:rPr>
          <w:color w:val="000000"/>
        </w:rPr>
        <w:t>—Population Group – Status</w:t>
      </w:r>
    </w:p>
    <w:p w14:paraId="1D314B0A" w14:textId="77777777" w:rsidR="00CA787A" w:rsidRDefault="00CA787A"/>
    <w:p w14:paraId="071885BE" w14:textId="77777777" w:rsidR="00CA787A" w:rsidRDefault="003169E9">
      <w:r>
        <w:rPr>
          <w:color w:val="000000"/>
        </w:rPr>
        <w:t>PARTICIPATION AND PERFORMANCE – REGULAR AND ALTERNATE ASSESSMENTS</w:t>
      </w:r>
    </w:p>
    <w:p w14:paraId="52CF8BF6" w14:textId="77777777" w:rsidR="00CA787A" w:rsidRDefault="003169E9">
      <w:r>
        <w:rPr>
          <w:color w:val="000000"/>
        </w:rPr>
        <w:t>—https://zoomwv.k12.wv.us/Dashboard/dashboard/6161</w:t>
      </w:r>
    </w:p>
    <w:p w14:paraId="7F393035" w14:textId="77777777" w:rsidR="00CA787A" w:rsidRDefault="003169E9">
      <w:r>
        <w:rPr>
          <w:color w:val="000000"/>
        </w:rPr>
        <w:t xml:space="preserve">—From the </w:t>
      </w:r>
      <w:proofErr w:type="spellStart"/>
      <w:r>
        <w:rPr>
          <w:color w:val="000000"/>
        </w:rPr>
        <w:t>ZoomWV</w:t>
      </w:r>
      <w:proofErr w:type="spellEnd"/>
      <w:r>
        <w:rPr>
          <w:color w:val="000000"/>
        </w:rPr>
        <w:t xml:space="preserve"> homepage, use the breadcrumbs: </w:t>
      </w:r>
      <w:proofErr w:type="spellStart"/>
      <w:r>
        <w:rPr>
          <w:color w:val="000000"/>
        </w:rPr>
        <w:t>ZoomWV</w:t>
      </w:r>
      <w:proofErr w:type="spellEnd"/>
      <w:r>
        <w:rPr>
          <w:color w:val="000000"/>
        </w:rPr>
        <w:t xml:space="preserve"> &gt; Special Education &gt; Assessment Participation and Performance</w:t>
      </w:r>
    </w:p>
    <w:p w14:paraId="4FFB6B45" w14:textId="77777777" w:rsidR="00CA787A" w:rsidRDefault="003169E9">
      <w:r>
        <w:rPr>
          <w:color w:val="000000"/>
        </w:rPr>
        <w:t>Make sure the following filters are set:</w:t>
      </w:r>
    </w:p>
    <w:p w14:paraId="7B4F2661" w14:textId="77777777" w:rsidR="00CA787A" w:rsidRDefault="003169E9">
      <w:r>
        <w:rPr>
          <w:color w:val="000000"/>
        </w:rPr>
        <w:t>—School Year – 2024-2025</w:t>
      </w:r>
    </w:p>
    <w:p w14:paraId="26806228" w14:textId="77777777" w:rsidR="00CA787A" w:rsidRDefault="003169E9">
      <w:r>
        <w:rPr>
          <w:color w:val="000000"/>
        </w:rPr>
        <w:t>—District/County – (999) State Reporting</w:t>
      </w:r>
    </w:p>
    <w:p w14:paraId="26426961" w14:textId="77777777" w:rsidR="00CA787A" w:rsidRDefault="003169E9">
      <w:r>
        <w:rPr>
          <w:color w:val="000000"/>
        </w:rPr>
        <w:t>—School – All Schools</w:t>
      </w:r>
    </w:p>
    <w:p w14:paraId="5CD187B4" w14:textId="77777777" w:rsidR="00CA787A" w:rsidRDefault="00CA787A"/>
    <w:p w14:paraId="6D4FD995" w14:textId="77777777" w:rsidR="00CA787A" w:rsidRDefault="003169E9">
      <w:r>
        <w:rPr>
          <w:color w:val="000000"/>
        </w:rPr>
        <w:t>PERFORMANCE BY CLASS/SUBGROUP – ALTERNATE ASSESSMENTS</w:t>
      </w:r>
    </w:p>
    <w:p w14:paraId="2B5B1720" w14:textId="77777777" w:rsidR="00CA787A" w:rsidRDefault="003169E9">
      <w:r>
        <w:rPr>
          <w:color w:val="000000"/>
        </w:rPr>
        <w:t>—https://zoomwv.k12.wv.us/Dashboard/dashboard/28307</w:t>
      </w:r>
    </w:p>
    <w:p w14:paraId="6092F2FA" w14:textId="77777777" w:rsidR="00CA787A" w:rsidRDefault="003169E9">
      <w:r>
        <w:rPr>
          <w:color w:val="000000"/>
        </w:rPr>
        <w:lastRenderedPageBreak/>
        <w:t xml:space="preserve">—From the </w:t>
      </w:r>
      <w:proofErr w:type="spellStart"/>
      <w:r>
        <w:rPr>
          <w:color w:val="000000"/>
        </w:rPr>
        <w:t>ZoomWV</w:t>
      </w:r>
      <w:proofErr w:type="spellEnd"/>
      <w:r>
        <w:rPr>
          <w:color w:val="000000"/>
        </w:rPr>
        <w:t xml:space="preserve"> homepage, use the breadcrumbs: </w:t>
      </w:r>
      <w:proofErr w:type="spellStart"/>
      <w:r>
        <w:rPr>
          <w:color w:val="000000"/>
        </w:rPr>
        <w:t>ZoomWV</w:t>
      </w:r>
      <w:proofErr w:type="spellEnd"/>
      <w:r>
        <w:rPr>
          <w:color w:val="000000"/>
        </w:rPr>
        <w:t xml:space="preserve"> &gt; Special Education &gt; Alternate Assessment Results</w:t>
      </w:r>
    </w:p>
    <w:p w14:paraId="00803E2F" w14:textId="77777777" w:rsidR="00CA787A" w:rsidRDefault="003169E9">
      <w:r>
        <w:rPr>
          <w:color w:val="000000"/>
        </w:rPr>
        <w:t>Data may be filtered by school year.</w:t>
      </w:r>
    </w:p>
    <w:p w14:paraId="52DE50FD" w14:textId="77777777" w:rsidR="00CA787A" w:rsidRDefault="00CA787A"/>
    <w:p w14:paraId="35D5D16E" w14:textId="77777777" w:rsidR="00CA787A" w:rsidRDefault="003169E9">
      <w:r>
        <w:rPr>
          <w:color w:val="000000"/>
        </w:rPr>
        <w:t>PARTICIPATION RATES – WITH and WITHOUT ACCOMMODATIONS</w:t>
      </w:r>
    </w:p>
    <w:p w14:paraId="66D02DE5" w14:textId="77777777" w:rsidR="00CA787A" w:rsidRDefault="003169E9">
      <w:r>
        <w:rPr>
          <w:color w:val="000000"/>
        </w:rPr>
        <w:t xml:space="preserve">The participation rates for students with and without accommodations in WV are available on the </w:t>
      </w:r>
      <w:proofErr w:type="spellStart"/>
      <w:r>
        <w:rPr>
          <w:color w:val="000000"/>
        </w:rPr>
        <w:t>ZoomWV</w:t>
      </w:r>
      <w:proofErr w:type="spellEnd"/>
      <w:r>
        <w:rPr>
          <w:color w:val="000000"/>
        </w:rPr>
        <w:t xml:space="preserve"> page by using the following breadcrumbs: </w:t>
      </w:r>
      <w:proofErr w:type="spellStart"/>
      <w:r>
        <w:rPr>
          <w:color w:val="000000"/>
        </w:rPr>
        <w:t>ZoomWV</w:t>
      </w:r>
      <w:proofErr w:type="spellEnd"/>
      <w:r>
        <w:rPr>
          <w:color w:val="000000"/>
        </w:rPr>
        <w:t xml:space="preserve"> &gt; Special Education &gt; Links &gt; IDEA Section 618 Public Reporting 2024-2025</w:t>
      </w:r>
    </w:p>
    <w:p w14:paraId="5B7D883A" w14:textId="77777777" w:rsidR="00CA787A" w:rsidRDefault="003169E9">
      <w:r>
        <w:rPr>
          <w:color w:val="000000"/>
        </w:rPr>
        <w:t>—Participation and proficiency rates of students with IEPs and without IEPs (504 plans) using accommodations and not using accommodations are located in the Assessment section of the IDEA Section 618 Public Reporting 2024-2025 file.</w:t>
      </w:r>
    </w:p>
    <w:p w14:paraId="79DFF155" w14:textId="77777777" w:rsidR="00CA787A" w:rsidRDefault="00CA787A"/>
    <w:p w14:paraId="1F3A4909" w14:textId="77777777" w:rsidR="00CA787A" w:rsidRDefault="003169E9">
      <w:r>
        <w:rPr>
          <w:color w:val="000000"/>
        </w:rPr>
        <w:t>PERFORMANCE BY DISABILITY CATEGORY – REGULAR AND ALTERNATE ASSESSMENTS</w:t>
      </w:r>
    </w:p>
    <w:p w14:paraId="1A109B30" w14:textId="77777777" w:rsidR="00CA787A" w:rsidRDefault="003169E9">
      <w:r>
        <w:rPr>
          <w:color w:val="000000"/>
        </w:rPr>
        <w:t>— https://zoomwv.k12.wv.us/Dashboard/dashboard/28285</w:t>
      </w:r>
    </w:p>
    <w:p w14:paraId="0A1E4DC4" w14:textId="77777777" w:rsidR="00CA787A" w:rsidRDefault="003169E9">
      <w:r>
        <w:rPr>
          <w:color w:val="000000"/>
        </w:rPr>
        <w:t xml:space="preserve">From the </w:t>
      </w:r>
      <w:proofErr w:type="spellStart"/>
      <w:r>
        <w:rPr>
          <w:color w:val="000000"/>
        </w:rPr>
        <w:t>ZoomWV</w:t>
      </w:r>
      <w:proofErr w:type="spellEnd"/>
      <w:r>
        <w:rPr>
          <w:color w:val="000000"/>
        </w:rPr>
        <w:t xml:space="preserve"> homepage, use the breadcrumbs: </w:t>
      </w:r>
      <w:proofErr w:type="spellStart"/>
      <w:r>
        <w:rPr>
          <w:color w:val="000000"/>
        </w:rPr>
        <w:t>ZoomWV</w:t>
      </w:r>
      <w:proofErr w:type="spellEnd"/>
      <w:r>
        <w:rPr>
          <w:color w:val="000000"/>
        </w:rPr>
        <w:t xml:space="preserve"> &gt; Special Education &gt; Assessment Results by Disability Category</w:t>
      </w:r>
    </w:p>
    <w:p w14:paraId="479A1D10" w14:textId="77777777" w:rsidR="00CA787A" w:rsidRDefault="003169E9">
      <w:r>
        <w:rPr>
          <w:color w:val="000000"/>
        </w:rPr>
        <w:t>Data may be filtered by school year and by LEA.</w:t>
      </w:r>
    </w:p>
    <w:p w14:paraId="7E59C5E0" w14:textId="77777777" w:rsidR="00053391" w:rsidRPr="00781112" w:rsidRDefault="00053391" w:rsidP="004369B2">
      <w:pPr>
        <w:rPr>
          <w:b/>
          <w:color w:val="000000" w:themeColor="text1"/>
        </w:rPr>
      </w:pPr>
      <w:bookmarkStart w:id="15" w:name="_Toc382082367"/>
      <w:bookmarkStart w:id="16" w:name="_Toc392159276"/>
      <w:r w:rsidRPr="00781112">
        <w:rPr>
          <w:b/>
          <w:color w:val="000000" w:themeColor="text1"/>
        </w:rPr>
        <w:t>Provide additional information about this indicator (optional)</w:t>
      </w:r>
    </w:p>
    <w:p w14:paraId="55092520" w14:textId="77777777" w:rsidR="00A869E9" w:rsidRPr="00781112" w:rsidRDefault="00A869E9" w:rsidP="000E33D0">
      <w:pPr>
        <w:rPr>
          <w:rFonts w:cs="Arial"/>
          <w:color w:val="000000" w:themeColor="text1"/>
          <w:szCs w:val="16"/>
        </w:rPr>
      </w:pPr>
    </w:p>
    <w:p w14:paraId="5AE2151D" w14:textId="77777777" w:rsidR="000A2C83" w:rsidRPr="00781112" w:rsidRDefault="00573F6C" w:rsidP="008645AD">
      <w:pPr>
        <w:pStyle w:val="Heading2"/>
      </w:pPr>
      <w:r w:rsidRPr="00781112">
        <w:t>3B</w:t>
      </w:r>
      <w:r w:rsidR="00BB4FD7" w:rsidRPr="00781112">
        <w:t xml:space="preserve"> </w:t>
      </w:r>
      <w:r w:rsidRPr="00781112">
        <w:t xml:space="preserve">- </w:t>
      </w:r>
      <w:r w:rsidR="000A2C83" w:rsidRPr="00781112">
        <w:t>Prior FFY Required Actions</w:t>
      </w:r>
    </w:p>
    <w:p w14:paraId="2E50E73B" w14:textId="77777777" w:rsidR="00CA1E5A" w:rsidRPr="00781112" w:rsidRDefault="002B7490" w:rsidP="000A2C83">
      <w:pPr>
        <w:rPr>
          <w:rFonts w:cs="Arial"/>
          <w:color w:val="000000" w:themeColor="text1"/>
          <w:szCs w:val="16"/>
        </w:rPr>
      </w:pPr>
      <w:r w:rsidRPr="00781112">
        <w:rPr>
          <w:rFonts w:cs="Arial"/>
          <w:color w:val="000000" w:themeColor="text1"/>
          <w:szCs w:val="16"/>
        </w:rPr>
        <w:t>None</w:t>
      </w:r>
    </w:p>
    <w:p w14:paraId="70C39946" w14:textId="77777777" w:rsidR="00053391" w:rsidRPr="00781112" w:rsidRDefault="00573F6C" w:rsidP="008645AD">
      <w:pPr>
        <w:pStyle w:val="Heading2"/>
      </w:pPr>
      <w:r w:rsidRPr="00781112">
        <w:t>3B - OSEP Response</w:t>
      </w:r>
    </w:p>
    <w:p w14:paraId="1ADC0047" w14:textId="77777777" w:rsidR="00A869E9" w:rsidRPr="00781112" w:rsidRDefault="00A869E9" w:rsidP="001F692C">
      <w:pPr>
        <w:rPr>
          <w:rFonts w:cs="Arial"/>
          <w:color w:val="000000" w:themeColor="text1"/>
          <w:szCs w:val="16"/>
        </w:rPr>
      </w:pPr>
    </w:p>
    <w:p w14:paraId="0503625D" w14:textId="77777777" w:rsidR="00053391" w:rsidRPr="00781112" w:rsidRDefault="00573F6C" w:rsidP="008645AD">
      <w:pPr>
        <w:pStyle w:val="Heading2"/>
      </w:pPr>
      <w:r w:rsidRPr="00781112">
        <w:t>3B - Required Actions</w:t>
      </w:r>
    </w:p>
    <w:p w14:paraId="6DE13098" w14:textId="77777777" w:rsidR="00A869E9" w:rsidRPr="00781112" w:rsidRDefault="00A869E9" w:rsidP="001F692C">
      <w:pPr>
        <w:rPr>
          <w:rFonts w:cs="Arial"/>
          <w:color w:val="000000" w:themeColor="text1"/>
          <w:szCs w:val="16"/>
        </w:rPr>
      </w:pPr>
    </w:p>
    <w:p w14:paraId="73123ADD" w14:textId="77777777" w:rsidR="00D37BF0" w:rsidRPr="00781112" w:rsidRDefault="00D37BF0">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1D693609" w14:textId="77777777" w:rsidR="009D378C" w:rsidRPr="00781112" w:rsidRDefault="009D378C">
      <w:pPr>
        <w:pStyle w:val="Heading1"/>
        <w:rPr>
          <w:color w:val="000000" w:themeColor="text1"/>
          <w:sz w:val="22"/>
        </w:rPr>
      </w:pPr>
      <w:r w:rsidRPr="00781112">
        <w:rPr>
          <w:color w:val="000000" w:themeColor="text1"/>
          <w:sz w:val="22"/>
        </w:rPr>
        <w:lastRenderedPageBreak/>
        <w:t>Indicator 3C: Proficiency for Children with IEPs Against Alternate Academic Achievement Standards</w:t>
      </w:r>
      <w:bookmarkEnd w:id="15"/>
      <w:bookmarkEnd w:id="16"/>
    </w:p>
    <w:p w14:paraId="684AB396" w14:textId="77777777" w:rsidR="008878CC" w:rsidRPr="002C274F" w:rsidRDefault="008878CC" w:rsidP="002C274F">
      <w:pPr>
        <w:rPr>
          <w:b/>
          <w:bCs/>
          <w:sz w:val="20"/>
          <w:szCs w:val="20"/>
        </w:rPr>
      </w:pPr>
      <w:r w:rsidRPr="002C274F">
        <w:rPr>
          <w:b/>
          <w:bCs/>
          <w:sz w:val="20"/>
          <w:szCs w:val="20"/>
        </w:rPr>
        <w:t xml:space="preserve">Instructions and Measurement </w:t>
      </w:r>
    </w:p>
    <w:p w14:paraId="14D863CD" w14:textId="77777777" w:rsidR="000A5A2E" w:rsidRPr="00781112" w:rsidRDefault="000A5A2E" w:rsidP="004369B2">
      <w:pPr>
        <w:rPr>
          <w:color w:val="000000" w:themeColor="text1"/>
        </w:rPr>
      </w:pPr>
      <w:bookmarkStart w:id="17" w:name="_Toc384383330"/>
      <w:bookmarkStart w:id="18" w:name="_Toc392159282"/>
      <w:bookmarkStart w:id="19" w:name="_Toc382082372"/>
      <w:r w:rsidRPr="00781112">
        <w:rPr>
          <w:b/>
          <w:color w:val="000000" w:themeColor="text1"/>
        </w:rPr>
        <w:t xml:space="preserve">Monitoring Priority: </w:t>
      </w:r>
      <w:r w:rsidRPr="00781112">
        <w:rPr>
          <w:color w:val="000000" w:themeColor="text1"/>
        </w:rPr>
        <w:t>FAPE in the LRE</w:t>
      </w:r>
    </w:p>
    <w:p w14:paraId="4C796EF0" w14:textId="77777777" w:rsidR="000A5A2E" w:rsidRPr="00781112" w:rsidRDefault="000A5A2E" w:rsidP="0055292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Participation and performance </w:t>
      </w:r>
      <w:r w:rsidR="00DA7FAE" w:rsidRPr="00781112">
        <w:rPr>
          <w:rFonts w:cs="Arial"/>
          <w:color w:val="000000" w:themeColor="text1"/>
          <w:szCs w:val="16"/>
        </w:rPr>
        <w:t xml:space="preserve">of </w:t>
      </w:r>
      <w:r w:rsidRPr="00781112">
        <w:rPr>
          <w:rFonts w:cs="Arial"/>
          <w:color w:val="000000" w:themeColor="text1"/>
          <w:szCs w:val="16"/>
        </w:rPr>
        <w:t>children with IEPs on statewide assessments:</w:t>
      </w:r>
    </w:p>
    <w:p w14:paraId="69A1C141"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A. Participation rate for children with IEPs.</w:t>
      </w:r>
    </w:p>
    <w:p w14:paraId="7D7FD32B"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2BD522CA"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2AA47720"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027AD501" w14:textId="77777777" w:rsidR="00385214" w:rsidRPr="00781112" w:rsidRDefault="00385214" w:rsidP="00385214">
      <w:pPr>
        <w:rPr>
          <w:rFonts w:cs="Arial"/>
          <w:color w:val="000000" w:themeColor="text1"/>
          <w:szCs w:val="16"/>
        </w:rPr>
      </w:pPr>
      <w:r w:rsidRPr="00781112">
        <w:rPr>
          <w:rFonts w:cs="Arial"/>
          <w:color w:val="000000" w:themeColor="text1"/>
          <w:szCs w:val="16"/>
        </w:rPr>
        <w:t>(20 U.S.C. 1416 (a)(3)(A))</w:t>
      </w:r>
    </w:p>
    <w:p w14:paraId="3D4A3AB1" w14:textId="77777777" w:rsidR="000A5A2E" w:rsidRPr="00781112" w:rsidRDefault="000A5A2E" w:rsidP="004369B2">
      <w:pPr>
        <w:rPr>
          <w:color w:val="000000" w:themeColor="text1"/>
        </w:rPr>
      </w:pPr>
      <w:r w:rsidRPr="00781112">
        <w:rPr>
          <w:b/>
          <w:color w:val="000000" w:themeColor="text1"/>
        </w:rPr>
        <w:t>Data Source</w:t>
      </w:r>
    </w:p>
    <w:p w14:paraId="63BA5C09" w14:textId="77777777" w:rsidR="000A5A2E" w:rsidRPr="00781112" w:rsidRDefault="000A5A2E" w:rsidP="00552927">
      <w:pPr>
        <w:rPr>
          <w:rFonts w:cs="Arial"/>
          <w:color w:val="000000" w:themeColor="text1"/>
          <w:szCs w:val="16"/>
        </w:rPr>
      </w:pPr>
      <w:r w:rsidRPr="00781112">
        <w:rPr>
          <w:rFonts w:cs="Arial"/>
          <w:color w:val="000000" w:themeColor="text1"/>
          <w:szCs w:val="16"/>
        </w:rPr>
        <w:t xml:space="preserve">3C. Same data as used for reporting to the Department under Title I of the ESEA, using </w:t>
      </w:r>
      <w:proofErr w:type="spellStart"/>
      <w:r w:rsidRPr="00781112">
        <w:rPr>
          <w:rFonts w:cs="Arial"/>
          <w:color w:val="000000" w:themeColor="text1"/>
          <w:szCs w:val="16"/>
        </w:rPr>
        <w:t>ED</w:t>
      </w:r>
      <w:r w:rsidRPr="00BA3DBE">
        <w:rPr>
          <w:rFonts w:cs="Arial"/>
          <w:i/>
          <w:iCs/>
          <w:color w:val="000000" w:themeColor="text1"/>
          <w:szCs w:val="16"/>
        </w:rPr>
        <w:t>Facts</w:t>
      </w:r>
      <w:proofErr w:type="spellEnd"/>
      <w:r w:rsidRPr="00781112">
        <w:rPr>
          <w:rFonts w:cs="Arial"/>
          <w:color w:val="000000" w:themeColor="text1"/>
          <w:szCs w:val="16"/>
        </w:rPr>
        <w:t xml:space="preserve"> file specifications FS175 and 178.</w:t>
      </w:r>
    </w:p>
    <w:p w14:paraId="7F69BDE7" w14:textId="77777777" w:rsidR="000A5A2E" w:rsidRPr="00781112" w:rsidRDefault="000A5A2E" w:rsidP="004369B2">
      <w:pPr>
        <w:rPr>
          <w:color w:val="000000" w:themeColor="text1"/>
        </w:rPr>
      </w:pPr>
      <w:r w:rsidRPr="00781112">
        <w:rPr>
          <w:b/>
          <w:color w:val="000000" w:themeColor="text1"/>
        </w:rPr>
        <w:t>Measurement</w:t>
      </w:r>
    </w:p>
    <w:p w14:paraId="16A731B2" w14:textId="77777777" w:rsidR="000A5A2E" w:rsidRPr="00781112" w:rsidRDefault="000A5A2E" w:rsidP="00552927">
      <w:pPr>
        <w:rPr>
          <w:rFonts w:cs="Arial"/>
          <w:color w:val="000000" w:themeColor="text1"/>
          <w:szCs w:val="16"/>
        </w:rPr>
      </w:pPr>
      <w:r w:rsidRPr="00781112">
        <w:rPr>
          <w:rFonts w:cs="Arial"/>
          <w:color w:val="000000" w:themeColor="text1"/>
          <w:szCs w:val="16"/>
        </w:rPr>
        <w:t xml:space="preserve">C. </w:t>
      </w:r>
      <w:r w:rsidR="00385214" w:rsidRPr="00781112">
        <w:rPr>
          <w:rFonts w:cs="Arial"/>
          <w:szCs w:val="16"/>
        </w:rPr>
        <w:t>Proficiency rate percent = [(# of children with IEPs scoring at or above proficient against alternate academic achievement standards) divided by the (total # of children with IEPs who received a valid score and for whom a proficiency level was assigned for the alternate assessment)]. Calculate separately for reading and math</w:t>
      </w:r>
      <w:r w:rsidR="00857A31" w:rsidRPr="00781112">
        <w:rPr>
          <w:rFonts w:cs="Arial"/>
          <w:szCs w:val="16"/>
        </w:rPr>
        <w:t xml:space="preserve">. </w:t>
      </w:r>
      <w:r w:rsidR="00385214" w:rsidRPr="00781112">
        <w:rPr>
          <w:rFonts w:cs="Arial"/>
          <w:szCs w:val="16"/>
        </w:rPr>
        <w:t>Calculate separately for grades 4, 8, and high school. The proficiency rate includes both children with IEPs enrolled for a full academic year and those not enrolled for a full academic year.</w:t>
      </w:r>
    </w:p>
    <w:p w14:paraId="272A26FF" w14:textId="77777777" w:rsidR="000A5A2E" w:rsidRPr="00781112" w:rsidRDefault="000A5A2E" w:rsidP="004369B2">
      <w:pPr>
        <w:rPr>
          <w:color w:val="000000" w:themeColor="text1"/>
        </w:rPr>
      </w:pPr>
      <w:r w:rsidRPr="00781112">
        <w:rPr>
          <w:b/>
          <w:color w:val="000000" w:themeColor="text1"/>
        </w:rPr>
        <w:t>Instructions</w:t>
      </w:r>
    </w:p>
    <w:p w14:paraId="1726DA5C" w14:textId="77777777" w:rsidR="000A5A2E" w:rsidRPr="00781112" w:rsidRDefault="000A5A2E" w:rsidP="00552927">
      <w:pPr>
        <w:rPr>
          <w:rFonts w:cs="Arial"/>
          <w:color w:val="000000" w:themeColor="text1"/>
          <w:szCs w:val="16"/>
        </w:rPr>
      </w:pPr>
      <w:r w:rsidRPr="00781112">
        <w:rPr>
          <w:rFonts w:cs="Arial"/>
          <w:color w:val="000000" w:themeColor="text1"/>
          <w:szCs w:val="16"/>
        </w:rPr>
        <w:t>Describe the results of the calculations and compare the results to the targets. Provide the actual numbers used in the calculation.</w:t>
      </w:r>
    </w:p>
    <w:p w14:paraId="4893A71B" w14:textId="77777777" w:rsidR="000A5A2E" w:rsidRPr="00781112" w:rsidRDefault="000A5A2E" w:rsidP="00552927">
      <w:pPr>
        <w:rPr>
          <w:rFonts w:cs="Arial"/>
          <w:color w:val="000000" w:themeColor="text1"/>
          <w:szCs w:val="16"/>
        </w:rPr>
      </w:pPr>
      <w:r w:rsidRPr="00781112">
        <w:rPr>
          <w:rFonts w:cs="Arial"/>
          <w:color w:val="000000" w:themeColor="text1"/>
          <w:szCs w:val="16"/>
        </w:rPr>
        <w:t>Include information regarding where to find public reports of assessment participation and performance results, as required by 34 CFR §300.160(f), i.e., a link to the Web site where these data are reported.</w:t>
      </w:r>
    </w:p>
    <w:p w14:paraId="637E8CAD" w14:textId="77777777" w:rsidR="000A5A2E" w:rsidRPr="00781112" w:rsidRDefault="000A5A2E" w:rsidP="00385214">
      <w:pPr>
        <w:rPr>
          <w:rFonts w:cs="Arial"/>
          <w:color w:val="000000" w:themeColor="text1"/>
          <w:szCs w:val="16"/>
        </w:rPr>
      </w:pPr>
      <w:r w:rsidRPr="00781112">
        <w:rPr>
          <w:rFonts w:cs="Arial"/>
          <w:color w:val="000000" w:themeColor="text1"/>
          <w:szCs w:val="16"/>
        </w:rPr>
        <w:t xml:space="preserve">Indicator 3C: </w:t>
      </w:r>
      <w:r w:rsidR="00385214" w:rsidRPr="00781112">
        <w:rPr>
          <w:rFonts w:cs="Arial"/>
          <w:szCs w:val="16"/>
        </w:rPr>
        <w:t>Proficiency calculations in this SPP/APR must result in proficiency rates for children with IEPs on the alternate assessment in reading/language arts and mathematics assessments (separately) in each of the following grades: 4, 8, and high school, including both children with IEPs enrolled for a full academic year and those not enrolled for a full academic year. Only include children with disabilities who had an IEP at the time</w:t>
      </w:r>
      <w:r w:rsidR="00666F52">
        <w:rPr>
          <w:rFonts w:cs="Arial"/>
          <w:szCs w:val="16"/>
        </w:rPr>
        <w:t xml:space="preserve"> </w:t>
      </w:r>
      <w:r w:rsidR="00385214" w:rsidRPr="00781112">
        <w:rPr>
          <w:rFonts w:cs="Arial"/>
          <w:szCs w:val="16"/>
        </w:rPr>
        <w:t>of testing.</w:t>
      </w:r>
    </w:p>
    <w:p w14:paraId="08E7A8D6" w14:textId="77777777" w:rsidR="001B5210" w:rsidRPr="00781112" w:rsidRDefault="00573F6C" w:rsidP="008645AD">
      <w:pPr>
        <w:pStyle w:val="Heading2"/>
      </w:pPr>
      <w:r w:rsidRPr="00781112">
        <w:t>3C</w:t>
      </w:r>
      <w:r w:rsidR="00BB4FD7" w:rsidRPr="00781112">
        <w:t xml:space="preserve"> </w:t>
      </w:r>
      <w:r w:rsidRPr="00781112">
        <w:t xml:space="preserve">- </w:t>
      </w:r>
      <w:r w:rsidR="001B5210" w:rsidRPr="00781112">
        <w:t>Indicator Data</w:t>
      </w:r>
    </w:p>
    <w:p w14:paraId="3A44C101" w14:textId="77777777" w:rsidR="00A10323" w:rsidRPr="00781112" w:rsidRDefault="00A10323">
      <w:pPr>
        <w:rPr>
          <w:b/>
          <w:color w:val="000000" w:themeColor="text1"/>
        </w:rPr>
      </w:pPr>
      <w:r w:rsidRPr="00781112">
        <w:rPr>
          <w:b/>
          <w:color w:val="000000" w:themeColor="text1"/>
        </w:rPr>
        <w:t xml:space="preserve">Historical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CHISTDATA"/>
      </w:tblPr>
      <w:tblGrid>
        <w:gridCol w:w="1588"/>
        <w:gridCol w:w="1588"/>
        <w:gridCol w:w="2538"/>
        <w:gridCol w:w="2538"/>
        <w:gridCol w:w="2538"/>
      </w:tblGrid>
      <w:tr w:rsidR="00537221" w:rsidRPr="00781112" w14:paraId="29C2D9F2" w14:textId="77777777" w:rsidTr="009725F4">
        <w:trPr>
          <w:trHeight w:val="368"/>
          <w:tblHeader/>
        </w:trPr>
        <w:tc>
          <w:tcPr>
            <w:tcW w:w="736" w:type="pct"/>
            <w:tcBorders>
              <w:top w:val="single" w:sz="4" w:space="0" w:color="auto"/>
            </w:tcBorders>
            <w:vAlign w:val="center"/>
          </w:tcPr>
          <w:p w14:paraId="7AAD2418"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vAlign w:val="center"/>
          </w:tcPr>
          <w:p w14:paraId="5F4E99AA"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vAlign w:val="center"/>
          </w:tcPr>
          <w:p w14:paraId="6569ECCA"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vAlign w:val="center"/>
          </w:tcPr>
          <w:p w14:paraId="2BAE0003"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4D434BE1"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Baseline Data</w:t>
            </w:r>
          </w:p>
        </w:tc>
      </w:tr>
      <w:tr w:rsidR="00537221" w:rsidRPr="00781112" w14:paraId="6F577A01" w14:textId="77777777" w:rsidTr="00827FF4">
        <w:trPr>
          <w:trHeight w:val="368"/>
        </w:trPr>
        <w:tc>
          <w:tcPr>
            <w:tcW w:w="736" w:type="pct"/>
            <w:vAlign w:val="center"/>
          </w:tcPr>
          <w:p w14:paraId="332FDF46"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vAlign w:val="center"/>
          </w:tcPr>
          <w:p w14:paraId="4E954969"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vAlign w:val="center"/>
          </w:tcPr>
          <w:p w14:paraId="502E17D6" w14:textId="77777777" w:rsidR="00537221" w:rsidRPr="00781112" w:rsidRDefault="00537221" w:rsidP="00827FF4">
            <w:pPr>
              <w:jc w:val="center"/>
              <w:rPr>
                <w:rFonts w:cs="Arial"/>
                <w:color w:val="000000" w:themeColor="text1"/>
                <w:szCs w:val="16"/>
              </w:rPr>
            </w:pPr>
            <w:r w:rsidRPr="00781112">
              <w:rPr>
                <w:rFonts w:cs="Arial"/>
                <w:color w:val="000000" w:themeColor="text1"/>
                <w:szCs w:val="16"/>
              </w:rPr>
              <w:t>Grade 4</w:t>
            </w:r>
          </w:p>
        </w:tc>
        <w:tc>
          <w:tcPr>
            <w:tcW w:w="1176" w:type="pct"/>
            <w:vAlign w:val="center"/>
          </w:tcPr>
          <w:p w14:paraId="13554CA7" w14:textId="77777777" w:rsidR="00537221" w:rsidRPr="00781112" w:rsidRDefault="00537221"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4A6A6953" w14:textId="77777777" w:rsidR="00537221" w:rsidRPr="00781112" w:rsidRDefault="00537221" w:rsidP="00827FF4">
            <w:pPr>
              <w:spacing w:before="0" w:after="0"/>
              <w:jc w:val="center"/>
              <w:rPr>
                <w:color w:val="000000" w:themeColor="text1"/>
              </w:rPr>
            </w:pPr>
            <w:r w:rsidRPr="00781112">
              <w:rPr>
                <w:rFonts w:cs="Arial"/>
                <w:color w:val="000000" w:themeColor="text1"/>
                <w:szCs w:val="16"/>
              </w:rPr>
              <w:t>18.48%</w:t>
            </w:r>
          </w:p>
        </w:tc>
      </w:tr>
      <w:tr w:rsidR="00537221" w:rsidRPr="00781112" w14:paraId="5B0C6D20" w14:textId="77777777" w:rsidTr="00827FF4">
        <w:trPr>
          <w:trHeight w:val="368"/>
        </w:trPr>
        <w:tc>
          <w:tcPr>
            <w:tcW w:w="736" w:type="pct"/>
            <w:vAlign w:val="center"/>
          </w:tcPr>
          <w:p w14:paraId="09F064F0"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vAlign w:val="center"/>
          </w:tcPr>
          <w:p w14:paraId="665D064E"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vAlign w:val="center"/>
          </w:tcPr>
          <w:p w14:paraId="19C7C43E"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vAlign w:val="center"/>
          </w:tcPr>
          <w:p w14:paraId="1FC03333" w14:textId="77777777" w:rsidR="00537221" w:rsidRPr="00781112" w:rsidRDefault="00537221"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2B78F99B"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32.67%</w:t>
            </w:r>
          </w:p>
        </w:tc>
      </w:tr>
      <w:tr w:rsidR="00537221" w:rsidRPr="00781112" w14:paraId="77E89330" w14:textId="77777777" w:rsidTr="00827FF4">
        <w:trPr>
          <w:trHeight w:val="368"/>
        </w:trPr>
        <w:tc>
          <w:tcPr>
            <w:tcW w:w="736" w:type="pct"/>
            <w:vAlign w:val="center"/>
          </w:tcPr>
          <w:p w14:paraId="06C338D9"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vAlign w:val="center"/>
          </w:tcPr>
          <w:p w14:paraId="0A68969B"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vAlign w:val="center"/>
          </w:tcPr>
          <w:p w14:paraId="69666D81" w14:textId="77777777" w:rsidR="00537221" w:rsidRPr="00781112" w:rsidRDefault="00537221" w:rsidP="00827FF4">
            <w:pPr>
              <w:jc w:val="center"/>
              <w:rPr>
                <w:rFonts w:cs="Arial"/>
                <w:color w:val="000000" w:themeColor="text1"/>
                <w:szCs w:val="16"/>
              </w:rPr>
            </w:pPr>
            <w:r w:rsidRPr="00781112">
              <w:rPr>
                <w:rFonts w:cs="Arial"/>
                <w:color w:val="000000" w:themeColor="text1"/>
                <w:szCs w:val="16"/>
              </w:rPr>
              <w:t>Grade HS</w:t>
            </w:r>
          </w:p>
        </w:tc>
        <w:tc>
          <w:tcPr>
            <w:tcW w:w="1176" w:type="pct"/>
            <w:vAlign w:val="center"/>
          </w:tcPr>
          <w:p w14:paraId="1983ECB8" w14:textId="77777777" w:rsidR="00537221" w:rsidRPr="00781112" w:rsidRDefault="00537221"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751D162C"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36.21%</w:t>
            </w:r>
          </w:p>
        </w:tc>
      </w:tr>
      <w:tr w:rsidR="00537221" w:rsidRPr="00781112" w14:paraId="12D69AD1" w14:textId="77777777" w:rsidTr="00827FF4">
        <w:trPr>
          <w:trHeight w:val="368"/>
        </w:trPr>
        <w:tc>
          <w:tcPr>
            <w:tcW w:w="736" w:type="pct"/>
            <w:vAlign w:val="center"/>
          </w:tcPr>
          <w:p w14:paraId="3063865C"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vAlign w:val="center"/>
          </w:tcPr>
          <w:p w14:paraId="75263CE1"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vAlign w:val="center"/>
          </w:tcPr>
          <w:p w14:paraId="56FA6C30"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vAlign w:val="center"/>
          </w:tcPr>
          <w:p w14:paraId="60154F5E" w14:textId="77777777" w:rsidR="00537221" w:rsidRPr="00781112" w:rsidRDefault="00537221"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2C92B280"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26.54%</w:t>
            </w:r>
          </w:p>
        </w:tc>
      </w:tr>
      <w:tr w:rsidR="00537221" w:rsidRPr="00781112" w14:paraId="7773521C" w14:textId="77777777" w:rsidTr="00827FF4">
        <w:trPr>
          <w:trHeight w:val="368"/>
        </w:trPr>
        <w:tc>
          <w:tcPr>
            <w:tcW w:w="736" w:type="pct"/>
            <w:vAlign w:val="center"/>
          </w:tcPr>
          <w:p w14:paraId="4DFDEDE3"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vAlign w:val="center"/>
          </w:tcPr>
          <w:p w14:paraId="219BEC84"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vAlign w:val="center"/>
          </w:tcPr>
          <w:p w14:paraId="75CD4FA1" w14:textId="77777777" w:rsidR="00537221" w:rsidRPr="00781112" w:rsidRDefault="00537221" w:rsidP="00827FF4">
            <w:pPr>
              <w:jc w:val="center"/>
              <w:rPr>
                <w:rFonts w:cs="Arial"/>
                <w:color w:val="000000" w:themeColor="text1"/>
                <w:szCs w:val="16"/>
              </w:rPr>
            </w:pPr>
            <w:r w:rsidRPr="00781112">
              <w:rPr>
                <w:rFonts w:cs="Arial"/>
                <w:color w:val="000000" w:themeColor="text1"/>
                <w:szCs w:val="16"/>
              </w:rPr>
              <w:t>Grade 8</w:t>
            </w:r>
          </w:p>
        </w:tc>
        <w:tc>
          <w:tcPr>
            <w:tcW w:w="1176" w:type="pct"/>
            <w:vAlign w:val="center"/>
          </w:tcPr>
          <w:p w14:paraId="6074BEDC" w14:textId="77777777" w:rsidR="00537221" w:rsidRPr="00781112" w:rsidRDefault="00537221"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79CAE2FF"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7.17%</w:t>
            </w:r>
          </w:p>
        </w:tc>
      </w:tr>
      <w:tr w:rsidR="00537221" w:rsidRPr="00781112" w14:paraId="0E79373D" w14:textId="77777777" w:rsidTr="00827FF4">
        <w:trPr>
          <w:trHeight w:val="368"/>
        </w:trPr>
        <w:tc>
          <w:tcPr>
            <w:tcW w:w="736" w:type="pct"/>
            <w:vAlign w:val="center"/>
          </w:tcPr>
          <w:p w14:paraId="1E21F795"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vAlign w:val="center"/>
          </w:tcPr>
          <w:p w14:paraId="1823C8E7"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vAlign w:val="center"/>
          </w:tcPr>
          <w:p w14:paraId="2FDEFB1E"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vAlign w:val="center"/>
          </w:tcPr>
          <w:p w14:paraId="18548664" w14:textId="77777777" w:rsidR="00537221" w:rsidRPr="00781112" w:rsidRDefault="00537221"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7DB471A8"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11.11%</w:t>
            </w:r>
          </w:p>
        </w:tc>
      </w:tr>
    </w:tbl>
    <w:p w14:paraId="5B48E6B7" w14:textId="77777777" w:rsidR="00537221" w:rsidRPr="00781112" w:rsidRDefault="00537221">
      <w:pPr>
        <w:rPr>
          <w:b/>
          <w:color w:val="000000" w:themeColor="text1"/>
        </w:rPr>
      </w:pPr>
    </w:p>
    <w:p w14:paraId="16C7E63B" w14:textId="77777777" w:rsidR="00A10323" w:rsidRPr="00781112" w:rsidRDefault="00A10323" w:rsidP="004369B2">
      <w:pPr>
        <w:rPr>
          <w:b/>
          <w:color w:val="000000" w:themeColor="text1"/>
        </w:rPr>
      </w:pPr>
      <w:r w:rsidRPr="00781112">
        <w:rPr>
          <w:b/>
          <w:color w:val="000000" w:themeColor="text1"/>
        </w:rPr>
        <w:t>Targets</w:t>
      </w:r>
    </w:p>
    <w:tbl>
      <w:tblPr>
        <w:tblW w:w="2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CTARGETS"/>
      </w:tblPr>
      <w:tblGrid>
        <w:gridCol w:w="811"/>
        <w:gridCol w:w="697"/>
        <w:gridCol w:w="1740"/>
        <w:gridCol w:w="1256"/>
        <w:gridCol w:w="1256"/>
      </w:tblGrid>
      <w:tr w:rsidR="00A80E97" w:rsidRPr="00781112" w14:paraId="50D2C92B" w14:textId="77777777" w:rsidTr="00924AD9">
        <w:tc>
          <w:tcPr>
            <w:tcW w:w="705" w:type="pct"/>
            <w:tcBorders>
              <w:bottom w:val="single" w:sz="4" w:space="0" w:color="auto"/>
            </w:tcBorders>
          </w:tcPr>
          <w:p w14:paraId="0DD8208E" w14:textId="77777777" w:rsidR="00A80E97" w:rsidRPr="00781112" w:rsidRDefault="00A80E97" w:rsidP="00561042">
            <w:pPr>
              <w:jc w:val="center"/>
              <w:rPr>
                <w:b/>
                <w:color w:val="000000" w:themeColor="text1"/>
              </w:rPr>
            </w:pPr>
            <w:r w:rsidRPr="00781112">
              <w:rPr>
                <w:b/>
                <w:color w:val="000000" w:themeColor="text1"/>
              </w:rPr>
              <w:t>Subject</w:t>
            </w:r>
          </w:p>
        </w:tc>
        <w:tc>
          <w:tcPr>
            <w:tcW w:w="605" w:type="pct"/>
            <w:tcBorders>
              <w:bottom w:val="single" w:sz="4" w:space="0" w:color="auto"/>
            </w:tcBorders>
          </w:tcPr>
          <w:p w14:paraId="3765A720" w14:textId="77777777" w:rsidR="00A80E97" w:rsidRPr="00781112" w:rsidRDefault="00A80E97" w:rsidP="00561042">
            <w:pPr>
              <w:jc w:val="center"/>
              <w:rPr>
                <w:b/>
                <w:color w:val="000000" w:themeColor="text1"/>
              </w:rPr>
            </w:pPr>
            <w:r w:rsidRPr="00781112">
              <w:rPr>
                <w:b/>
                <w:color w:val="000000" w:themeColor="text1"/>
              </w:rPr>
              <w:t>Group</w:t>
            </w:r>
          </w:p>
        </w:tc>
        <w:tc>
          <w:tcPr>
            <w:tcW w:w="1510" w:type="pct"/>
          </w:tcPr>
          <w:p w14:paraId="51C951AA" w14:textId="77777777" w:rsidR="00A80E97" w:rsidRPr="00781112" w:rsidDel="008E7B87" w:rsidRDefault="00A80E97" w:rsidP="00561042">
            <w:pPr>
              <w:jc w:val="center"/>
              <w:rPr>
                <w:b/>
                <w:color w:val="000000" w:themeColor="text1"/>
              </w:rPr>
            </w:pPr>
            <w:r w:rsidRPr="00781112">
              <w:rPr>
                <w:b/>
                <w:color w:val="000000" w:themeColor="text1"/>
              </w:rPr>
              <w:t>Group Name</w:t>
            </w:r>
          </w:p>
        </w:tc>
        <w:tc>
          <w:tcPr>
            <w:tcW w:w="1090" w:type="pct"/>
          </w:tcPr>
          <w:p w14:paraId="334EB4D6" w14:textId="77777777" w:rsidR="00A80E97" w:rsidRPr="00781112" w:rsidRDefault="00A80E97" w:rsidP="00561042">
            <w:pPr>
              <w:jc w:val="center"/>
              <w:rPr>
                <w:b/>
                <w:color w:val="000000" w:themeColor="text1"/>
              </w:rPr>
            </w:pPr>
            <w:r w:rsidRPr="00781112">
              <w:rPr>
                <w:b/>
                <w:color w:val="000000" w:themeColor="text1"/>
              </w:rPr>
              <w:t>2024</w:t>
            </w:r>
          </w:p>
        </w:tc>
        <w:tc>
          <w:tcPr>
            <w:tcW w:w="1090" w:type="pct"/>
            <w:vAlign w:val="center"/>
          </w:tcPr>
          <w:p w14:paraId="6D7C338E" w14:textId="77777777" w:rsidR="00A80E97" w:rsidRPr="00781112" w:rsidRDefault="00A80E97" w:rsidP="00561042">
            <w:pPr>
              <w:jc w:val="center"/>
              <w:rPr>
                <w:b/>
                <w:color w:val="000000" w:themeColor="text1"/>
              </w:rPr>
            </w:pPr>
            <w:r w:rsidRPr="00781112">
              <w:rPr>
                <w:rFonts w:cs="Arial"/>
                <w:b/>
                <w:color w:val="000000" w:themeColor="text1"/>
                <w:szCs w:val="16"/>
              </w:rPr>
              <w:t>2025</w:t>
            </w:r>
          </w:p>
        </w:tc>
      </w:tr>
      <w:tr w:rsidR="00A80E97" w:rsidRPr="00781112" w14:paraId="304B0E64" w14:textId="77777777" w:rsidTr="00924AD9">
        <w:tc>
          <w:tcPr>
            <w:tcW w:w="705" w:type="pct"/>
            <w:vAlign w:val="center"/>
          </w:tcPr>
          <w:p w14:paraId="417C56C1" w14:textId="77777777" w:rsidR="00A80E97" w:rsidRPr="00781112" w:rsidRDefault="00A80E97" w:rsidP="00D13592">
            <w:pPr>
              <w:spacing w:before="0" w:after="0"/>
              <w:jc w:val="center"/>
              <w:rPr>
                <w:rFonts w:cs="Arial"/>
                <w:color w:val="000000" w:themeColor="text1"/>
                <w:szCs w:val="16"/>
              </w:rPr>
            </w:pPr>
            <w:r w:rsidRPr="00781112">
              <w:rPr>
                <w:rFonts w:cs="Arial"/>
                <w:color w:val="000000" w:themeColor="text1"/>
                <w:szCs w:val="16"/>
              </w:rPr>
              <w:t>Reading</w:t>
            </w:r>
          </w:p>
        </w:tc>
        <w:tc>
          <w:tcPr>
            <w:tcW w:w="605" w:type="pct"/>
            <w:vAlign w:val="center"/>
          </w:tcPr>
          <w:p w14:paraId="5A1905AD" w14:textId="77777777" w:rsidR="00A80E97" w:rsidRPr="00781112" w:rsidRDefault="00A80E97" w:rsidP="00D13592">
            <w:pPr>
              <w:spacing w:before="0" w:after="0"/>
              <w:jc w:val="center"/>
              <w:rPr>
                <w:rFonts w:cs="Arial"/>
                <w:color w:val="000000" w:themeColor="text1"/>
                <w:szCs w:val="16"/>
              </w:rPr>
            </w:pPr>
            <w:r w:rsidRPr="00781112">
              <w:rPr>
                <w:rFonts w:cs="Arial"/>
                <w:color w:val="000000" w:themeColor="text1"/>
                <w:szCs w:val="16"/>
              </w:rPr>
              <w:t>A &gt;=</w:t>
            </w:r>
          </w:p>
        </w:tc>
        <w:tc>
          <w:tcPr>
            <w:tcW w:w="1510" w:type="pct"/>
            <w:vAlign w:val="center"/>
          </w:tcPr>
          <w:p w14:paraId="0CFB9657" w14:textId="77777777" w:rsidR="00A80E97" w:rsidRPr="00781112" w:rsidDel="00DE5045" w:rsidRDefault="00A80E97" w:rsidP="00D13592">
            <w:pPr>
              <w:jc w:val="center"/>
              <w:rPr>
                <w:rFonts w:cs="Arial"/>
                <w:color w:val="000000" w:themeColor="text1"/>
                <w:szCs w:val="16"/>
              </w:rPr>
            </w:pPr>
            <w:r w:rsidRPr="00781112">
              <w:rPr>
                <w:rFonts w:cs="Arial"/>
                <w:color w:val="000000" w:themeColor="text1"/>
                <w:szCs w:val="16"/>
              </w:rPr>
              <w:t>Grade 4</w:t>
            </w:r>
          </w:p>
        </w:tc>
        <w:tc>
          <w:tcPr>
            <w:tcW w:w="1090" w:type="pct"/>
            <w:vAlign w:val="center"/>
          </w:tcPr>
          <w:p w14:paraId="2AC34EF0" w14:textId="77777777" w:rsidR="00A80E97" w:rsidRPr="00781112" w:rsidRDefault="00A80E97" w:rsidP="00D13592">
            <w:pPr>
              <w:jc w:val="center"/>
              <w:rPr>
                <w:rFonts w:cs="Arial"/>
                <w:color w:val="000000" w:themeColor="text1"/>
                <w:szCs w:val="16"/>
              </w:rPr>
            </w:pPr>
            <w:r w:rsidRPr="00781112">
              <w:rPr>
                <w:rFonts w:cs="Arial"/>
                <w:color w:val="000000" w:themeColor="text1"/>
                <w:szCs w:val="16"/>
              </w:rPr>
              <w:t>21.00%</w:t>
            </w:r>
          </w:p>
        </w:tc>
        <w:tc>
          <w:tcPr>
            <w:tcW w:w="1090" w:type="pct"/>
            <w:vAlign w:val="center"/>
          </w:tcPr>
          <w:p w14:paraId="21B82408" w14:textId="77777777" w:rsidR="00A80E97" w:rsidRPr="00781112" w:rsidRDefault="00A80E97" w:rsidP="00D13592">
            <w:pPr>
              <w:jc w:val="center"/>
              <w:rPr>
                <w:rFonts w:cs="Arial"/>
                <w:color w:val="000000" w:themeColor="text1"/>
                <w:szCs w:val="16"/>
              </w:rPr>
            </w:pPr>
            <w:r w:rsidRPr="00781112">
              <w:rPr>
                <w:rFonts w:cs="Arial"/>
                <w:color w:val="000000" w:themeColor="text1"/>
                <w:szCs w:val="16"/>
              </w:rPr>
              <w:t>21.50%</w:t>
            </w:r>
          </w:p>
        </w:tc>
      </w:tr>
      <w:tr w:rsidR="00A80E97" w:rsidRPr="00781112" w14:paraId="5A23850E" w14:textId="77777777" w:rsidTr="00924AD9">
        <w:tc>
          <w:tcPr>
            <w:tcW w:w="705" w:type="pct"/>
            <w:vAlign w:val="center"/>
          </w:tcPr>
          <w:p w14:paraId="4A73D0BE" w14:textId="77777777" w:rsidR="00A80E97" w:rsidRPr="00781112" w:rsidRDefault="00A80E97" w:rsidP="00D13592">
            <w:pPr>
              <w:spacing w:before="0" w:after="0"/>
              <w:jc w:val="center"/>
              <w:rPr>
                <w:rFonts w:cs="Arial"/>
                <w:color w:val="000000" w:themeColor="text1"/>
                <w:szCs w:val="16"/>
              </w:rPr>
            </w:pPr>
            <w:r w:rsidRPr="00781112">
              <w:rPr>
                <w:rFonts w:cs="Arial"/>
                <w:color w:val="000000" w:themeColor="text1"/>
                <w:szCs w:val="16"/>
              </w:rPr>
              <w:t>Reading</w:t>
            </w:r>
          </w:p>
        </w:tc>
        <w:tc>
          <w:tcPr>
            <w:tcW w:w="605" w:type="pct"/>
            <w:vAlign w:val="center"/>
          </w:tcPr>
          <w:p w14:paraId="581BEEA0" w14:textId="77777777" w:rsidR="00A80E97" w:rsidRPr="00781112" w:rsidRDefault="00A80E97" w:rsidP="00D13592">
            <w:pPr>
              <w:spacing w:before="0" w:after="0"/>
              <w:jc w:val="center"/>
              <w:rPr>
                <w:rFonts w:cs="Arial"/>
                <w:color w:val="000000" w:themeColor="text1"/>
                <w:szCs w:val="16"/>
              </w:rPr>
            </w:pPr>
            <w:r w:rsidRPr="00781112">
              <w:rPr>
                <w:rFonts w:cs="Arial"/>
                <w:color w:val="000000" w:themeColor="text1"/>
                <w:szCs w:val="16"/>
              </w:rPr>
              <w:t>B &gt;=</w:t>
            </w:r>
          </w:p>
        </w:tc>
        <w:tc>
          <w:tcPr>
            <w:tcW w:w="1510" w:type="pct"/>
            <w:vAlign w:val="center"/>
          </w:tcPr>
          <w:p w14:paraId="429E55A7" w14:textId="77777777" w:rsidR="00A80E97" w:rsidRPr="00781112" w:rsidDel="00DE5045" w:rsidRDefault="00A80E97" w:rsidP="00D13592">
            <w:pPr>
              <w:jc w:val="center"/>
              <w:rPr>
                <w:rFonts w:cs="Arial"/>
                <w:color w:val="000000" w:themeColor="text1"/>
                <w:szCs w:val="16"/>
              </w:rPr>
            </w:pPr>
            <w:r w:rsidRPr="00781112">
              <w:rPr>
                <w:rFonts w:cs="Arial"/>
                <w:color w:val="000000" w:themeColor="text1"/>
                <w:szCs w:val="16"/>
              </w:rPr>
              <w:t>Grade 8</w:t>
            </w:r>
          </w:p>
        </w:tc>
        <w:tc>
          <w:tcPr>
            <w:tcW w:w="1090" w:type="pct"/>
            <w:vAlign w:val="center"/>
          </w:tcPr>
          <w:p w14:paraId="4F48C63A" w14:textId="77777777" w:rsidR="00A80E97" w:rsidRPr="00781112" w:rsidRDefault="00A80E97" w:rsidP="00D13592">
            <w:pPr>
              <w:jc w:val="center"/>
              <w:rPr>
                <w:rFonts w:cs="Arial"/>
                <w:color w:val="000000" w:themeColor="text1"/>
                <w:szCs w:val="16"/>
              </w:rPr>
            </w:pPr>
            <w:r w:rsidRPr="00781112">
              <w:rPr>
                <w:rFonts w:cs="Arial"/>
                <w:color w:val="000000" w:themeColor="text1"/>
                <w:szCs w:val="16"/>
              </w:rPr>
              <w:t>35.00%</w:t>
            </w:r>
          </w:p>
        </w:tc>
        <w:tc>
          <w:tcPr>
            <w:tcW w:w="1090" w:type="pct"/>
            <w:vAlign w:val="center"/>
          </w:tcPr>
          <w:p w14:paraId="35E981C0" w14:textId="77777777" w:rsidR="00A80E97" w:rsidRPr="00781112" w:rsidRDefault="00A80E97" w:rsidP="00D13592">
            <w:pPr>
              <w:jc w:val="center"/>
              <w:rPr>
                <w:rFonts w:cs="Arial"/>
                <w:color w:val="000000" w:themeColor="text1"/>
                <w:szCs w:val="16"/>
              </w:rPr>
            </w:pPr>
            <w:r w:rsidRPr="00781112">
              <w:rPr>
                <w:rFonts w:cs="Arial"/>
                <w:color w:val="000000" w:themeColor="text1"/>
                <w:szCs w:val="16"/>
              </w:rPr>
              <w:t>35.50%</w:t>
            </w:r>
          </w:p>
        </w:tc>
      </w:tr>
      <w:tr w:rsidR="00A80E97" w:rsidRPr="00781112" w14:paraId="3120B485" w14:textId="77777777" w:rsidTr="00924AD9">
        <w:tc>
          <w:tcPr>
            <w:tcW w:w="705" w:type="pct"/>
            <w:vAlign w:val="center"/>
          </w:tcPr>
          <w:p w14:paraId="1FB44FEA" w14:textId="77777777" w:rsidR="00A80E97" w:rsidRPr="00781112" w:rsidRDefault="00A80E97" w:rsidP="00D13592">
            <w:pPr>
              <w:spacing w:before="0" w:after="0"/>
              <w:jc w:val="center"/>
              <w:rPr>
                <w:rFonts w:cs="Arial"/>
                <w:color w:val="000000" w:themeColor="text1"/>
                <w:szCs w:val="16"/>
              </w:rPr>
            </w:pPr>
            <w:r w:rsidRPr="00781112">
              <w:rPr>
                <w:rFonts w:cs="Arial"/>
                <w:color w:val="000000" w:themeColor="text1"/>
                <w:szCs w:val="16"/>
              </w:rPr>
              <w:t>Reading</w:t>
            </w:r>
          </w:p>
        </w:tc>
        <w:tc>
          <w:tcPr>
            <w:tcW w:w="605" w:type="pct"/>
            <w:vAlign w:val="center"/>
          </w:tcPr>
          <w:p w14:paraId="636A9813" w14:textId="77777777" w:rsidR="00A80E97" w:rsidRPr="00781112" w:rsidRDefault="00A80E97" w:rsidP="00D13592">
            <w:pPr>
              <w:spacing w:before="0" w:after="0"/>
              <w:jc w:val="center"/>
              <w:rPr>
                <w:rFonts w:cs="Arial"/>
                <w:color w:val="000000" w:themeColor="text1"/>
                <w:szCs w:val="16"/>
              </w:rPr>
            </w:pPr>
            <w:r w:rsidRPr="00781112">
              <w:rPr>
                <w:rFonts w:cs="Arial"/>
                <w:color w:val="000000" w:themeColor="text1"/>
                <w:szCs w:val="16"/>
              </w:rPr>
              <w:t>C &gt;=</w:t>
            </w:r>
          </w:p>
        </w:tc>
        <w:tc>
          <w:tcPr>
            <w:tcW w:w="1510" w:type="pct"/>
            <w:vAlign w:val="center"/>
          </w:tcPr>
          <w:p w14:paraId="0B590977" w14:textId="77777777" w:rsidR="00A80E97" w:rsidRPr="00781112" w:rsidDel="00DE5045" w:rsidRDefault="00A80E97" w:rsidP="00D13592">
            <w:pPr>
              <w:jc w:val="center"/>
              <w:rPr>
                <w:rFonts w:cs="Arial"/>
                <w:color w:val="000000" w:themeColor="text1"/>
                <w:szCs w:val="16"/>
              </w:rPr>
            </w:pPr>
            <w:r w:rsidRPr="00781112">
              <w:rPr>
                <w:rFonts w:cs="Arial"/>
                <w:color w:val="000000" w:themeColor="text1"/>
                <w:szCs w:val="16"/>
              </w:rPr>
              <w:t>Grade HS</w:t>
            </w:r>
          </w:p>
        </w:tc>
        <w:tc>
          <w:tcPr>
            <w:tcW w:w="1090" w:type="pct"/>
            <w:vAlign w:val="center"/>
          </w:tcPr>
          <w:p w14:paraId="71CCD7AB" w14:textId="77777777" w:rsidR="00A80E97" w:rsidRPr="00781112" w:rsidRDefault="00A80E97" w:rsidP="00D13592">
            <w:pPr>
              <w:jc w:val="center"/>
              <w:rPr>
                <w:rFonts w:cs="Arial"/>
                <w:color w:val="000000" w:themeColor="text1"/>
                <w:szCs w:val="16"/>
              </w:rPr>
            </w:pPr>
            <w:r w:rsidRPr="00781112">
              <w:rPr>
                <w:rFonts w:cs="Arial"/>
                <w:color w:val="000000" w:themeColor="text1"/>
                <w:szCs w:val="16"/>
              </w:rPr>
              <w:t>38.50%</w:t>
            </w:r>
          </w:p>
        </w:tc>
        <w:tc>
          <w:tcPr>
            <w:tcW w:w="1090" w:type="pct"/>
            <w:vAlign w:val="center"/>
          </w:tcPr>
          <w:p w14:paraId="5A7AB939" w14:textId="77777777" w:rsidR="00A80E97" w:rsidRPr="00781112" w:rsidRDefault="00A80E97" w:rsidP="00D13592">
            <w:pPr>
              <w:jc w:val="center"/>
              <w:rPr>
                <w:rFonts w:cs="Arial"/>
                <w:color w:val="000000" w:themeColor="text1"/>
                <w:szCs w:val="16"/>
              </w:rPr>
            </w:pPr>
            <w:r w:rsidRPr="00781112">
              <w:rPr>
                <w:rFonts w:cs="Arial"/>
                <w:color w:val="000000" w:themeColor="text1"/>
                <w:szCs w:val="16"/>
              </w:rPr>
              <w:t>39.00%</w:t>
            </w:r>
          </w:p>
        </w:tc>
      </w:tr>
      <w:tr w:rsidR="00A80E97" w:rsidRPr="00781112" w14:paraId="5FADFE85" w14:textId="77777777" w:rsidTr="00924AD9">
        <w:tc>
          <w:tcPr>
            <w:tcW w:w="705" w:type="pct"/>
            <w:vAlign w:val="center"/>
          </w:tcPr>
          <w:p w14:paraId="4EBA32F9" w14:textId="77777777" w:rsidR="00A80E97" w:rsidRPr="00781112" w:rsidRDefault="00A80E97" w:rsidP="00D13592">
            <w:pPr>
              <w:spacing w:before="0" w:after="0"/>
              <w:jc w:val="center"/>
              <w:rPr>
                <w:rFonts w:cs="Arial"/>
                <w:color w:val="000000" w:themeColor="text1"/>
                <w:szCs w:val="16"/>
              </w:rPr>
            </w:pPr>
            <w:r w:rsidRPr="00781112">
              <w:rPr>
                <w:rFonts w:cs="Arial"/>
                <w:color w:val="000000" w:themeColor="text1"/>
                <w:szCs w:val="16"/>
              </w:rPr>
              <w:t>Math</w:t>
            </w:r>
          </w:p>
        </w:tc>
        <w:tc>
          <w:tcPr>
            <w:tcW w:w="605" w:type="pct"/>
            <w:vAlign w:val="center"/>
          </w:tcPr>
          <w:p w14:paraId="5842606F" w14:textId="77777777" w:rsidR="00A80E97" w:rsidRPr="00781112" w:rsidRDefault="00A80E97" w:rsidP="00D13592">
            <w:pPr>
              <w:spacing w:before="0" w:after="0"/>
              <w:jc w:val="center"/>
              <w:rPr>
                <w:rFonts w:cs="Arial"/>
                <w:color w:val="000000" w:themeColor="text1"/>
                <w:szCs w:val="16"/>
              </w:rPr>
            </w:pPr>
            <w:r w:rsidRPr="00781112">
              <w:rPr>
                <w:rFonts w:cs="Arial"/>
                <w:color w:val="000000" w:themeColor="text1"/>
                <w:szCs w:val="16"/>
              </w:rPr>
              <w:t>A &gt;=</w:t>
            </w:r>
          </w:p>
        </w:tc>
        <w:tc>
          <w:tcPr>
            <w:tcW w:w="1510" w:type="pct"/>
            <w:vAlign w:val="center"/>
          </w:tcPr>
          <w:p w14:paraId="057A6456" w14:textId="77777777" w:rsidR="00A80E97" w:rsidRPr="00781112" w:rsidDel="00DE5045" w:rsidRDefault="00A80E97" w:rsidP="00D13592">
            <w:pPr>
              <w:jc w:val="center"/>
              <w:rPr>
                <w:rFonts w:cs="Arial"/>
                <w:color w:val="000000" w:themeColor="text1"/>
                <w:szCs w:val="16"/>
              </w:rPr>
            </w:pPr>
            <w:r w:rsidRPr="00781112">
              <w:rPr>
                <w:rFonts w:cs="Arial"/>
                <w:color w:val="000000" w:themeColor="text1"/>
                <w:szCs w:val="16"/>
              </w:rPr>
              <w:t>Grade 4</w:t>
            </w:r>
          </w:p>
        </w:tc>
        <w:tc>
          <w:tcPr>
            <w:tcW w:w="1090" w:type="pct"/>
            <w:vAlign w:val="center"/>
          </w:tcPr>
          <w:p w14:paraId="4367DAD5" w14:textId="77777777" w:rsidR="00A80E97" w:rsidRPr="00781112" w:rsidRDefault="00A80E97" w:rsidP="00D13592">
            <w:pPr>
              <w:jc w:val="center"/>
              <w:rPr>
                <w:rFonts w:cs="Arial"/>
                <w:color w:val="000000" w:themeColor="text1"/>
                <w:szCs w:val="16"/>
              </w:rPr>
            </w:pPr>
            <w:r w:rsidRPr="00781112">
              <w:rPr>
                <w:rFonts w:cs="Arial"/>
                <w:color w:val="000000" w:themeColor="text1"/>
                <w:szCs w:val="16"/>
              </w:rPr>
              <w:t>29.00%</w:t>
            </w:r>
          </w:p>
        </w:tc>
        <w:tc>
          <w:tcPr>
            <w:tcW w:w="1090" w:type="pct"/>
            <w:vAlign w:val="center"/>
          </w:tcPr>
          <w:p w14:paraId="024301F0" w14:textId="77777777" w:rsidR="00A80E97" w:rsidRPr="00781112" w:rsidRDefault="00A80E97" w:rsidP="00D13592">
            <w:pPr>
              <w:jc w:val="center"/>
              <w:rPr>
                <w:rFonts w:cs="Arial"/>
                <w:color w:val="000000" w:themeColor="text1"/>
                <w:szCs w:val="16"/>
              </w:rPr>
            </w:pPr>
            <w:r w:rsidRPr="00781112">
              <w:rPr>
                <w:rFonts w:cs="Arial"/>
                <w:color w:val="000000" w:themeColor="text1"/>
                <w:szCs w:val="16"/>
              </w:rPr>
              <w:t>29.50%</w:t>
            </w:r>
          </w:p>
        </w:tc>
      </w:tr>
      <w:tr w:rsidR="00A80E97" w:rsidRPr="00781112" w14:paraId="16A3052E" w14:textId="77777777" w:rsidTr="00924AD9">
        <w:tc>
          <w:tcPr>
            <w:tcW w:w="705" w:type="pct"/>
            <w:vAlign w:val="center"/>
          </w:tcPr>
          <w:p w14:paraId="310A2636" w14:textId="77777777" w:rsidR="00A80E97" w:rsidRPr="00781112" w:rsidRDefault="00A80E97" w:rsidP="00D13592">
            <w:pPr>
              <w:spacing w:before="0" w:after="0"/>
              <w:jc w:val="center"/>
              <w:rPr>
                <w:rFonts w:cs="Arial"/>
                <w:color w:val="000000" w:themeColor="text1"/>
                <w:szCs w:val="16"/>
              </w:rPr>
            </w:pPr>
            <w:r w:rsidRPr="00781112">
              <w:rPr>
                <w:rFonts w:cs="Arial"/>
                <w:color w:val="000000" w:themeColor="text1"/>
                <w:szCs w:val="16"/>
              </w:rPr>
              <w:t>Math</w:t>
            </w:r>
          </w:p>
        </w:tc>
        <w:tc>
          <w:tcPr>
            <w:tcW w:w="605" w:type="pct"/>
            <w:vAlign w:val="center"/>
          </w:tcPr>
          <w:p w14:paraId="6D68B3B1" w14:textId="77777777" w:rsidR="00A80E97" w:rsidRPr="00781112" w:rsidRDefault="00A80E97" w:rsidP="00D13592">
            <w:pPr>
              <w:spacing w:before="0" w:after="0"/>
              <w:jc w:val="center"/>
              <w:rPr>
                <w:rFonts w:cs="Arial"/>
                <w:color w:val="000000" w:themeColor="text1"/>
                <w:szCs w:val="16"/>
              </w:rPr>
            </w:pPr>
            <w:r w:rsidRPr="00781112">
              <w:rPr>
                <w:rFonts w:cs="Arial"/>
                <w:color w:val="000000" w:themeColor="text1"/>
                <w:szCs w:val="16"/>
              </w:rPr>
              <w:t>B &gt;=</w:t>
            </w:r>
          </w:p>
        </w:tc>
        <w:tc>
          <w:tcPr>
            <w:tcW w:w="1510" w:type="pct"/>
            <w:vAlign w:val="center"/>
          </w:tcPr>
          <w:p w14:paraId="64C2717A" w14:textId="77777777" w:rsidR="00A80E97" w:rsidRPr="00781112" w:rsidDel="00DE5045" w:rsidRDefault="00A80E97" w:rsidP="00D13592">
            <w:pPr>
              <w:jc w:val="center"/>
              <w:rPr>
                <w:rFonts w:cs="Arial"/>
                <w:color w:val="000000" w:themeColor="text1"/>
                <w:szCs w:val="16"/>
              </w:rPr>
            </w:pPr>
            <w:r w:rsidRPr="00781112">
              <w:rPr>
                <w:rFonts w:cs="Arial"/>
                <w:color w:val="000000" w:themeColor="text1"/>
                <w:szCs w:val="16"/>
              </w:rPr>
              <w:t>Grade 8</w:t>
            </w:r>
          </w:p>
        </w:tc>
        <w:tc>
          <w:tcPr>
            <w:tcW w:w="1090" w:type="pct"/>
            <w:vAlign w:val="center"/>
          </w:tcPr>
          <w:p w14:paraId="12884FFB" w14:textId="77777777" w:rsidR="00A80E97" w:rsidRPr="00781112" w:rsidRDefault="00A80E97" w:rsidP="00D13592">
            <w:pPr>
              <w:jc w:val="center"/>
              <w:rPr>
                <w:rFonts w:cs="Arial"/>
                <w:color w:val="000000" w:themeColor="text1"/>
                <w:szCs w:val="16"/>
              </w:rPr>
            </w:pPr>
            <w:r w:rsidRPr="00781112">
              <w:rPr>
                <w:rFonts w:cs="Arial"/>
                <w:color w:val="000000" w:themeColor="text1"/>
                <w:szCs w:val="16"/>
              </w:rPr>
              <w:t>9.50%</w:t>
            </w:r>
          </w:p>
        </w:tc>
        <w:tc>
          <w:tcPr>
            <w:tcW w:w="1090" w:type="pct"/>
            <w:vAlign w:val="center"/>
          </w:tcPr>
          <w:p w14:paraId="127110ED" w14:textId="77777777" w:rsidR="00A80E97" w:rsidRPr="00781112" w:rsidRDefault="00A80E97" w:rsidP="00D13592">
            <w:pPr>
              <w:jc w:val="center"/>
              <w:rPr>
                <w:rFonts w:cs="Arial"/>
                <w:color w:val="000000" w:themeColor="text1"/>
                <w:szCs w:val="16"/>
              </w:rPr>
            </w:pPr>
            <w:r w:rsidRPr="00781112">
              <w:rPr>
                <w:rFonts w:cs="Arial"/>
                <w:color w:val="000000" w:themeColor="text1"/>
                <w:szCs w:val="16"/>
              </w:rPr>
              <w:t>10.00%</w:t>
            </w:r>
          </w:p>
        </w:tc>
      </w:tr>
      <w:tr w:rsidR="00A80E97" w:rsidRPr="00781112" w14:paraId="08AD30AA" w14:textId="77777777" w:rsidTr="00924AD9">
        <w:tc>
          <w:tcPr>
            <w:tcW w:w="705" w:type="pct"/>
            <w:vAlign w:val="center"/>
          </w:tcPr>
          <w:p w14:paraId="070A6837" w14:textId="77777777" w:rsidR="00A80E97" w:rsidRPr="00781112" w:rsidRDefault="00A80E97" w:rsidP="00D13592">
            <w:pPr>
              <w:spacing w:before="0" w:after="0"/>
              <w:jc w:val="center"/>
              <w:rPr>
                <w:rFonts w:cs="Arial"/>
                <w:color w:val="000000" w:themeColor="text1"/>
                <w:szCs w:val="16"/>
              </w:rPr>
            </w:pPr>
            <w:r w:rsidRPr="00781112">
              <w:rPr>
                <w:rFonts w:cs="Arial"/>
                <w:color w:val="000000" w:themeColor="text1"/>
                <w:szCs w:val="16"/>
              </w:rPr>
              <w:t>Math</w:t>
            </w:r>
          </w:p>
        </w:tc>
        <w:tc>
          <w:tcPr>
            <w:tcW w:w="605" w:type="pct"/>
            <w:vAlign w:val="center"/>
          </w:tcPr>
          <w:p w14:paraId="354CC9CB" w14:textId="77777777" w:rsidR="00A80E97" w:rsidRPr="00781112" w:rsidRDefault="00A80E97" w:rsidP="00D13592">
            <w:pPr>
              <w:spacing w:before="0" w:after="0"/>
              <w:jc w:val="center"/>
              <w:rPr>
                <w:rFonts w:cs="Arial"/>
                <w:color w:val="000000" w:themeColor="text1"/>
                <w:szCs w:val="16"/>
              </w:rPr>
            </w:pPr>
            <w:r w:rsidRPr="00781112">
              <w:rPr>
                <w:rFonts w:cs="Arial"/>
                <w:color w:val="000000" w:themeColor="text1"/>
                <w:szCs w:val="16"/>
              </w:rPr>
              <w:t>C &gt;=</w:t>
            </w:r>
          </w:p>
        </w:tc>
        <w:tc>
          <w:tcPr>
            <w:tcW w:w="1510" w:type="pct"/>
            <w:vAlign w:val="center"/>
          </w:tcPr>
          <w:p w14:paraId="5DE632FB" w14:textId="77777777" w:rsidR="00A80E97" w:rsidRPr="00781112" w:rsidDel="00DE5045" w:rsidRDefault="00A80E97" w:rsidP="00D13592">
            <w:pPr>
              <w:jc w:val="center"/>
              <w:rPr>
                <w:rFonts w:cs="Arial"/>
                <w:color w:val="000000" w:themeColor="text1"/>
                <w:szCs w:val="16"/>
              </w:rPr>
            </w:pPr>
            <w:r w:rsidRPr="00781112">
              <w:rPr>
                <w:rFonts w:cs="Arial"/>
                <w:color w:val="000000" w:themeColor="text1"/>
                <w:szCs w:val="16"/>
              </w:rPr>
              <w:t>Grade HS</w:t>
            </w:r>
          </w:p>
        </w:tc>
        <w:tc>
          <w:tcPr>
            <w:tcW w:w="1090" w:type="pct"/>
            <w:vAlign w:val="center"/>
          </w:tcPr>
          <w:p w14:paraId="633EB6E6" w14:textId="77777777" w:rsidR="00A80E97" w:rsidRPr="00781112" w:rsidRDefault="00A80E97" w:rsidP="00D13592">
            <w:pPr>
              <w:jc w:val="center"/>
              <w:rPr>
                <w:rFonts w:cs="Arial"/>
                <w:color w:val="000000" w:themeColor="text1"/>
                <w:szCs w:val="16"/>
              </w:rPr>
            </w:pPr>
            <w:r w:rsidRPr="00781112">
              <w:rPr>
                <w:rFonts w:cs="Arial"/>
                <w:color w:val="000000" w:themeColor="text1"/>
                <w:szCs w:val="16"/>
              </w:rPr>
              <w:t>14.00%</w:t>
            </w:r>
          </w:p>
        </w:tc>
        <w:tc>
          <w:tcPr>
            <w:tcW w:w="1090" w:type="pct"/>
            <w:vAlign w:val="center"/>
          </w:tcPr>
          <w:p w14:paraId="77FB8F16" w14:textId="77777777" w:rsidR="00A80E97" w:rsidRPr="00781112" w:rsidRDefault="00A80E97" w:rsidP="00D13592">
            <w:pPr>
              <w:jc w:val="center"/>
              <w:rPr>
                <w:rFonts w:cs="Arial"/>
                <w:color w:val="000000" w:themeColor="text1"/>
                <w:szCs w:val="16"/>
              </w:rPr>
            </w:pPr>
            <w:r w:rsidRPr="00781112">
              <w:rPr>
                <w:rFonts w:cs="Arial"/>
                <w:color w:val="000000" w:themeColor="text1"/>
                <w:szCs w:val="16"/>
              </w:rPr>
              <w:t>14.50%</w:t>
            </w:r>
          </w:p>
        </w:tc>
      </w:tr>
    </w:tbl>
    <w:p w14:paraId="77308BFF" w14:textId="77777777" w:rsidR="00140972" w:rsidRDefault="00140972">
      <w:pPr>
        <w:spacing w:before="0" w:after="200" w:line="276" w:lineRule="auto"/>
        <w:rPr>
          <w:b/>
          <w:color w:val="000000" w:themeColor="text1"/>
        </w:rPr>
      </w:pPr>
    </w:p>
    <w:p w14:paraId="1C77B637" w14:textId="77777777" w:rsidR="002D145D" w:rsidRPr="00781112" w:rsidRDefault="002D145D" w:rsidP="004369B2">
      <w:pPr>
        <w:rPr>
          <w:b/>
          <w:color w:val="000000" w:themeColor="text1"/>
        </w:rPr>
      </w:pPr>
      <w:r w:rsidRPr="00781112">
        <w:rPr>
          <w:b/>
          <w:color w:val="000000" w:themeColor="text1"/>
        </w:rPr>
        <w:t xml:space="preserve">Targets: Description of Stakeholder Input </w:t>
      </w:r>
    </w:p>
    <w:p w14:paraId="37962A22" w14:textId="77777777" w:rsidR="002D145D" w:rsidRPr="00781112" w:rsidRDefault="002B7490" w:rsidP="002D145D">
      <w:pPr>
        <w:rPr>
          <w:rFonts w:cs="Arial"/>
          <w:color w:val="000000" w:themeColor="text1"/>
          <w:szCs w:val="16"/>
        </w:rPr>
      </w:pPr>
      <w:r w:rsidRPr="00781112">
        <w:rPr>
          <w:rFonts w:cs="Arial"/>
          <w:color w:val="000000" w:themeColor="text1"/>
          <w:szCs w:val="16"/>
        </w:rPr>
        <w:t>WVDE/OSE maintains robust stakeholder engagement through multiple communication and collaboration channels:</w:t>
      </w:r>
    </w:p>
    <w:p w14:paraId="16DB1F23" w14:textId="77777777" w:rsidR="00CA787A" w:rsidRDefault="003169E9">
      <w:r>
        <w:rPr>
          <w:color w:val="000000"/>
        </w:rPr>
        <w:t>*DIRECT COMMUNICATION/CONSULTATION*</w:t>
      </w:r>
    </w:p>
    <w:p w14:paraId="6F4651D0" w14:textId="77777777" w:rsidR="00CA787A" w:rsidRDefault="003169E9">
      <w:r>
        <w:rPr>
          <w:color w:val="000000"/>
        </w:rPr>
        <w:t>—Engaging in one-on-one calls with parents, advocates, educators, and community stakeholders.</w:t>
      </w:r>
    </w:p>
    <w:p w14:paraId="77BD7911" w14:textId="77777777" w:rsidR="00CA787A" w:rsidRDefault="003169E9">
      <w:r>
        <w:rPr>
          <w:color w:val="000000"/>
        </w:rPr>
        <w:t>—Distributing emails and surveys to solicit input from diverse stakeholder groups.</w:t>
      </w:r>
    </w:p>
    <w:p w14:paraId="3ADA7F95" w14:textId="77777777" w:rsidR="00CA787A" w:rsidRDefault="003169E9">
      <w:r>
        <w:rPr>
          <w:color w:val="000000"/>
        </w:rPr>
        <w:t>—Hosting bi-monthly secondary transition office hours to address Indicator 13 compliance and results, and to provide technical assistance for IEP development.</w:t>
      </w:r>
    </w:p>
    <w:p w14:paraId="6B5D3B16" w14:textId="77777777" w:rsidR="00CA787A" w:rsidRDefault="003169E9">
      <w:r>
        <w:rPr>
          <w:color w:val="000000"/>
        </w:rPr>
        <w:t>—Monthly virtual meetings with stakeholders to identify and troubleshoot areas of concern throughout the state.</w:t>
      </w:r>
    </w:p>
    <w:p w14:paraId="72B0B187" w14:textId="77777777" w:rsidR="00CA787A" w:rsidRDefault="003169E9">
      <w:r>
        <w:rPr>
          <w:color w:val="000000"/>
        </w:rPr>
        <w:lastRenderedPageBreak/>
        <w:t>*INFORMATION SHARING*</w:t>
      </w:r>
    </w:p>
    <w:p w14:paraId="7F976FAA" w14:textId="77777777" w:rsidR="00CA787A" w:rsidRDefault="003169E9">
      <w:r>
        <w:rPr>
          <w:color w:val="000000"/>
        </w:rPr>
        <w:t>—Utilizing a dedicated Microsoft Teams platform for communication with LEAs.</w:t>
      </w:r>
    </w:p>
    <w:p w14:paraId="6FA3D50D" w14:textId="77777777" w:rsidR="00CA787A" w:rsidRDefault="003169E9">
      <w:r>
        <w:rPr>
          <w:color w:val="000000"/>
        </w:rPr>
        <w:t>—Maintaining a public input form on the WVDE website specifically for SSIP feedback.</w:t>
      </w:r>
    </w:p>
    <w:p w14:paraId="7B313D25" w14:textId="77777777" w:rsidR="00CA787A" w:rsidRDefault="003169E9">
      <w:r>
        <w:rPr>
          <w:color w:val="000000"/>
        </w:rPr>
        <w:t xml:space="preserve">—Collecting input from parents, students, and school personnel as required components of monitoring activities. </w:t>
      </w:r>
    </w:p>
    <w:p w14:paraId="2B03A429" w14:textId="77777777" w:rsidR="00CA787A" w:rsidRDefault="003169E9">
      <w:r>
        <w:rPr>
          <w:color w:val="000000"/>
        </w:rPr>
        <w:t>—Facilitating cross-office communication and coordination on general and special education initiatives.</w:t>
      </w:r>
    </w:p>
    <w:p w14:paraId="45BD8C24" w14:textId="77777777" w:rsidR="00CA787A" w:rsidRDefault="003169E9">
      <w:r>
        <w:rPr>
          <w:color w:val="000000"/>
        </w:rPr>
        <w:t>*COLLABORATIVE PARTNERSHIPS*</w:t>
      </w:r>
    </w:p>
    <w:p w14:paraId="13B6135A" w14:textId="77777777" w:rsidR="00CA787A" w:rsidRDefault="003169E9">
      <w:r>
        <w:rPr>
          <w:color w:val="000000"/>
        </w:rPr>
        <w:t>—Engaging in ongoing meetings and interagency teams dedicated to enhancing outcomes for individuals with disabilities.</w:t>
      </w:r>
    </w:p>
    <w:p w14:paraId="4B11281B" w14:textId="77777777" w:rsidR="00CA787A" w:rsidRDefault="003169E9">
      <w:r>
        <w:rPr>
          <w:color w:val="000000"/>
        </w:rPr>
        <w:t>—Ensuring the state director's active participation in all WVACEEC meetings, including involvement in sessions, capacity-building efforts, and feedback collection from LEAs, parents, and community organizations.</w:t>
      </w:r>
    </w:p>
    <w:p w14:paraId="6C3C676D" w14:textId="77777777" w:rsidR="00CA787A" w:rsidRDefault="003169E9">
      <w:r>
        <w:rPr>
          <w:color w:val="000000"/>
        </w:rPr>
        <w:t>—Maintaining regular meetings and collaborative relationships with legislators, advocacy organizations, educator associations, and other stakeholders to strengthen stakeholder knowledge of IDEA procedures, improve SEA-stakeholder dialogue, and collaboratively develop strategies for ongoing improvement toward special education goals (e.g., the Developmental Disability Council (DD Council), Statewide Independent Living Council (SILC), State Rehabilitation Council (SRC), Employment First Task Force, Olmstead Council).</w:t>
      </w:r>
    </w:p>
    <w:p w14:paraId="6458B5B5" w14:textId="77777777" w:rsidR="002D145D" w:rsidRPr="00781112" w:rsidRDefault="002B7490" w:rsidP="002D145D">
      <w:pPr>
        <w:rPr>
          <w:rFonts w:cs="Arial"/>
          <w:color w:val="000000" w:themeColor="text1"/>
          <w:szCs w:val="16"/>
        </w:rPr>
      </w:pPr>
      <w:r w:rsidRPr="00781112">
        <w:rPr>
          <w:rFonts w:cs="Arial"/>
          <w:color w:val="000000" w:themeColor="text1"/>
          <w:szCs w:val="16"/>
        </w:rPr>
        <w:t>Stakeholders did not indicate any interest in revising the Assessment Proficiency (alternate standards) targets during meetings held throughout the reporting period. However, WVDE/OSE remains open to considering any concerns or recommendations stakeholders may have regarding these targets.</w:t>
      </w:r>
    </w:p>
    <w:p w14:paraId="3A3FDD5C" w14:textId="77777777" w:rsidR="00B8751C" w:rsidRPr="00781112" w:rsidRDefault="00B8751C">
      <w:pPr>
        <w:rPr>
          <w:b/>
          <w:color w:val="000000" w:themeColor="text1"/>
        </w:rPr>
      </w:pPr>
    </w:p>
    <w:p w14:paraId="3F1BEEE2" w14:textId="77777777" w:rsidR="000A5A2E" w:rsidRPr="00781112" w:rsidRDefault="00FA33C9">
      <w:pPr>
        <w:rPr>
          <w:b/>
          <w:color w:val="000000" w:themeColor="text1"/>
        </w:rPr>
      </w:pPr>
      <w:r>
        <w:rPr>
          <w:b/>
          <w:color w:val="000000" w:themeColor="text1"/>
        </w:rPr>
        <w:t xml:space="preserve">FFY 2024 Data Disaggregation from </w:t>
      </w:r>
      <w:proofErr w:type="spellStart"/>
      <w:r>
        <w:rPr>
          <w:b/>
          <w:color w:val="000000" w:themeColor="text1"/>
        </w:rPr>
        <w:t>ED</w:t>
      </w:r>
      <w:r w:rsidRPr="00BA3DBE">
        <w:rPr>
          <w:b/>
          <w:i/>
          <w:iCs/>
          <w:color w:val="000000" w:themeColor="text1"/>
        </w:rPr>
        <w:t>Facts</w:t>
      </w:r>
      <w:proofErr w:type="spellEnd"/>
    </w:p>
    <w:p w14:paraId="2DA8337D" w14:textId="77777777" w:rsidR="00F41DFF" w:rsidRPr="00781112" w:rsidRDefault="00A10323" w:rsidP="00286BDF">
      <w:pPr>
        <w:rPr>
          <w:rFonts w:cs="Arial"/>
          <w:b/>
          <w:color w:val="000000" w:themeColor="text1"/>
          <w:szCs w:val="16"/>
        </w:rPr>
      </w:pPr>
      <w:r w:rsidRPr="00781112">
        <w:rPr>
          <w:rFonts w:cs="Arial"/>
          <w:b/>
          <w:color w:val="000000" w:themeColor="text1"/>
          <w:szCs w:val="16"/>
        </w:rPr>
        <w:t xml:space="preserve">Data Source: </w:t>
      </w:r>
    </w:p>
    <w:p w14:paraId="28CBFEA7" w14:textId="77777777" w:rsidR="00A10323" w:rsidRPr="00781112" w:rsidRDefault="002B7490" w:rsidP="00286BDF">
      <w:pPr>
        <w:rPr>
          <w:rFonts w:cs="Arial"/>
          <w:color w:val="000000" w:themeColor="text1"/>
          <w:szCs w:val="16"/>
        </w:rPr>
      </w:pPr>
      <w:r w:rsidRPr="00781112">
        <w:rPr>
          <w:rFonts w:cs="Arial"/>
          <w:color w:val="000000" w:themeColor="text1"/>
          <w:szCs w:val="16"/>
        </w:rPr>
        <w:t>SY 2024-25 Academic Achievement in Reading/Language Arts (</w:t>
      </w:r>
      <w:proofErr w:type="spellStart"/>
      <w:r w:rsidRPr="00781112">
        <w:rPr>
          <w:rFonts w:cs="Arial"/>
          <w:color w:val="000000" w:themeColor="text1"/>
          <w:szCs w:val="16"/>
        </w:rPr>
        <w:t>EDFacts</w:t>
      </w:r>
      <w:proofErr w:type="spellEnd"/>
      <w:r w:rsidRPr="00781112">
        <w:rPr>
          <w:rFonts w:cs="Arial"/>
          <w:color w:val="000000" w:themeColor="text1"/>
          <w:szCs w:val="16"/>
        </w:rPr>
        <w:t xml:space="preserve"> file spec FS178; Data Group: 876, 877)</w:t>
      </w:r>
    </w:p>
    <w:p w14:paraId="34F52802" w14:textId="77777777" w:rsidR="00F41DFF" w:rsidRPr="00781112" w:rsidRDefault="00A10323" w:rsidP="00286BDF">
      <w:pPr>
        <w:rPr>
          <w:rFonts w:cs="Arial"/>
          <w:b/>
          <w:color w:val="000000" w:themeColor="text1"/>
          <w:szCs w:val="16"/>
        </w:rPr>
      </w:pPr>
      <w:r w:rsidRPr="00781112">
        <w:rPr>
          <w:rFonts w:cs="Arial"/>
          <w:b/>
          <w:color w:val="000000" w:themeColor="text1"/>
          <w:szCs w:val="16"/>
        </w:rPr>
        <w:t xml:space="preserve">Date: </w:t>
      </w:r>
    </w:p>
    <w:p w14:paraId="3C0C9850" w14:textId="77777777" w:rsidR="00A63347" w:rsidRPr="00781112" w:rsidRDefault="002B7490">
      <w:pPr>
        <w:rPr>
          <w:b/>
          <w:color w:val="000000" w:themeColor="text1"/>
        </w:rPr>
      </w:pPr>
      <w:r w:rsidRPr="00781112">
        <w:rPr>
          <w:rFonts w:cs="Arial"/>
          <w:color w:val="000000" w:themeColor="text1"/>
          <w:szCs w:val="16"/>
        </w:rPr>
        <w:t>01/07/2026</w:t>
      </w:r>
    </w:p>
    <w:p w14:paraId="4A3C08C2" w14:textId="77777777" w:rsidR="00162F4A" w:rsidRPr="00781112" w:rsidRDefault="00162F4A">
      <w:pPr>
        <w:rPr>
          <w:b/>
          <w:color w:val="000000" w:themeColor="text1"/>
        </w:rPr>
      </w:pPr>
      <w:r w:rsidRPr="00781112">
        <w:rPr>
          <w:b/>
          <w:color w:val="000000" w:themeColor="text1"/>
        </w:rPr>
        <w:t>Reading Assessment Proficiency Data by Grade</w:t>
      </w:r>
    </w:p>
    <w:tbl>
      <w:tblPr>
        <w:tblStyle w:val="TableGrid"/>
        <w:tblW w:w="10795" w:type="dxa"/>
        <w:tblLayout w:type="fixed"/>
        <w:tblLook w:val="04A0" w:firstRow="1" w:lastRow="0" w:firstColumn="1" w:lastColumn="0" w:noHBand="0" w:noVBand="1"/>
        <w:tblCaption w:val="B03CASSPARTDATABYGRDRLA"/>
      </w:tblPr>
      <w:tblGrid>
        <w:gridCol w:w="2695"/>
        <w:gridCol w:w="2700"/>
        <w:gridCol w:w="2700"/>
        <w:gridCol w:w="2700"/>
      </w:tblGrid>
      <w:tr w:rsidR="003403B4" w:rsidRPr="00781112" w14:paraId="376E606C" w14:textId="77777777" w:rsidTr="00E95FBF">
        <w:tc>
          <w:tcPr>
            <w:tcW w:w="2695" w:type="dxa"/>
          </w:tcPr>
          <w:p w14:paraId="7C28D031" w14:textId="77777777" w:rsidR="003403B4" w:rsidRPr="00781112" w:rsidRDefault="00835EAD" w:rsidP="003403B4">
            <w:pPr>
              <w:jc w:val="center"/>
              <w:rPr>
                <w:b/>
                <w:color w:val="000000" w:themeColor="text1"/>
              </w:rPr>
            </w:pPr>
            <w:r w:rsidRPr="00781112">
              <w:rPr>
                <w:rFonts w:cs="Arial"/>
                <w:b/>
                <w:bCs/>
                <w:color w:val="000000" w:themeColor="text1"/>
                <w:szCs w:val="16"/>
              </w:rPr>
              <w:t>Group</w:t>
            </w:r>
          </w:p>
        </w:tc>
        <w:tc>
          <w:tcPr>
            <w:tcW w:w="2700" w:type="dxa"/>
            <w:vAlign w:val="center"/>
          </w:tcPr>
          <w:p w14:paraId="44C7E036" w14:textId="77777777" w:rsidR="003403B4" w:rsidRPr="00781112" w:rsidRDefault="003403B4" w:rsidP="00196CE6">
            <w:pPr>
              <w:jc w:val="center"/>
              <w:rPr>
                <w:b/>
                <w:color w:val="000000" w:themeColor="text1"/>
              </w:rPr>
            </w:pPr>
            <w:r w:rsidRPr="00781112">
              <w:rPr>
                <w:rFonts w:cs="Arial"/>
                <w:b/>
                <w:bCs/>
                <w:color w:val="000000" w:themeColor="text1"/>
                <w:szCs w:val="16"/>
              </w:rPr>
              <w:t>Grade 4</w:t>
            </w:r>
          </w:p>
        </w:tc>
        <w:tc>
          <w:tcPr>
            <w:tcW w:w="2700" w:type="dxa"/>
            <w:vAlign w:val="center"/>
          </w:tcPr>
          <w:p w14:paraId="42F14D8F" w14:textId="77777777" w:rsidR="003403B4" w:rsidRPr="00781112" w:rsidRDefault="003403B4" w:rsidP="00315E88">
            <w:pPr>
              <w:jc w:val="center"/>
              <w:rPr>
                <w:b/>
                <w:color w:val="000000" w:themeColor="text1"/>
              </w:rPr>
            </w:pPr>
            <w:r w:rsidRPr="00781112">
              <w:rPr>
                <w:rFonts w:cs="Arial"/>
                <w:b/>
                <w:bCs/>
                <w:color w:val="000000" w:themeColor="text1"/>
                <w:szCs w:val="16"/>
              </w:rPr>
              <w:t>Grade 8</w:t>
            </w:r>
          </w:p>
        </w:tc>
        <w:tc>
          <w:tcPr>
            <w:tcW w:w="2700" w:type="dxa"/>
            <w:vAlign w:val="center"/>
          </w:tcPr>
          <w:p w14:paraId="3E394DE7" w14:textId="77777777" w:rsidR="003403B4" w:rsidRPr="00781112" w:rsidRDefault="003403B4" w:rsidP="00E14CF0">
            <w:pPr>
              <w:jc w:val="center"/>
              <w:rPr>
                <w:b/>
                <w:color w:val="000000" w:themeColor="text1"/>
              </w:rPr>
            </w:pPr>
            <w:r w:rsidRPr="00781112">
              <w:rPr>
                <w:rFonts w:cs="Arial"/>
                <w:b/>
                <w:bCs/>
                <w:color w:val="000000" w:themeColor="text1"/>
                <w:szCs w:val="16"/>
              </w:rPr>
              <w:t>Grade HS</w:t>
            </w:r>
          </w:p>
        </w:tc>
      </w:tr>
      <w:tr w:rsidR="005A486A" w:rsidRPr="00781112" w14:paraId="082FD715" w14:textId="77777777" w:rsidTr="00E95FBF">
        <w:tc>
          <w:tcPr>
            <w:tcW w:w="2695" w:type="dxa"/>
          </w:tcPr>
          <w:p w14:paraId="2075F058" w14:textId="77777777" w:rsidR="005A486A" w:rsidRPr="00781112" w:rsidRDefault="005A486A" w:rsidP="005A486A">
            <w:pPr>
              <w:rPr>
                <w:b/>
                <w:color w:val="000000" w:themeColor="text1"/>
              </w:rPr>
            </w:pPr>
            <w:r w:rsidRPr="00781112">
              <w:rPr>
                <w:rFonts w:cs="Arial"/>
                <w:szCs w:val="16"/>
                <w:shd w:val="clear" w:color="auto" w:fill="FFFFFF"/>
              </w:rPr>
              <w:t xml:space="preserve">a. Children with IEPs who received a valid score and a proficiency level was assigned </w:t>
            </w:r>
            <w:r w:rsidRPr="0075451F">
              <w:rPr>
                <w:rFonts w:cs="Arial"/>
                <w:szCs w:val="16"/>
              </w:rPr>
              <w:t>for the alternate assessment</w:t>
            </w:r>
          </w:p>
        </w:tc>
        <w:tc>
          <w:tcPr>
            <w:tcW w:w="2700" w:type="dxa"/>
            <w:vAlign w:val="center"/>
          </w:tcPr>
          <w:p w14:paraId="67922307" w14:textId="77777777" w:rsidR="005A486A" w:rsidRPr="00781112" w:rsidRDefault="005A486A" w:rsidP="00360DD6">
            <w:pPr>
              <w:jc w:val="center"/>
              <w:rPr>
                <w:b/>
                <w:color w:val="000000" w:themeColor="text1"/>
              </w:rPr>
            </w:pPr>
            <w:r w:rsidRPr="00781112">
              <w:rPr>
                <w:color w:val="000000" w:themeColor="text1"/>
              </w:rPr>
              <w:t>181</w:t>
            </w:r>
          </w:p>
        </w:tc>
        <w:tc>
          <w:tcPr>
            <w:tcW w:w="2700" w:type="dxa"/>
            <w:vAlign w:val="center"/>
          </w:tcPr>
          <w:p w14:paraId="6C56B32F" w14:textId="77777777" w:rsidR="005A486A" w:rsidRPr="00781112" w:rsidRDefault="005A486A" w:rsidP="00360DD6">
            <w:pPr>
              <w:jc w:val="center"/>
              <w:rPr>
                <w:b/>
                <w:color w:val="000000" w:themeColor="text1"/>
              </w:rPr>
            </w:pPr>
            <w:r w:rsidRPr="00781112">
              <w:rPr>
                <w:color w:val="000000" w:themeColor="text1"/>
              </w:rPr>
              <w:t>227</w:t>
            </w:r>
          </w:p>
        </w:tc>
        <w:tc>
          <w:tcPr>
            <w:tcW w:w="2700" w:type="dxa"/>
            <w:vAlign w:val="center"/>
          </w:tcPr>
          <w:p w14:paraId="552504A3" w14:textId="77777777" w:rsidR="005A486A" w:rsidRPr="00781112" w:rsidRDefault="005A486A" w:rsidP="00360DD6">
            <w:pPr>
              <w:jc w:val="center"/>
              <w:rPr>
                <w:b/>
                <w:color w:val="000000" w:themeColor="text1"/>
              </w:rPr>
            </w:pPr>
            <w:r w:rsidRPr="00781112">
              <w:rPr>
                <w:color w:val="000000" w:themeColor="text1"/>
              </w:rPr>
              <w:t>215</w:t>
            </w:r>
          </w:p>
        </w:tc>
      </w:tr>
      <w:tr w:rsidR="005A486A" w:rsidRPr="00781112" w14:paraId="75D9E7CA" w14:textId="77777777" w:rsidTr="00E95FBF">
        <w:tc>
          <w:tcPr>
            <w:tcW w:w="2695" w:type="dxa"/>
          </w:tcPr>
          <w:p w14:paraId="2E5AE964" w14:textId="77777777" w:rsidR="005A486A" w:rsidRPr="00781112" w:rsidRDefault="003403B4" w:rsidP="005A486A">
            <w:pPr>
              <w:rPr>
                <w:b/>
                <w:color w:val="000000" w:themeColor="text1"/>
              </w:rPr>
            </w:pPr>
            <w:r w:rsidRPr="00781112">
              <w:rPr>
                <w:rFonts w:cs="Arial"/>
                <w:szCs w:val="16"/>
                <w:shd w:val="clear" w:color="auto" w:fill="FFFFFF"/>
              </w:rPr>
              <w:t>b. Children with IEPs in alternate assessment against alternate standards scored at or above proficient</w:t>
            </w:r>
          </w:p>
        </w:tc>
        <w:tc>
          <w:tcPr>
            <w:tcW w:w="2700" w:type="dxa"/>
            <w:vAlign w:val="center"/>
          </w:tcPr>
          <w:p w14:paraId="70B873F9" w14:textId="77777777" w:rsidR="005A486A" w:rsidRPr="00781112" w:rsidRDefault="005A486A" w:rsidP="00360DD6">
            <w:pPr>
              <w:jc w:val="center"/>
              <w:rPr>
                <w:b/>
                <w:color w:val="000000" w:themeColor="text1"/>
              </w:rPr>
            </w:pPr>
            <w:r w:rsidRPr="00781112">
              <w:rPr>
                <w:color w:val="000000" w:themeColor="text1"/>
              </w:rPr>
              <w:t>27</w:t>
            </w:r>
          </w:p>
        </w:tc>
        <w:tc>
          <w:tcPr>
            <w:tcW w:w="2700" w:type="dxa"/>
            <w:vAlign w:val="center"/>
          </w:tcPr>
          <w:p w14:paraId="6F45FEB5" w14:textId="77777777" w:rsidR="005A486A" w:rsidRPr="00781112" w:rsidRDefault="005A486A" w:rsidP="00360DD6">
            <w:pPr>
              <w:jc w:val="center"/>
              <w:rPr>
                <w:b/>
                <w:color w:val="000000" w:themeColor="text1"/>
              </w:rPr>
            </w:pPr>
            <w:r w:rsidRPr="00781112">
              <w:rPr>
                <w:color w:val="000000" w:themeColor="text1"/>
              </w:rPr>
              <w:t>63</w:t>
            </w:r>
          </w:p>
        </w:tc>
        <w:tc>
          <w:tcPr>
            <w:tcW w:w="2700" w:type="dxa"/>
            <w:vAlign w:val="center"/>
          </w:tcPr>
          <w:p w14:paraId="6B494B48" w14:textId="77777777" w:rsidR="005A486A" w:rsidRPr="00781112" w:rsidRDefault="005A486A" w:rsidP="00360DD6">
            <w:pPr>
              <w:jc w:val="center"/>
              <w:rPr>
                <w:b/>
                <w:color w:val="000000" w:themeColor="text1"/>
              </w:rPr>
            </w:pPr>
            <w:r w:rsidRPr="00781112">
              <w:rPr>
                <w:color w:val="000000" w:themeColor="text1"/>
              </w:rPr>
              <w:t>56</w:t>
            </w:r>
          </w:p>
        </w:tc>
      </w:tr>
    </w:tbl>
    <w:p w14:paraId="439E1A1B" w14:textId="77777777" w:rsidR="00461A3D" w:rsidRDefault="00461A3D" w:rsidP="00286BDF">
      <w:pPr>
        <w:rPr>
          <w:rFonts w:cs="Arial"/>
          <w:b/>
          <w:color w:val="000000" w:themeColor="text1"/>
          <w:szCs w:val="16"/>
        </w:rPr>
      </w:pPr>
    </w:p>
    <w:p w14:paraId="235C630A" w14:textId="77777777" w:rsidR="00F41DFF" w:rsidRPr="00781112" w:rsidRDefault="00BD7229" w:rsidP="00286BDF">
      <w:pPr>
        <w:rPr>
          <w:rFonts w:cs="Arial"/>
          <w:b/>
          <w:color w:val="000000" w:themeColor="text1"/>
          <w:szCs w:val="16"/>
        </w:rPr>
      </w:pPr>
      <w:r w:rsidRPr="00781112">
        <w:rPr>
          <w:rFonts w:cs="Arial"/>
          <w:b/>
          <w:color w:val="000000" w:themeColor="text1"/>
          <w:szCs w:val="16"/>
        </w:rPr>
        <w:t xml:space="preserve">Data Source:  </w:t>
      </w:r>
    </w:p>
    <w:p w14:paraId="2A503952" w14:textId="77777777" w:rsidR="00BD7229" w:rsidRPr="00781112" w:rsidRDefault="002B7490" w:rsidP="00286BDF">
      <w:pPr>
        <w:rPr>
          <w:rFonts w:cs="Arial"/>
          <w:color w:val="000000" w:themeColor="text1"/>
          <w:szCs w:val="16"/>
        </w:rPr>
      </w:pPr>
      <w:r w:rsidRPr="00781112">
        <w:rPr>
          <w:rFonts w:cs="Arial"/>
          <w:color w:val="000000" w:themeColor="text1"/>
          <w:szCs w:val="16"/>
        </w:rPr>
        <w:t>SY 2024-25 Academic Achievement in Mathematics (</w:t>
      </w:r>
      <w:proofErr w:type="spellStart"/>
      <w:r w:rsidRPr="00781112">
        <w:rPr>
          <w:rFonts w:cs="Arial"/>
          <w:color w:val="000000" w:themeColor="text1"/>
          <w:szCs w:val="16"/>
        </w:rPr>
        <w:t>EDFacts</w:t>
      </w:r>
      <w:proofErr w:type="spellEnd"/>
      <w:r w:rsidRPr="00781112">
        <w:rPr>
          <w:rFonts w:cs="Arial"/>
          <w:color w:val="000000" w:themeColor="text1"/>
          <w:szCs w:val="16"/>
        </w:rPr>
        <w:t xml:space="preserve"> file spec FS175; Data Group: 874, 875)</w:t>
      </w:r>
    </w:p>
    <w:p w14:paraId="62B3CB97" w14:textId="77777777" w:rsidR="00F41DFF" w:rsidRPr="00781112" w:rsidRDefault="00BD7229" w:rsidP="00286BDF">
      <w:pPr>
        <w:rPr>
          <w:rFonts w:cs="Arial"/>
          <w:b/>
          <w:color w:val="000000" w:themeColor="text1"/>
          <w:szCs w:val="16"/>
        </w:rPr>
      </w:pPr>
      <w:r w:rsidRPr="00781112">
        <w:rPr>
          <w:rFonts w:cs="Arial"/>
          <w:b/>
          <w:color w:val="000000" w:themeColor="text1"/>
          <w:szCs w:val="16"/>
        </w:rPr>
        <w:t xml:space="preserve">Date: </w:t>
      </w:r>
    </w:p>
    <w:p w14:paraId="269640AA" w14:textId="77777777" w:rsidR="00BD7229" w:rsidRPr="00781112" w:rsidRDefault="002B7490" w:rsidP="00286BDF">
      <w:pPr>
        <w:rPr>
          <w:rFonts w:cs="Arial"/>
          <w:color w:val="000000" w:themeColor="text1"/>
          <w:szCs w:val="16"/>
        </w:rPr>
      </w:pPr>
      <w:r w:rsidRPr="00781112">
        <w:rPr>
          <w:rFonts w:cs="Arial"/>
          <w:color w:val="000000" w:themeColor="text1"/>
          <w:szCs w:val="16"/>
        </w:rPr>
        <w:t>01/07/2026</w:t>
      </w:r>
    </w:p>
    <w:p w14:paraId="6D3B874E" w14:textId="77777777" w:rsidR="00162F4A" w:rsidRPr="00781112" w:rsidRDefault="00162F4A">
      <w:pPr>
        <w:rPr>
          <w:b/>
          <w:color w:val="000000" w:themeColor="text1"/>
        </w:rPr>
      </w:pPr>
      <w:r w:rsidRPr="00781112">
        <w:rPr>
          <w:b/>
          <w:color w:val="000000" w:themeColor="text1"/>
        </w:rPr>
        <w:t>Math Assessment Proficiency Data by Grade</w:t>
      </w:r>
    </w:p>
    <w:tbl>
      <w:tblPr>
        <w:tblStyle w:val="TableGrid"/>
        <w:tblW w:w="10795" w:type="dxa"/>
        <w:tblLayout w:type="fixed"/>
        <w:tblLook w:val="04A0" w:firstRow="1" w:lastRow="0" w:firstColumn="1" w:lastColumn="0" w:noHBand="0" w:noVBand="1"/>
        <w:tblCaption w:val="B03CASSPARTDATABYGRDMATH"/>
      </w:tblPr>
      <w:tblGrid>
        <w:gridCol w:w="2695"/>
        <w:gridCol w:w="2700"/>
        <w:gridCol w:w="2700"/>
        <w:gridCol w:w="2700"/>
      </w:tblGrid>
      <w:tr w:rsidR="0084736E" w:rsidRPr="00781112" w14:paraId="0DFBB967" w14:textId="77777777" w:rsidTr="00E95FBF">
        <w:tc>
          <w:tcPr>
            <w:tcW w:w="2695" w:type="dxa"/>
          </w:tcPr>
          <w:p w14:paraId="1FC2BB77" w14:textId="77777777" w:rsidR="0084736E" w:rsidRPr="00781112" w:rsidRDefault="00835EAD" w:rsidP="0084736E">
            <w:pPr>
              <w:jc w:val="center"/>
              <w:rPr>
                <w:b/>
                <w:color w:val="000000" w:themeColor="text1"/>
              </w:rPr>
            </w:pPr>
            <w:r w:rsidRPr="00781112">
              <w:rPr>
                <w:rFonts w:cs="Arial"/>
                <w:b/>
                <w:bCs/>
                <w:color w:val="000000" w:themeColor="text1"/>
                <w:szCs w:val="16"/>
              </w:rPr>
              <w:t>Group</w:t>
            </w:r>
          </w:p>
        </w:tc>
        <w:tc>
          <w:tcPr>
            <w:tcW w:w="2700" w:type="dxa"/>
            <w:vAlign w:val="center"/>
          </w:tcPr>
          <w:p w14:paraId="0C9E8F16" w14:textId="77777777" w:rsidR="0084736E" w:rsidRPr="00781112" w:rsidRDefault="0084736E" w:rsidP="0084736E">
            <w:pPr>
              <w:jc w:val="center"/>
              <w:rPr>
                <w:b/>
                <w:color w:val="000000" w:themeColor="text1"/>
              </w:rPr>
            </w:pPr>
            <w:r w:rsidRPr="00781112">
              <w:rPr>
                <w:rFonts w:cs="Arial"/>
                <w:b/>
                <w:bCs/>
                <w:color w:val="000000" w:themeColor="text1"/>
                <w:szCs w:val="16"/>
              </w:rPr>
              <w:t>Grade 4</w:t>
            </w:r>
          </w:p>
        </w:tc>
        <w:tc>
          <w:tcPr>
            <w:tcW w:w="2700" w:type="dxa"/>
            <w:vAlign w:val="center"/>
          </w:tcPr>
          <w:p w14:paraId="39E40414" w14:textId="77777777" w:rsidR="0084736E" w:rsidRPr="00781112" w:rsidRDefault="0084736E" w:rsidP="0084736E">
            <w:pPr>
              <w:jc w:val="center"/>
              <w:rPr>
                <w:b/>
                <w:color w:val="000000" w:themeColor="text1"/>
              </w:rPr>
            </w:pPr>
            <w:r w:rsidRPr="00781112">
              <w:rPr>
                <w:rFonts w:cs="Arial"/>
                <w:b/>
                <w:bCs/>
                <w:color w:val="000000" w:themeColor="text1"/>
                <w:szCs w:val="16"/>
              </w:rPr>
              <w:t>Grade 8</w:t>
            </w:r>
          </w:p>
        </w:tc>
        <w:tc>
          <w:tcPr>
            <w:tcW w:w="2700" w:type="dxa"/>
            <w:vAlign w:val="center"/>
          </w:tcPr>
          <w:p w14:paraId="7B7D38DF" w14:textId="77777777" w:rsidR="0084736E" w:rsidRPr="00781112" w:rsidRDefault="0084736E" w:rsidP="0084736E">
            <w:pPr>
              <w:jc w:val="center"/>
              <w:rPr>
                <w:b/>
                <w:color w:val="000000" w:themeColor="text1"/>
              </w:rPr>
            </w:pPr>
            <w:r w:rsidRPr="00781112">
              <w:rPr>
                <w:rFonts w:cs="Arial"/>
                <w:b/>
                <w:bCs/>
                <w:color w:val="000000" w:themeColor="text1"/>
                <w:szCs w:val="16"/>
              </w:rPr>
              <w:t>Grade HS</w:t>
            </w:r>
          </w:p>
        </w:tc>
      </w:tr>
      <w:tr w:rsidR="00660173" w:rsidRPr="00781112" w14:paraId="4CDCB60D" w14:textId="77777777" w:rsidTr="00E95FBF">
        <w:tc>
          <w:tcPr>
            <w:tcW w:w="2695" w:type="dxa"/>
          </w:tcPr>
          <w:p w14:paraId="0D045799" w14:textId="77777777" w:rsidR="00660173" w:rsidRPr="00781112" w:rsidRDefault="00660173" w:rsidP="00660173">
            <w:pPr>
              <w:rPr>
                <w:b/>
                <w:color w:val="000000" w:themeColor="text1"/>
              </w:rPr>
            </w:pPr>
            <w:r w:rsidRPr="00781112">
              <w:rPr>
                <w:rFonts w:cs="Arial"/>
                <w:szCs w:val="16"/>
                <w:shd w:val="clear" w:color="auto" w:fill="FFFFFF"/>
              </w:rPr>
              <w:t xml:space="preserve">a. Children with IEPs who received a valid score and a proficiency level was assigned </w:t>
            </w:r>
            <w:r w:rsidRPr="0075451F">
              <w:rPr>
                <w:rFonts w:cs="Arial"/>
                <w:szCs w:val="16"/>
              </w:rPr>
              <w:t>for the alternate assessment</w:t>
            </w:r>
          </w:p>
        </w:tc>
        <w:tc>
          <w:tcPr>
            <w:tcW w:w="2700" w:type="dxa"/>
            <w:vAlign w:val="center"/>
          </w:tcPr>
          <w:p w14:paraId="7AA13E61" w14:textId="77777777" w:rsidR="00660173" w:rsidRPr="00781112" w:rsidRDefault="00660173" w:rsidP="00360DD6">
            <w:pPr>
              <w:jc w:val="center"/>
              <w:rPr>
                <w:b/>
                <w:color w:val="000000" w:themeColor="text1"/>
              </w:rPr>
            </w:pPr>
            <w:r w:rsidRPr="00781112">
              <w:rPr>
                <w:color w:val="000000" w:themeColor="text1"/>
              </w:rPr>
              <w:t>180</w:t>
            </w:r>
          </w:p>
        </w:tc>
        <w:tc>
          <w:tcPr>
            <w:tcW w:w="2700" w:type="dxa"/>
            <w:vAlign w:val="center"/>
          </w:tcPr>
          <w:p w14:paraId="16E2F91D" w14:textId="77777777" w:rsidR="00660173" w:rsidRPr="00781112" w:rsidRDefault="00660173" w:rsidP="00360DD6">
            <w:pPr>
              <w:jc w:val="center"/>
              <w:rPr>
                <w:b/>
                <w:color w:val="000000" w:themeColor="text1"/>
              </w:rPr>
            </w:pPr>
            <w:r w:rsidRPr="00781112">
              <w:rPr>
                <w:color w:val="000000" w:themeColor="text1"/>
              </w:rPr>
              <w:t>227</w:t>
            </w:r>
          </w:p>
        </w:tc>
        <w:tc>
          <w:tcPr>
            <w:tcW w:w="2700" w:type="dxa"/>
            <w:vAlign w:val="center"/>
          </w:tcPr>
          <w:p w14:paraId="1C7B9A57" w14:textId="77777777" w:rsidR="00660173" w:rsidRPr="00781112" w:rsidRDefault="00660173" w:rsidP="00360DD6">
            <w:pPr>
              <w:jc w:val="center"/>
              <w:rPr>
                <w:b/>
                <w:color w:val="000000" w:themeColor="text1"/>
              </w:rPr>
            </w:pPr>
            <w:r w:rsidRPr="00781112">
              <w:rPr>
                <w:color w:val="000000" w:themeColor="text1"/>
              </w:rPr>
              <w:t>215</w:t>
            </w:r>
          </w:p>
        </w:tc>
      </w:tr>
      <w:tr w:rsidR="00660173" w:rsidRPr="00781112" w14:paraId="38A9C5BF" w14:textId="77777777" w:rsidTr="00E95FBF">
        <w:tc>
          <w:tcPr>
            <w:tcW w:w="2695" w:type="dxa"/>
          </w:tcPr>
          <w:p w14:paraId="4A40DE46" w14:textId="77777777" w:rsidR="00660173" w:rsidRPr="00781112" w:rsidRDefault="00660173" w:rsidP="00660173">
            <w:pPr>
              <w:rPr>
                <w:b/>
                <w:color w:val="000000" w:themeColor="text1"/>
              </w:rPr>
            </w:pPr>
            <w:r w:rsidRPr="00781112">
              <w:rPr>
                <w:rFonts w:cs="Arial"/>
                <w:szCs w:val="16"/>
                <w:shd w:val="clear" w:color="auto" w:fill="FFFFFF"/>
              </w:rPr>
              <w:t>b. Children with IEPs in alternate assessment against alternate standards scored at or above proficient</w:t>
            </w:r>
          </w:p>
        </w:tc>
        <w:tc>
          <w:tcPr>
            <w:tcW w:w="2700" w:type="dxa"/>
            <w:vAlign w:val="center"/>
          </w:tcPr>
          <w:p w14:paraId="359BFD32" w14:textId="77777777" w:rsidR="00660173" w:rsidRPr="00781112" w:rsidRDefault="00660173" w:rsidP="00360DD6">
            <w:pPr>
              <w:jc w:val="center"/>
              <w:rPr>
                <w:b/>
                <w:color w:val="000000" w:themeColor="text1"/>
              </w:rPr>
            </w:pPr>
            <w:r w:rsidRPr="00781112">
              <w:rPr>
                <w:color w:val="000000" w:themeColor="text1"/>
              </w:rPr>
              <w:t>66</w:t>
            </w:r>
          </w:p>
        </w:tc>
        <w:tc>
          <w:tcPr>
            <w:tcW w:w="2700" w:type="dxa"/>
            <w:vAlign w:val="center"/>
          </w:tcPr>
          <w:p w14:paraId="3C4D31DE" w14:textId="77777777" w:rsidR="00660173" w:rsidRPr="00781112" w:rsidRDefault="00660173" w:rsidP="00360DD6">
            <w:pPr>
              <w:jc w:val="center"/>
              <w:rPr>
                <w:b/>
                <w:color w:val="000000" w:themeColor="text1"/>
              </w:rPr>
            </w:pPr>
            <w:r w:rsidRPr="00781112">
              <w:rPr>
                <w:color w:val="000000" w:themeColor="text1"/>
              </w:rPr>
              <w:t>18</w:t>
            </w:r>
          </w:p>
        </w:tc>
        <w:tc>
          <w:tcPr>
            <w:tcW w:w="2700" w:type="dxa"/>
            <w:vAlign w:val="center"/>
          </w:tcPr>
          <w:p w14:paraId="787EEF28" w14:textId="77777777" w:rsidR="00660173" w:rsidRPr="00781112" w:rsidRDefault="00660173" w:rsidP="00360DD6">
            <w:pPr>
              <w:jc w:val="center"/>
              <w:rPr>
                <w:b/>
                <w:color w:val="000000" w:themeColor="text1"/>
              </w:rPr>
            </w:pPr>
            <w:r w:rsidRPr="00781112">
              <w:rPr>
                <w:color w:val="000000" w:themeColor="text1"/>
              </w:rPr>
              <w:t>51</w:t>
            </w:r>
          </w:p>
        </w:tc>
      </w:tr>
    </w:tbl>
    <w:p w14:paraId="6413FFBC" w14:textId="77777777" w:rsidR="00241BD0" w:rsidRPr="00781112" w:rsidRDefault="00241BD0" w:rsidP="004369B2">
      <w:pPr>
        <w:rPr>
          <w:color w:val="000000" w:themeColor="text1"/>
        </w:rPr>
      </w:pPr>
    </w:p>
    <w:p w14:paraId="6E46B6D8" w14:textId="77777777" w:rsidR="00BD7229" w:rsidRPr="00781112" w:rsidRDefault="0047313F" w:rsidP="004369B2">
      <w:pPr>
        <w:rPr>
          <w:b/>
          <w:color w:val="000000" w:themeColor="text1"/>
        </w:rPr>
      </w:pPr>
      <w:r>
        <w:rPr>
          <w:b/>
          <w:color w:val="000000" w:themeColor="text1"/>
        </w:rPr>
        <w:t>FFY 2024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3CFFYAPRDATARLA"/>
      </w:tblPr>
      <w:tblGrid>
        <w:gridCol w:w="696"/>
        <w:gridCol w:w="1178"/>
        <w:gridCol w:w="1245"/>
        <w:gridCol w:w="1373"/>
        <w:gridCol w:w="1140"/>
        <w:gridCol w:w="1600"/>
        <w:gridCol w:w="1050"/>
        <w:gridCol w:w="1270"/>
        <w:gridCol w:w="1238"/>
      </w:tblGrid>
      <w:tr w:rsidR="00FA33C9" w:rsidRPr="00781112" w14:paraId="3D50B951" w14:textId="77777777" w:rsidTr="00140972">
        <w:trPr>
          <w:tblHeader/>
        </w:trPr>
        <w:tc>
          <w:tcPr>
            <w:tcW w:w="221" w:type="pct"/>
            <w:vAlign w:val="bottom"/>
          </w:tcPr>
          <w:p w14:paraId="29E17DB9" w14:textId="77777777" w:rsidR="00FA33C9" w:rsidRPr="00781112" w:rsidRDefault="00FA33C9" w:rsidP="00FA33C9">
            <w:pPr>
              <w:jc w:val="center"/>
              <w:rPr>
                <w:b/>
                <w:color w:val="000000" w:themeColor="text1"/>
              </w:rPr>
            </w:pPr>
            <w:r w:rsidRPr="00781112">
              <w:rPr>
                <w:b/>
                <w:color w:val="000000" w:themeColor="text1"/>
              </w:rPr>
              <w:t>Group</w:t>
            </w:r>
          </w:p>
        </w:tc>
        <w:tc>
          <w:tcPr>
            <w:tcW w:w="559" w:type="pct"/>
            <w:vAlign w:val="bottom"/>
          </w:tcPr>
          <w:p w14:paraId="4AA0E26C" w14:textId="77777777" w:rsidR="00FA33C9" w:rsidRPr="00781112" w:rsidRDefault="00FA33C9" w:rsidP="00FA33C9">
            <w:pPr>
              <w:jc w:val="center"/>
              <w:rPr>
                <w:b/>
                <w:color w:val="000000" w:themeColor="text1"/>
              </w:rPr>
            </w:pPr>
            <w:r w:rsidRPr="00781112">
              <w:rPr>
                <w:b/>
                <w:color w:val="000000" w:themeColor="text1"/>
              </w:rPr>
              <w:t>Group Name</w:t>
            </w:r>
          </w:p>
        </w:tc>
        <w:tc>
          <w:tcPr>
            <w:tcW w:w="590" w:type="pct"/>
            <w:vAlign w:val="bottom"/>
          </w:tcPr>
          <w:p w14:paraId="191B1643" w14:textId="77777777" w:rsidR="00FA33C9" w:rsidRPr="00781112" w:rsidRDefault="00FA33C9" w:rsidP="00FA33C9">
            <w:pPr>
              <w:jc w:val="center"/>
              <w:rPr>
                <w:b/>
                <w:color w:val="000000" w:themeColor="text1"/>
              </w:rPr>
            </w:pPr>
            <w:r w:rsidRPr="00781112">
              <w:rPr>
                <w:b/>
                <w:color w:val="000000" w:themeColor="text1"/>
              </w:rPr>
              <w:t>Number of Children with IEPs Scoring At or Above Proficient Against Alternate Academic Achievement Standards</w:t>
            </w:r>
          </w:p>
        </w:tc>
        <w:tc>
          <w:tcPr>
            <w:tcW w:w="649" w:type="pct"/>
            <w:vAlign w:val="bottom"/>
          </w:tcPr>
          <w:p w14:paraId="3F31D7B0" w14:textId="77777777" w:rsidR="00FA33C9" w:rsidRPr="00781112" w:rsidRDefault="00FA33C9" w:rsidP="00FA33C9">
            <w:pPr>
              <w:jc w:val="center"/>
              <w:rPr>
                <w:b/>
                <w:color w:val="000000" w:themeColor="text1"/>
              </w:rPr>
            </w:pPr>
            <w:r w:rsidRPr="00781112">
              <w:rPr>
                <w:b/>
                <w:color w:val="000000" w:themeColor="text1"/>
              </w:rPr>
              <w:t>Number of Children with IEPs who Received a Valid Score and for whom a Proficiency Level was Assigned for the Alternate Assessment</w:t>
            </w:r>
          </w:p>
        </w:tc>
        <w:tc>
          <w:tcPr>
            <w:tcW w:w="541" w:type="pct"/>
            <w:vAlign w:val="bottom"/>
          </w:tcPr>
          <w:p w14:paraId="762C627C" w14:textId="77777777" w:rsidR="00FA33C9" w:rsidRPr="00073BD7" w:rsidRDefault="00FA33C9" w:rsidP="00FA33C9">
            <w:pPr>
              <w:jc w:val="center"/>
              <w:rPr>
                <w:b/>
                <w:bCs/>
                <w:color w:val="000000" w:themeColor="text1"/>
              </w:rPr>
            </w:pPr>
            <w:r w:rsidRPr="00073BD7">
              <w:rPr>
                <w:b/>
                <w:bCs/>
              </w:rPr>
              <w:t>FFY 2023 Data</w:t>
            </w:r>
          </w:p>
        </w:tc>
        <w:tc>
          <w:tcPr>
            <w:tcW w:w="754" w:type="pct"/>
            <w:vAlign w:val="bottom"/>
          </w:tcPr>
          <w:p w14:paraId="1FCB304D" w14:textId="77777777" w:rsidR="00FA33C9" w:rsidRPr="00073BD7" w:rsidRDefault="00FA33C9" w:rsidP="00FA33C9">
            <w:pPr>
              <w:jc w:val="center"/>
              <w:rPr>
                <w:b/>
                <w:bCs/>
                <w:color w:val="000000" w:themeColor="text1"/>
              </w:rPr>
            </w:pPr>
            <w:r w:rsidRPr="00073BD7">
              <w:rPr>
                <w:b/>
                <w:bCs/>
              </w:rPr>
              <w:t>FFY 2024 Target</w:t>
            </w:r>
          </w:p>
        </w:tc>
        <w:tc>
          <w:tcPr>
            <w:tcW w:w="499" w:type="pct"/>
            <w:vAlign w:val="bottom"/>
          </w:tcPr>
          <w:p w14:paraId="5108BA2F" w14:textId="77777777" w:rsidR="00FA33C9" w:rsidRPr="00073BD7" w:rsidRDefault="00FA33C9" w:rsidP="00FA33C9">
            <w:pPr>
              <w:jc w:val="center"/>
              <w:rPr>
                <w:b/>
                <w:bCs/>
                <w:color w:val="000000" w:themeColor="text1"/>
              </w:rPr>
            </w:pPr>
            <w:r w:rsidRPr="00073BD7">
              <w:rPr>
                <w:b/>
                <w:bCs/>
              </w:rPr>
              <w:t>FFY 2024 Data</w:t>
            </w:r>
          </w:p>
        </w:tc>
        <w:tc>
          <w:tcPr>
            <w:tcW w:w="601" w:type="pct"/>
            <w:vAlign w:val="bottom"/>
          </w:tcPr>
          <w:p w14:paraId="56DB9076" w14:textId="77777777" w:rsidR="00FA33C9" w:rsidRPr="00781112" w:rsidRDefault="00FA33C9" w:rsidP="00FA33C9">
            <w:pPr>
              <w:jc w:val="center"/>
              <w:rPr>
                <w:b/>
                <w:color w:val="000000" w:themeColor="text1"/>
              </w:rPr>
            </w:pPr>
            <w:r w:rsidRPr="00781112">
              <w:rPr>
                <w:b/>
                <w:color w:val="000000" w:themeColor="text1"/>
              </w:rPr>
              <w:t>Status</w:t>
            </w:r>
          </w:p>
        </w:tc>
        <w:tc>
          <w:tcPr>
            <w:tcW w:w="586" w:type="pct"/>
            <w:vAlign w:val="bottom"/>
          </w:tcPr>
          <w:p w14:paraId="4041F494" w14:textId="77777777" w:rsidR="00FA33C9" w:rsidRPr="00781112" w:rsidRDefault="00FA33C9" w:rsidP="00FA33C9">
            <w:pPr>
              <w:jc w:val="center"/>
              <w:rPr>
                <w:b/>
                <w:color w:val="000000" w:themeColor="text1"/>
              </w:rPr>
            </w:pPr>
            <w:r w:rsidRPr="00781112">
              <w:rPr>
                <w:b/>
                <w:color w:val="000000" w:themeColor="text1"/>
              </w:rPr>
              <w:t>Slippage</w:t>
            </w:r>
          </w:p>
        </w:tc>
      </w:tr>
      <w:tr w:rsidR="00566725" w:rsidRPr="00781112" w14:paraId="476F2ED7" w14:textId="77777777" w:rsidTr="00140972">
        <w:tc>
          <w:tcPr>
            <w:tcW w:w="221" w:type="pct"/>
            <w:vAlign w:val="center"/>
          </w:tcPr>
          <w:p w14:paraId="5CE23350"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t>A</w:t>
            </w:r>
          </w:p>
        </w:tc>
        <w:tc>
          <w:tcPr>
            <w:tcW w:w="559" w:type="pct"/>
          </w:tcPr>
          <w:p w14:paraId="6CD76A90" w14:textId="77777777"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4</w:t>
            </w:r>
          </w:p>
        </w:tc>
        <w:tc>
          <w:tcPr>
            <w:tcW w:w="590" w:type="pct"/>
          </w:tcPr>
          <w:p w14:paraId="1F2002BC" w14:textId="77777777" w:rsidR="00566725" w:rsidRPr="00781112" w:rsidRDefault="00566725" w:rsidP="00566725">
            <w:pPr>
              <w:jc w:val="center"/>
              <w:rPr>
                <w:rFonts w:cs="Arial"/>
                <w:color w:val="000000" w:themeColor="text1"/>
                <w:szCs w:val="16"/>
              </w:rPr>
            </w:pPr>
            <w:r w:rsidRPr="00781112">
              <w:rPr>
                <w:rFonts w:cs="Arial"/>
                <w:color w:val="000000" w:themeColor="text1"/>
                <w:szCs w:val="16"/>
              </w:rPr>
              <w:t>27</w:t>
            </w:r>
          </w:p>
        </w:tc>
        <w:tc>
          <w:tcPr>
            <w:tcW w:w="649" w:type="pct"/>
          </w:tcPr>
          <w:p w14:paraId="2A15B9D8" w14:textId="77777777" w:rsidR="00566725" w:rsidRPr="00781112" w:rsidRDefault="00566725" w:rsidP="00566725">
            <w:pPr>
              <w:jc w:val="center"/>
              <w:rPr>
                <w:rFonts w:cs="Arial"/>
                <w:color w:val="000000" w:themeColor="text1"/>
                <w:szCs w:val="16"/>
              </w:rPr>
            </w:pPr>
            <w:r>
              <w:rPr>
                <w:rFonts w:cs="Arial"/>
                <w:color w:val="000000"/>
                <w:szCs w:val="16"/>
              </w:rPr>
              <w:t>181</w:t>
            </w:r>
          </w:p>
        </w:tc>
        <w:tc>
          <w:tcPr>
            <w:tcW w:w="541" w:type="pct"/>
          </w:tcPr>
          <w:p w14:paraId="1E875B41" w14:textId="77777777" w:rsidR="00566725" w:rsidRPr="00781112" w:rsidRDefault="00566725" w:rsidP="00566725">
            <w:pPr>
              <w:jc w:val="center"/>
              <w:rPr>
                <w:rFonts w:cs="Arial"/>
                <w:color w:val="000000" w:themeColor="text1"/>
                <w:szCs w:val="16"/>
              </w:rPr>
            </w:pPr>
            <w:r w:rsidRPr="00781112">
              <w:rPr>
                <w:rFonts w:cs="Arial"/>
                <w:color w:val="000000" w:themeColor="text1"/>
                <w:szCs w:val="16"/>
              </w:rPr>
              <w:t>19.21%</w:t>
            </w:r>
          </w:p>
        </w:tc>
        <w:tc>
          <w:tcPr>
            <w:tcW w:w="754" w:type="pct"/>
          </w:tcPr>
          <w:p w14:paraId="49C4808A" w14:textId="77777777" w:rsidR="00566725" w:rsidRPr="00781112" w:rsidRDefault="00566725" w:rsidP="00566725">
            <w:pPr>
              <w:jc w:val="center"/>
              <w:rPr>
                <w:rFonts w:cs="Arial"/>
                <w:color w:val="000000" w:themeColor="text1"/>
                <w:szCs w:val="16"/>
              </w:rPr>
            </w:pPr>
            <w:r w:rsidRPr="00781112">
              <w:rPr>
                <w:rFonts w:cs="Arial"/>
                <w:color w:val="000000" w:themeColor="text1"/>
                <w:szCs w:val="16"/>
              </w:rPr>
              <w:t>21.00%</w:t>
            </w:r>
          </w:p>
        </w:tc>
        <w:tc>
          <w:tcPr>
            <w:tcW w:w="499" w:type="pct"/>
          </w:tcPr>
          <w:p w14:paraId="12840341" w14:textId="77777777" w:rsidR="00566725" w:rsidRPr="00781112" w:rsidRDefault="00566725" w:rsidP="00566725">
            <w:pPr>
              <w:jc w:val="center"/>
              <w:rPr>
                <w:rFonts w:cs="Arial"/>
                <w:color w:val="000000" w:themeColor="text1"/>
                <w:szCs w:val="16"/>
              </w:rPr>
            </w:pPr>
            <w:r w:rsidRPr="00781112">
              <w:rPr>
                <w:rFonts w:cs="Arial"/>
                <w:color w:val="000000" w:themeColor="text1"/>
                <w:szCs w:val="16"/>
              </w:rPr>
              <w:t>14.92%</w:t>
            </w:r>
          </w:p>
        </w:tc>
        <w:tc>
          <w:tcPr>
            <w:tcW w:w="601" w:type="pct"/>
          </w:tcPr>
          <w:p w14:paraId="6D7D9546" w14:textId="77777777" w:rsidR="00566725" w:rsidRPr="00781112" w:rsidRDefault="00566725" w:rsidP="00566725">
            <w:pPr>
              <w:jc w:val="center"/>
              <w:rPr>
                <w:rFonts w:cs="Arial"/>
                <w:color w:val="000000" w:themeColor="text1"/>
                <w:szCs w:val="16"/>
              </w:rPr>
            </w:pPr>
            <w:r w:rsidRPr="00781112">
              <w:rPr>
                <w:rFonts w:cs="Arial"/>
                <w:color w:val="000000" w:themeColor="text1"/>
                <w:szCs w:val="16"/>
              </w:rPr>
              <w:t>Did not meet target</w:t>
            </w:r>
          </w:p>
        </w:tc>
        <w:tc>
          <w:tcPr>
            <w:tcW w:w="586" w:type="pct"/>
          </w:tcPr>
          <w:p w14:paraId="05D49545" w14:textId="77777777" w:rsidR="00566725" w:rsidRPr="00781112" w:rsidRDefault="00566725" w:rsidP="00566725">
            <w:pPr>
              <w:jc w:val="center"/>
              <w:rPr>
                <w:rFonts w:cs="Arial"/>
                <w:color w:val="000000" w:themeColor="text1"/>
                <w:szCs w:val="16"/>
              </w:rPr>
            </w:pPr>
            <w:r w:rsidRPr="00781112">
              <w:rPr>
                <w:rFonts w:cs="Arial"/>
                <w:color w:val="000000" w:themeColor="text1"/>
                <w:szCs w:val="16"/>
              </w:rPr>
              <w:t>Slippage</w:t>
            </w:r>
          </w:p>
        </w:tc>
      </w:tr>
      <w:tr w:rsidR="00566725" w:rsidRPr="00781112" w14:paraId="2738B453" w14:textId="77777777" w:rsidTr="00140972">
        <w:tc>
          <w:tcPr>
            <w:tcW w:w="221" w:type="pct"/>
            <w:vAlign w:val="center"/>
          </w:tcPr>
          <w:p w14:paraId="0F64BF7B"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lastRenderedPageBreak/>
              <w:t>B</w:t>
            </w:r>
          </w:p>
        </w:tc>
        <w:tc>
          <w:tcPr>
            <w:tcW w:w="559" w:type="pct"/>
          </w:tcPr>
          <w:p w14:paraId="27128F34" w14:textId="77777777"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8</w:t>
            </w:r>
          </w:p>
        </w:tc>
        <w:tc>
          <w:tcPr>
            <w:tcW w:w="590" w:type="pct"/>
          </w:tcPr>
          <w:p w14:paraId="0E0C763D" w14:textId="77777777" w:rsidR="00566725" w:rsidRPr="00781112" w:rsidRDefault="00566725" w:rsidP="00566725">
            <w:pPr>
              <w:jc w:val="center"/>
              <w:rPr>
                <w:rFonts w:cs="Arial"/>
                <w:color w:val="000000" w:themeColor="text1"/>
                <w:szCs w:val="16"/>
              </w:rPr>
            </w:pPr>
            <w:r w:rsidRPr="00781112">
              <w:rPr>
                <w:rFonts w:cs="Arial"/>
                <w:color w:val="000000" w:themeColor="text1"/>
                <w:szCs w:val="16"/>
              </w:rPr>
              <w:t>63</w:t>
            </w:r>
          </w:p>
        </w:tc>
        <w:tc>
          <w:tcPr>
            <w:tcW w:w="649" w:type="pct"/>
          </w:tcPr>
          <w:p w14:paraId="0F20CC6B" w14:textId="77777777" w:rsidR="00566725" w:rsidRPr="00781112" w:rsidRDefault="00566725" w:rsidP="00566725">
            <w:pPr>
              <w:jc w:val="center"/>
              <w:rPr>
                <w:rFonts w:cs="Arial"/>
                <w:color w:val="000000" w:themeColor="text1"/>
                <w:szCs w:val="16"/>
              </w:rPr>
            </w:pPr>
            <w:r>
              <w:rPr>
                <w:rFonts w:cs="Arial"/>
                <w:color w:val="000000"/>
                <w:szCs w:val="16"/>
              </w:rPr>
              <w:t>227</w:t>
            </w:r>
          </w:p>
        </w:tc>
        <w:tc>
          <w:tcPr>
            <w:tcW w:w="541" w:type="pct"/>
          </w:tcPr>
          <w:p w14:paraId="784ED892" w14:textId="77777777" w:rsidR="00566725" w:rsidRPr="00781112" w:rsidRDefault="00566725" w:rsidP="00566725">
            <w:pPr>
              <w:jc w:val="center"/>
              <w:rPr>
                <w:rFonts w:cs="Arial"/>
                <w:color w:val="000000" w:themeColor="text1"/>
                <w:szCs w:val="16"/>
              </w:rPr>
            </w:pPr>
            <w:r w:rsidRPr="00781112">
              <w:rPr>
                <w:rFonts w:cs="Arial"/>
                <w:color w:val="000000" w:themeColor="text1"/>
                <w:szCs w:val="16"/>
              </w:rPr>
              <w:t>27.84%</w:t>
            </w:r>
          </w:p>
        </w:tc>
        <w:tc>
          <w:tcPr>
            <w:tcW w:w="754" w:type="pct"/>
          </w:tcPr>
          <w:p w14:paraId="03D73F9F" w14:textId="77777777" w:rsidR="00566725" w:rsidRPr="00781112" w:rsidRDefault="00566725" w:rsidP="00566725">
            <w:pPr>
              <w:jc w:val="center"/>
              <w:rPr>
                <w:rFonts w:cs="Arial"/>
                <w:color w:val="000000" w:themeColor="text1"/>
                <w:szCs w:val="16"/>
              </w:rPr>
            </w:pPr>
            <w:r w:rsidRPr="00781112">
              <w:rPr>
                <w:rFonts w:cs="Arial"/>
                <w:color w:val="000000" w:themeColor="text1"/>
                <w:szCs w:val="16"/>
              </w:rPr>
              <w:t>35.00%</w:t>
            </w:r>
          </w:p>
        </w:tc>
        <w:tc>
          <w:tcPr>
            <w:tcW w:w="499" w:type="pct"/>
          </w:tcPr>
          <w:p w14:paraId="73B05D7F" w14:textId="77777777" w:rsidR="00566725" w:rsidRPr="00781112" w:rsidRDefault="00566725" w:rsidP="00566725">
            <w:pPr>
              <w:jc w:val="center"/>
              <w:rPr>
                <w:rFonts w:cs="Arial"/>
                <w:color w:val="000000" w:themeColor="text1"/>
                <w:szCs w:val="16"/>
              </w:rPr>
            </w:pPr>
            <w:r w:rsidRPr="00781112">
              <w:rPr>
                <w:rFonts w:cs="Arial"/>
                <w:color w:val="000000" w:themeColor="text1"/>
                <w:szCs w:val="16"/>
              </w:rPr>
              <w:t>27.75%</w:t>
            </w:r>
          </w:p>
        </w:tc>
        <w:tc>
          <w:tcPr>
            <w:tcW w:w="601" w:type="pct"/>
          </w:tcPr>
          <w:p w14:paraId="4FFFCDD1" w14:textId="77777777" w:rsidR="00566725" w:rsidRPr="00781112" w:rsidRDefault="00566725" w:rsidP="00566725">
            <w:pPr>
              <w:jc w:val="center"/>
              <w:rPr>
                <w:rFonts w:cs="Arial"/>
                <w:color w:val="000000" w:themeColor="text1"/>
                <w:szCs w:val="16"/>
              </w:rPr>
            </w:pPr>
            <w:r w:rsidRPr="00781112">
              <w:rPr>
                <w:rFonts w:cs="Arial"/>
                <w:color w:val="000000" w:themeColor="text1"/>
                <w:szCs w:val="16"/>
              </w:rPr>
              <w:t>Did not meet target</w:t>
            </w:r>
          </w:p>
        </w:tc>
        <w:tc>
          <w:tcPr>
            <w:tcW w:w="586" w:type="pct"/>
          </w:tcPr>
          <w:p w14:paraId="2387AE5C" w14:textId="77777777" w:rsidR="00566725" w:rsidRPr="00781112" w:rsidRDefault="00566725" w:rsidP="00566725">
            <w:pPr>
              <w:jc w:val="center"/>
              <w:rPr>
                <w:rFonts w:cs="Arial"/>
                <w:color w:val="000000" w:themeColor="text1"/>
                <w:szCs w:val="16"/>
              </w:rPr>
            </w:pPr>
            <w:r w:rsidRPr="00781112">
              <w:rPr>
                <w:rFonts w:cs="Arial"/>
                <w:color w:val="000000" w:themeColor="text1"/>
                <w:szCs w:val="16"/>
              </w:rPr>
              <w:t>No Slippage</w:t>
            </w:r>
          </w:p>
        </w:tc>
      </w:tr>
      <w:tr w:rsidR="00566725" w:rsidRPr="00781112" w14:paraId="3E5DE20D" w14:textId="77777777" w:rsidTr="00140972">
        <w:tc>
          <w:tcPr>
            <w:tcW w:w="221" w:type="pct"/>
            <w:vAlign w:val="center"/>
          </w:tcPr>
          <w:p w14:paraId="456A90C5"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t>C</w:t>
            </w:r>
          </w:p>
        </w:tc>
        <w:tc>
          <w:tcPr>
            <w:tcW w:w="559" w:type="pct"/>
          </w:tcPr>
          <w:p w14:paraId="2440AD62" w14:textId="77777777"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HS</w:t>
            </w:r>
          </w:p>
        </w:tc>
        <w:tc>
          <w:tcPr>
            <w:tcW w:w="590" w:type="pct"/>
          </w:tcPr>
          <w:p w14:paraId="60485DF1" w14:textId="77777777" w:rsidR="00566725" w:rsidRPr="00781112" w:rsidRDefault="00566725" w:rsidP="00566725">
            <w:pPr>
              <w:jc w:val="center"/>
              <w:rPr>
                <w:rFonts w:cs="Arial"/>
                <w:color w:val="000000" w:themeColor="text1"/>
                <w:szCs w:val="16"/>
              </w:rPr>
            </w:pPr>
            <w:r w:rsidRPr="00781112">
              <w:rPr>
                <w:rFonts w:cs="Arial"/>
                <w:color w:val="000000" w:themeColor="text1"/>
                <w:szCs w:val="16"/>
              </w:rPr>
              <w:t>56</w:t>
            </w:r>
          </w:p>
        </w:tc>
        <w:tc>
          <w:tcPr>
            <w:tcW w:w="649" w:type="pct"/>
          </w:tcPr>
          <w:p w14:paraId="5348E27B" w14:textId="77777777" w:rsidR="00566725" w:rsidRPr="00781112" w:rsidRDefault="00566725" w:rsidP="00566725">
            <w:pPr>
              <w:jc w:val="center"/>
              <w:rPr>
                <w:rFonts w:cs="Arial"/>
                <w:color w:val="000000" w:themeColor="text1"/>
                <w:szCs w:val="16"/>
              </w:rPr>
            </w:pPr>
            <w:r>
              <w:rPr>
                <w:rFonts w:cs="Arial"/>
                <w:color w:val="000000"/>
                <w:szCs w:val="16"/>
              </w:rPr>
              <w:t>215</w:t>
            </w:r>
          </w:p>
        </w:tc>
        <w:tc>
          <w:tcPr>
            <w:tcW w:w="541" w:type="pct"/>
          </w:tcPr>
          <w:p w14:paraId="2E257328" w14:textId="77777777" w:rsidR="00566725" w:rsidRPr="00781112" w:rsidRDefault="00566725" w:rsidP="00566725">
            <w:pPr>
              <w:jc w:val="center"/>
              <w:rPr>
                <w:rFonts w:cs="Arial"/>
                <w:color w:val="000000" w:themeColor="text1"/>
                <w:szCs w:val="16"/>
              </w:rPr>
            </w:pPr>
            <w:r w:rsidRPr="00781112">
              <w:rPr>
                <w:rFonts w:cs="Arial"/>
                <w:color w:val="000000" w:themeColor="text1"/>
                <w:szCs w:val="16"/>
              </w:rPr>
              <w:t>35.06%</w:t>
            </w:r>
          </w:p>
        </w:tc>
        <w:tc>
          <w:tcPr>
            <w:tcW w:w="754" w:type="pct"/>
          </w:tcPr>
          <w:p w14:paraId="6DBFA3A4" w14:textId="77777777" w:rsidR="00566725" w:rsidRPr="00781112" w:rsidRDefault="00566725" w:rsidP="00566725">
            <w:pPr>
              <w:jc w:val="center"/>
              <w:rPr>
                <w:rFonts w:cs="Arial"/>
                <w:color w:val="000000" w:themeColor="text1"/>
                <w:szCs w:val="16"/>
              </w:rPr>
            </w:pPr>
            <w:r w:rsidRPr="00781112">
              <w:rPr>
                <w:rFonts w:cs="Arial"/>
                <w:color w:val="000000" w:themeColor="text1"/>
                <w:szCs w:val="16"/>
              </w:rPr>
              <w:t>38.50%</w:t>
            </w:r>
          </w:p>
        </w:tc>
        <w:tc>
          <w:tcPr>
            <w:tcW w:w="499" w:type="pct"/>
          </w:tcPr>
          <w:p w14:paraId="6BF5A9CF" w14:textId="77777777" w:rsidR="00566725" w:rsidRPr="00781112" w:rsidRDefault="00566725" w:rsidP="00566725">
            <w:pPr>
              <w:jc w:val="center"/>
              <w:rPr>
                <w:rFonts w:cs="Arial"/>
                <w:color w:val="000000" w:themeColor="text1"/>
                <w:szCs w:val="16"/>
              </w:rPr>
            </w:pPr>
            <w:r w:rsidRPr="00781112">
              <w:rPr>
                <w:rFonts w:cs="Arial"/>
                <w:color w:val="000000" w:themeColor="text1"/>
                <w:szCs w:val="16"/>
              </w:rPr>
              <w:t>26.05%</w:t>
            </w:r>
          </w:p>
        </w:tc>
        <w:tc>
          <w:tcPr>
            <w:tcW w:w="601" w:type="pct"/>
          </w:tcPr>
          <w:p w14:paraId="4A80654E" w14:textId="77777777" w:rsidR="00566725" w:rsidRPr="00781112" w:rsidRDefault="00566725" w:rsidP="00566725">
            <w:pPr>
              <w:jc w:val="center"/>
              <w:rPr>
                <w:rFonts w:cs="Arial"/>
                <w:color w:val="000000" w:themeColor="text1"/>
                <w:szCs w:val="16"/>
              </w:rPr>
            </w:pPr>
            <w:r w:rsidRPr="00781112">
              <w:rPr>
                <w:rFonts w:cs="Arial"/>
                <w:color w:val="000000" w:themeColor="text1"/>
                <w:szCs w:val="16"/>
              </w:rPr>
              <w:t>Did not meet target</w:t>
            </w:r>
          </w:p>
        </w:tc>
        <w:tc>
          <w:tcPr>
            <w:tcW w:w="586" w:type="pct"/>
          </w:tcPr>
          <w:p w14:paraId="3ABB4BF6" w14:textId="77777777" w:rsidR="00566725" w:rsidRPr="00781112" w:rsidRDefault="00566725" w:rsidP="00566725">
            <w:pPr>
              <w:jc w:val="center"/>
              <w:rPr>
                <w:rFonts w:cs="Arial"/>
                <w:color w:val="000000" w:themeColor="text1"/>
                <w:szCs w:val="16"/>
              </w:rPr>
            </w:pPr>
            <w:r w:rsidRPr="00781112">
              <w:rPr>
                <w:rFonts w:cs="Arial"/>
                <w:color w:val="000000" w:themeColor="text1"/>
                <w:szCs w:val="16"/>
              </w:rPr>
              <w:t>Slippage</w:t>
            </w:r>
          </w:p>
        </w:tc>
      </w:tr>
    </w:tbl>
    <w:p w14:paraId="32B5E3B7" w14:textId="77777777" w:rsidR="00445640" w:rsidRPr="00781112" w:rsidRDefault="00445640" w:rsidP="00445640">
      <w:pPr>
        <w:rPr>
          <w:b/>
          <w:color w:val="000000" w:themeColor="text1"/>
        </w:rPr>
      </w:pPr>
      <w:r w:rsidRPr="00781112">
        <w:rPr>
          <w:b/>
          <w:color w:val="000000" w:themeColor="text1"/>
        </w:rPr>
        <w:t>Provide reasons for slippage for Group A, if applicable</w:t>
      </w:r>
    </w:p>
    <w:p w14:paraId="06EDB8E7" w14:textId="77777777" w:rsidR="00445640" w:rsidRPr="00781112" w:rsidRDefault="00445640" w:rsidP="00445640">
      <w:pPr>
        <w:rPr>
          <w:rFonts w:cs="Arial"/>
          <w:color w:val="000000" w:themeColor="text1"/>
          <w:szCs w:val="16"/>
        </w:rPr>
      </w:pPr>
      <w:r w:rsidRPr="00781112">
        <w:rPr>
          <w:rFonts w:cs="Arial"/>
          <w:color w:val="000000" w:themeColor="text1"/>
          <w:szCs w:val="16"/>
        </w:rPr>
        <w:t xml:space="preserve">The Grade 4 reading proficiency rate on the alternate assessment declined from 19.21% in FFY 2023 to 14.92% in FFY 2024, a 4.29 percentage point decrease. This trend reflects improved cohort composition resulting from WVDE/OSE's efforts to strengthen the validity of eligibility decisions for alternate assessment participation through enhanced technical assistance, support, and monitoring. Students better served by the general curriculum have been appropriately transitioned to regular standards instruction, and the resulting cohort more accurately represents students requiring the most intensive instructional supports. Additionally, in a cohort of this size, proficiency rate is sensitive to small changes. </w:t>
      </w:r>
    </w:p>
    <w:p w14:paraId="68DB2C17" w14:textId="77777777" w:rsidR="00445640" w:rsidRPr="00781112" w:rsidRDefault="00445640" w:rsidP="00445640">
      <w:pPr>
        <w:rPr>
          <w:b/>
          <w:color w:val="000000" w:themeColor="text1"/>
        </w:rPr>
      </w:pPr>
      <w:r w:rsidRPr="00781112">
        <w:rPr>
          <w:b/>
          <w:color w:val="000000" w:themeColor="text1"/>
        </w:rPr>
        <w:t>Provide reasons for slippage for Group C, if applicable</w:t>
      </w:r>
    </w:p>
    <w:p w14:paraId="3B3754B5" w14:textId="77777777" w:rsidR="00445640" w:rsidRPr="00781112" w:rsidRDefault="00445640" w:rsidP="00445640">
      <w:pPr>
        <w:rPr>
          <w:rFonts w:cs="Arial"/>
          <w:color w:val="000000" w:themeColor="text1"/>
          <w:szCs w:val="16"/>
        </w:rPr>
      </w:pPr>
      <w:r w:rsidRPr="00781112">
        <w:rPr>
          <w:rFonts w:cs="Arial"/>
          <w:color w:val="000000" w:themeColor="text1"/>
          <w:szCs w:val="16"/>
        </w:rPr>
        <w:t>The Grade HS reading proficiency rate on the alternate assessment declined from 35.06% in FFY 2023 to 26.05% in FFY 2024, a 9.01 percentage point decrease. Consistent with the trends observed at the elementary level, the data reflects improved validity of eligibility decisions for alternate assessment participation through enhanced state-level technical assistance, support, and monitoring. As these criteria were applied more rigorously, higher-performing students were transitioned to regular standards instruction where they could be better served by the general education curriculum. The resulting cohort of students more accurately represents students with the most significant cognitive disabilities.</w:t>
      </w:r>
    </w:p>
    <w:p w14:paraId="54B9823D" w14:textId="77777777" w:rsidR="00445640" w:rsidRPr="00781112" w:rsidRDefault="00445640" w:rsidP="000C3A20">
      <w:pPr>
        <w:rPr>
          <w:color w:val="000000" w:themeColor="text1"/>
        </w:rPr>
      </w:pPr>
    </w:p>
    <w:p w14:paraId="6BC639DF" w14:textId="77777777" w:rsidR="00BD7229" w:rsidRPr="00781112" w:rsidRDefault="0047313F" w:rsidP="004369B2">
      <w:pPr>
        <w:rPr>
          <w:b/>
          <w:color w:val="000000" w:themeColor="text1"/>
        </w:rPr>
      </w:pPr>
      <w:r>
        <w:rPr>
          <w:b/>
          <w:color w:val="000000" w:themeColor="text1"/>
        </w:rPr>
        <w:t>FFY 2024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3CFFYAPRDATAMATHASS"/>
      </w:tblPr>
      <w:tblGrid>
        <w:gridCol w:w="696"/>
        <w:gridCol w:w="1187"/>
        <w:gridCol w:w="1245"/>
        <w:gridCol w:w="1370"/>
        <w:gridCol w:w="1139"/>
        <w:gridCol w:w="1595"/>
        <w:gridCol w:w="1050"/>
        <w:gridCol w:w="1270"/>
        <w:gridCol w:w="1238"/>
      </w:tblGrid>
      <w:tr w:rsidR="00FA33C9" w:rsidRPr="00781112" w14:paraId="647BB9A8" w14:textId="77777777" w:rsidTr="00140972">
        <w:trPr>
          <w:tblHeader/>
        </w:trPr>
        <w:tc>
          <w:tcPr>
            <w:tcW w:w="220" w:type="pct"/>
            <w:vAlign w:val="bottom"/>
          </w:tcPr>
          <w:p w14:paraId="2EA70671" w14:textId="77777777" w:rsidR="00FA33C9" w:rsidRPr="00781112" w:rsidRDefault="00FA33C9" w:rsidP="00FA33C9">
            <w:pPr>
              <w:jc w:val="center"/>
              <w:rPr>
                <w:b/>
                <w:color w:val="000000" w:themeColor="text1"/>
              </w:rPr>
            </w:pPr>
            <w:r w:rsidRPr="00781112">
              <w:rPr>
                <w:b/>
                <w:color w:val="000000" w:themeColor="text1"/>
              </w:rPr>
              <w:t>Group</w:t>
            </w:r>
          </w:p>
        </w:tc>
        <w:tc>
          <w:tcPr>
            <w:tcW w:w="563" w:type="pct"/>
            <w:vAlign w:val="bottom"/>
          </w:tcPr>
          <w:p w14:paraId="58AEDC37" w14:textId="77777777" w:rsidR="00FA33C9" w:rsidRPr="00781112" w:rsidRDefault="00FA33C9" w:rsidP="00FA33C9">
            <w:pPr>
              <w:jc w:val="center"/>
              <w:rPr>
                <w:b/>
                <w:color w:val="000000" w:themeColor="text1"/>
              </w:rPr>
            </w:pPr>
            <w:r w:rsidRPr="00781112">
              <w:rPr>
                <w:b/>
                <w:color w:val="000000" w:themeColor="text1"/>
              </w:rPr>
              <w:t>Group Name</w:t>
            </w:r>
          </w:p>
        </w:tc>
        <w:tc>
          <w:tcPr>
            <w:tcW w:w="590" w:type="pct"/>
            <w:vAlign w:val="bottom"/>
          </w:tcPr>
          <w:p w14:paraId="4743088A" w14:textId="77777777" w:rsidR="00FA33C9" w:rsidRPr="00781112" w:rsidRDefault="00FA33C9" w:rsidP="00FA33C9">
            <w:pPr>
              <w:jc w:val="center"/>
              <w:rPr>
                <w:b/>
                <w:color w:val="000000" w:themeColor="text1"/>
              </w:rPr>
            </w:pPr>
            <w:r w:rsidRPr="00781112">
              <w:rPr>
                <w:b/>
                <w:color w:val="000000" w:themeColor="text1"/>
              </w:rPr>
              <w:t>Number of Children with IEPs Scoring At or Above Proficient Against Alternate Academic Achievement Standards</w:t>
            </w:r>
          </w:p>
        </w:tc>
        <w:tc>
          <w:tcPr>
            <w:tcW w:w="648" w:type="pct"/>
            <w:vAlign w:val="bottom"/>
          </w:tcPr>
          <w:p w14:paraId="71AB78D0" w14:textId="77777777" w:rsidR="00FA33C9" w:rsidRPr="00781112" w:rsidRDefault="00FA33C9" w:rsidP="00FA33C9">
            <w:pPr>
              <w:jc w:val="center"/>
              <w:rPr>
                <w:b/>
                <w:color w:val="000000" w:themeColor="text1"/>
              </w:rPr>
            </w:pPr>
            <w:r w:rsidRPr="00781112">
              <w:rPr>
                <w:b/>
                <w:color w:val="000000" w:themeColor="text1"/>
              </w:rPr>
              <w:t>Number of Children with IEPs who Received a Valid Score and for whom a Proficiency Level was Assigned for the Alternate Assessment</w:t>
            </w:r>
          </w:p>
        </w:tc>
        <w:tc>
          <w:tcPr>
            <w:tcW w:w="541" w:type="pct"/>
            <w:vAlign w:val="bottom"/>
          </w:tcPr>
          <w:p w14:paraId="5A46A5DE" w14:textId="77777777" w:rsidR="00FA33C9" w:rsidRPr="00073BD7" w:rsidRDefault="00FA33C9" w:rsidP="00FA33C9">
            <w:pPr>
              <w:jc w:val="center"/>
              <w:rPr>
                <w:b/>
                <w:bCs/>
                <w:color w:val="000000" w:themeColor="text1"/>
              </w:rPr>
            </w:pPr>
            <w:r w:rsidRPr="00073BD7">
              <w:rPr>
                <w:b/>
                <w:bCs/>
              </w:rPr>
              <w:t>FFY 2023 Data</w:t>
            </w:r>
          </w:p>
        </w:tc>
        <w:tc>
          <w:tcPr>
            <w:tcW w:w="752" w:type="pct"/>
            <w:vAlign w:val="bottom"/>
          </w:tcPr>
          <w:p w14:paraId="63561B79" w14:textId="77777777" w:rsidR="00FA33C9" w:rsidRPr="00073BD7" w:rsidRDefault="00FA33C9" w:rsidP="00FA33C9">
            <w:pPr>
              <w:jc w:val="center"/>
              <w:rPr>
                <w:b/>
                <w:bCs/>
                <w:color w:val="000000" w:themeColor="text1"/>
              </w:rPr>
            </w:pPr>
            <w:r w:rsidRPr="00073BD7">
              <w:rPr>
                <w:b/>
                <w:bCs/>
              </w:rPr>
              <w:t>FFY 2024 Target</w:t>
            </w:r>
          </w:p>
        </w:tc>
        <w:tc>
          <w:tcPr>
            <w:tcW w:w="499" w:type="pct"/>
            <w:vAlign w:val="bottom"/>
          </w:tcPr>
          <w:p w14:paraId="7968EB63" w14:textId="77777777" w:rsidR="00FA33C9" w:rsidRPr="00073BD7" w:rsidRDefault="00FA33C9" w:rsidP="00FA33C9">
            <w:pPr>
              <w:jc w:val="center"/>
              <w:rPr>
                <w:b/>
                <w:bCs/>
                <w:color w:val="000000" w:themeColor="text1"/>
              </w:rPr>
            </w:pPr>
            <w:r w:rsidRPr="00073BD7">
              <w:rPr>
                <w:b/>
                <w:bCs/>
              </w:rPr>
              <w:t>FFY 2024 Data</w:t>
            </w:r>
          </w:p>
        </w:tc>
        <w:tc>
          <w:tcPr>
            <w:tcW w:w="601" w:type="pct"/>
            <w:vAlign w:val="bottom"/>
          </w:tcPr>
          <w:p w14:paraId="491B2D86" w14:textId="77777777" w:rsidR="00FA33C9" w:rsidRPr="00781112" w:rsidRDefault="00FA33C9" w:rsidP="00FA33C9">
            <w:pPr>
              <w:jc w:val="center"/>
              <w:rPr>
                <w:b/>
                <w:color w:val="000000" w:themeColor="text1"/>
              </w:rPr>
            </w:pPr>
            <w:r w:rsidRPr="00781112">
              <w:rPr>
                <w:b/>
                <w:color w:val="000000" w:themeColor="text1"/>
              </w:rPr>
              <w:t>Status</w:t>
            </w:r>
          </w:p>
        </w:tc>
        <w:tc>
          <w:tcPr>
            <w:tcW w:w="586" w:type="pct"/>
            <w:vAlign w:val="bottom"/>
          </w:tcPr>
          <w:p w14:paraId="32AE518F" w14:textId="77777777" w:rsidR="00FA33C9" w:rsidRPr="00781112" w:rsidRDefault="00FA33C9" w:rsidP="00FA33C9">
            <w:pPr>
              <w:jc w:val="center"/>
              <w:rPr>
                <w:b/>
                <w:color w:val="000000" w:themeColor="text1"/>
              </w:rPr>
            </w:pPr>
            <w:r w:rsidRPr="00781112">
              <w:rPr>
                <w:b/>
                <w:color w:val="000000" w:themeColor="text1"/>
              </w:rPr>
              <w:t>Slippage</w:t>
            </w:r>
          </w:p>
        </w:tc>
      </w:tr>
      <w:tr w:rsidR="00A31E8A" w:rsidRPr="00781112" w14:paraId="481522EF" w14:textId="77777777" w:rsidTr="00140972">
        <w:tc>
          <w:tcPr>
            <w:tcW w:w="220" w:type="pct"/>
            <w:vAlign w:val="center"/>
          </w:tcPr>
          <w:p w14:paraId="798E52A5" w14:textId="77777777" w:rsidR="00A31E8A" w:rsidRPr="00781112" w:rsidRDefault="00A31E8A" w:rsidP="00A31E8A">
            <w:pPr>
              <w:pStyle w:val="Default"/>
              <w:jc w:val="center"/>
              <w:rPr>
                <w:b/>
                <w:color w:val="000000" w:themeColor="text1"/>
                <w:sz w:val="16"/>
                <w:szCs w:val="16"/>
              </w:rPr>
            </w:pPr>
            <w:r w:rsidRPr="00781112">
              <w:rPr>
                <w:rFonts w:eastAsiaTheme="minorHAnsi"/>
                <w:b/>
                <w:color w:val="000000" w:themeColor="text1"/>
                <w:sz w:val="16"/>
                <w:szCs w:val="16"/>
              </w:rPr>
              <w:t>A</w:t>
            </w:r>
          </w:p>
        </w:tc>
        <w:tc>
          <w:tcPr>
            <w:tcW w:w="563" w:type="pct"/>
            <w:vAlign w:val="center"/>
          </w:tcPr>
          <w:p w14:paraId="6405845E" w14:textId="77777777"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4</w:t>
            </w:r>
          </w:p>
        </w:tc>
        <w:tc>
          <w:tcPr>
            <w:tcW w:w="590" w:type="pct"/>
            <w:vAlign w:val="center"/>
          </w:tcPr>
          <w:p w14:paraId="42B3F0E0" w14:textId="77777777" w:rsidR="00A31E8A" w:rsidRPr="00781112" w:rsidRDefault="00A31E8A" w:rsidP="00A31E8A">
            <w:pPr>
              <w:jc w:val="center"/>
              <w:rPr>
                <w:rFonts w:cs="Arial"/>
                <w:color w:val="000000" w:themeColor="text1"/>
                <w:szCs w:val="16"/>
              </w:rPr>
            </w:pPr>
            <w:r w:rsidRPr="00781112">
              <w:rPr>
                <w:rFonts w:cs="Arial"/>
                <w:color w:val="000000" w:themeColor="text1"/>
                <w:szCs w:val="16"/>
              </w:rPr>
              <w:t>66</w:t>
            </w:r>
          </w:p>
        </w:tc>
        <w:tc>
          <w:tcPr>
            <w:tcW w:w="648" w:type="pct"/>
          </w:tcPr>
          <w:p w14:paraId="0C2C9C57" w14:textId="77777777" w:rsidR="00A31E8A" w:rsidRPr="00781112" w:rsidRDefault="00A31E8A" w:rsidP="00A31E8A">
            <w:pPr>
              <w:jc w:val="center"/>
              <w:rPr>
                <w:rFonts w:cs="Arial"/>
                <w:color w:val="000000" w:themeColor="text1"/>
                <w:szCs w:val="16"/>
              </w:rPr>
            </w:pPr>
            <w:r>
              <w:rPr>
                <w:rFonts w:cs="Arial"/>
                <w:color w:val="000000"/>
                <w:szCs w:val="16"/>
              </w:rPr>
              <w:t>180</w:t>
            </w:r>
          </w:p>
        </w:tc>
        <w:tc>
          <w:tcPr>
            <w:tcW w:w="541" w:type="pct"/>
            <w:vAlign w:val="center"/>
          </w:tcPr>
          <w:p w14:paraId="26767CB7" w14:textId="77777777" w:rsidR="00A31E8A" w:rsidRPr="00781112" w:rsidRDefault="00A31E8A" w:rsidP="00A31E8A">
            <w:pPr>
              <w:jc w:val="center"/>
              <w:rPr>
                <w:rFonts w:cs="Arial"/>
                <w:color w:val="000000" w:themeColor="text1"/>
                <w:szCs w:val="16"/>
              </w:rPr>
            </w:pPr>
            <w:r w:rsidRPr="00781112">
              <w:rPr>
                <w:rFonts w:cs="Arial"/>
                <w:color w:val="000000" w:themeColor="text1"/>
                <w:szCs w:val="16"/>
              </w:rPr>
              <w:t>38.42%</w:t>
            </w:r>
          </w:p>
        </w:tc>
        <w:tc>
          <w:tcPr>
            <w:tcW w:w="752" w:type="pct"/>
            <w:vAlign w:val="center"/>
          </w:tcPr>
          <w:p w14:paraId="2A9B3A6B" w14:textId="77777777" w:rsidR="00A31E8A" w:rsidRPr="00781112" w:rsidRDefault="00A31E8A" w:rsidP="00A31E8A">
            <w:pPr>
              <w:jc w:val="center"/>
              <w:rPr>
                <w:rFonts w:cs="Arial"/>
                <w:color w:val="000000" w:themeColor="text1"/>
                <w:szCs w:val="16"/>
              </w:rPr>
            </w:pPr>
            <w:r w:rsidRPr="00781112">
              <w:rPr>
                <w:rFonts w:cs="Arial"/>
                <w:color w:val="000000" w:themeColor="text1"/>
                <w:szCs w:val="16"/>
              </w:rPr>
              <w:t>29.00%</w:t>
            </w:r>
          </w:p>
        </w:tc>
        <w:tc>
          <w:tcPr>
            <w:tcW w:w="499" w:type="pct"/>
            <w:vAlign w:val="center"/>
          </w:tcPr>
          <w:p w14:paraId="201CEEB8" w14:textId="77777777" w:rsidR="00A31E8A" w:rsidRPr="00781112" w:rsidRDefault="00A31E8A" w:rsidP="00A31E8A">
            <w:pPr>
              <w:jc w:val="center"/>
              <w:rPr>
                <w:rFonts w:cs="Arial"/>
                <w:color w:val="000000" w:themeColor="text1"/>
                <w:szCs w:val="16"/>
              </w:rPr>
            </w:pPr>
            <w:r w:rsidRPr="00781112">
              <w:rPr>
                <w:rFonts w:cs="Arial"/>
                <w:color w:val="000000" w:themeColor="text1"/>
                <w:szCs w:val="16"/>
              </w:rPr>
              <w:t>36.67%</w:t>
            </w:r>
          </w:p>
        </w:tc>
        <w:tc>
          <w:tcPr>
            <w:tcW w:w="601" w:type="pct"/>
            <w:vAlign w:val="center"/>
          </w:tcPr>
          <w:p w14:paraId="10FEC623" w14:textId="77777777" w:rsidR="00A31E8A" w:rsidRPr="00781112" w:rsidRDefault="00A31E8A" w:rsidP="00A31E8A">
            <w:pPr>
              <w:jc w:val="center"/>
              <w:rPr>
                <w:rFonts w:cs="Arial"/>
                <w:color w:val="000000" w:themeColor="text1"/>
                <w:szCs w:val="16"/>
              </w:rPr>
            </w:pPr>
            <w:r w:rsidRPr="00781112">
              <w:rPr>
                <w:rFonts w:cs="Arial"/>
                <w:color w:val="000000" w:themeColor="text1"/>
                <w:szCs w:val="16"/>
              </w:rPr>
              <w:t>Met target</w:t>
            </w:r>
          </w:p>
        </w:tc>
        <w:tc>
          <w:tcPr>
            <w:tcW w:w="586" w:type="pct"/>
            <w:vAlign w:val="center"/>
          </w:tcPr>
          <w:p w14:paraId="1903F686" w14:textId="77777777" w:rsidR="00A31E8A" w:rsidRPr="00781112" w:rsidRDefault="00A31E8A" w:rsidP="00A31E8A">
            <w:pPr>
              <w:jc w:val="center"/>
              <w:rPr>
                <w:rFonts w:cs="Arial"/>
                <w:color w:val="000000" w:themeColor="text1"/>
                <w:szCs w:val="16"/>
              </w:rPr>
            </w:pPr>
            <w:r w:rsidRPr="00781112">
              <w:rPr>
                <w:rFonts w:cs="Arial"/>
                <w:color w:val="000000" w:themeColor="text1"/>
                <w:szCs w:val="16"/>
              </w:rPr>
              <w:t>No Slippage</w:t>
            </w:r>
          </w:p>
        </w:tc>
      </w:tr>
      <w:tr w:rsidR="00A31E8A" w:rsidRPr="00781112" w14:paraId="38FAE14A" w14:textId="77777777" w:rsidTr="00140972">
        <w:tc>
          <w:tcPr>
            <w:tcW w:w="220" w:type="pct"/>
            <w:vAlign w:val="center"/>
          </w:tcPr>
          <w:p w14:paraId="6DEA03C3" w14:textId="77777777" w:rsidR="00A31E8A" w:rsidRPr="00781112" w:rsidRDefault="00A31E8A" w:rsidP="00A31E8A">
            <w:pPr>
              <w:pStyle w:val="Default"/>
              <w:jc w:val="center"/>
              <w:rPr>
                <w:b/>
                <w:color w:val="000000" w:themeColor="text1"/>
                <w:sz w:val="16"/>
                <w:szCs w:val="16"/>
              </w:rPr>
            </w:pPr>
            <w:r w:rsidRPr="00781112">
              <w:rPr>
                <w:b/>
                <w:color w:val="000000" w:themeColor="text1"/>
                <w:sz w:val="16"/>
                <w:szCs w:val="16"/>
              </w:rPr>
              <w:t>B</w:t>
            </w:r>
          </w:p>
        </w:tc>
        <w:tc>
          <w:tcPr>
            <w:tcW w:w="563" w:type="pct"/>
            <w:vAlign w:val="center"/>
          </w:tcPr>
          <w:p w14:paraId="459F40FB" w14:textId="77777777"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8</w:t>
            </w:r>
          </w:p>
        </w:tc>
        <w:tc>
          <w:tcPr>
            <w:tcW w:w="590" w:type="pct"/>
            <w:vAlign w:val="center"/>
          </w:tcPr>
          <w:p w14:paraId="098CC1D1" w14:textId="77777777" w:rsidR="00A31E8A" w:rsidRPr="00781112" w:rsidRDefault="00A31E8A" w:rsidP="00A31E8A">
            <w:pPr>
              <w:jc w:val="center"/>
              <w:rPr>
                <w:rFonts w:cs="Arial"/>
                <w:color w:val="000000" w:themeColor="text1"/>
                <w:szCs w:val="16"/>
              </w:rPr>
            </w:pPr>
            <w:r w:rsidRPr="00781112">
              <w:rPr>
                <w:rFonts w:cs="Arial"/>
                <w:color w:val="000000" w:themeColor="text1"/>
                <w:szCs w:val="16"/>
              </w:rPr>
              <w:t>18</w:t>
            </w:r>
          </w:p>
        </w:tc>
        <w:tc>
          <w:tcPr>
            <w:tcW w:w="648" w:type="pct"/>
          </w:tcPr>
          <w:p w14:paraId="77F4203A" w14:textId="77777777" w:rsidR="00A31E8A" w:rsidRPr="00781112" w:rsidRDefault="00A31E8A" w:rsidP="00A31E8A">
            <w:pPr>
              <w:jc w:val="center"/>
              <w:rPr>
                <w:rFonts w:cs="Arial"/>
                <w:color w:val="000000" w:themeColor="text1"/>
                <w:szCs w:val="16"/>
              </w:rPr>
            </w:pPr>
            <w:r>
              <w:rPr>
                <w:rFonts w:cs="Arial"/>
                <w:color w:val="000000"/>
                <w:szCs w:val="16"/>
              </w:rPr>
              <w:t>227</w:t>
            </w:r>
          </w:p>
        </w:tc>
        <w:tc>
          <w:tcPr>
            <w:tcW w:w="541" w:type="pct"/>
            <w:vAlign w:val="center"/>
          </w:tcPr>
          <w:p w14:paraId="6B853ED7" w14:textId="77777777" w:rsidR="00A31E8A" w:rsidRPr="00781112" w:rsidRDefault="00A31E8A" w:rsidP="00A31E8A">
            <w:pPr>
              <w:jc w:val="center"/>
              <w:rPr>
                <w:rFonts w:cs="Arial"/>
                <w:color w:val="000000" w:themeColor="text1"/>
                <w:szCs w:val="16"/>
              </w:rPr>
            </w:pPr>
            <w:r w:rsidRPr="00781112">
              <w:rPr>
                <w:rFonts w:cs="Arial"/>
                <w:color w:val="000000" w:themeColor="text1"/>
                <w:szCs w:val="16"/>
              </w:rPr>
              <w:t>10.82%</w:t>
            </w:r>
          </w:p>
        </w:tc>
        <w:tc>
          <w:tcPr>
            <w:tcW w:w="752" w:type="pct"/>
            <w:vAlign w:val="center"/>
          </w:tcPr>
          <w:p w14:paraId="71C89BFD" w14:textId="77777777" w:rsidR="00A31E8A" w:rsidRPr="00781112" w:rsidRDefault="00A31E8A" w:rsidP="00A31E8A">
            <w:pPr>
              <w:jc w:val="center"/>
              <w:rPr>
                <w:rFonts w:cs="Arial"/>
                <w:color w:val="000000" w:themeColor="text1"/>
                <w:szCs w:val="16"/>
              </w:rPr>
            </w:pPr>
            <w:r w:rsidRPr="00781112">
              <w:rPr>
                <w:rFonts w:cs="Arial"/>
                <w:color w:val="000000" w:themeColor="text1"/>
                <w:szCs w:val="16"/>
              </w:rPr>
              <w:t>9.50%</w:t>
            </w:r>
          </w:p>
        </w:tc>
        <w:tc>
          <w:tcPr>
            <w:tcW w:w="499" w:type="pct"/>
            <w:vAlign w:val="center"/>
          </w:tcPr>
          <w:p w14:paraId="381529AE" w14:textId="77777777" w:rsidR="00A31E8A" w:rsidRPr="00781112" w:rsidRDefault="00A31E8A" w:rsidP="00A31E8A">
            <w:pPr>
              <w:jc w:val="center"/>
              <w:rPr>
                <w:rFonts w:cs="Arial"/>
                <w:color w:val="000000" w:themeColor="text1"/>
                <w:szCs w:val="16"/>
              </w:rPr>
            </w:pPr>
            <w:r w:rsidRPr="00781112">
              <w:rPr>
                <w:rFonts w:cs="Arial"/>
                <w:color w:val="000000" w:themeColor="text1"/>
                <w:szCs w:val="16"/>
              </w:rPr>
              <w:t>7.93%</w:t>
            </w:r>
          </w:p>
        </w:tc>
        <w:tc>
          <w:tcPr>
            <w:tcW w:w="601" w:type="pct"/>
            <w:vAlign w:val="center"/>
          </w:tcPr>
          <w:p w14:paraId="1EECB9ED" w14:textId="77777777" w:rsidR="00A31E8A" w:rsidRPr="00781112" w:rsidRDefault="00A31E8A" w:rsidP="00A31E8A">
            <w:pPr>
              <w:jc w:val="center"/>
              <w:rPr>
                <w:rFonts w:cs="Arial"/>
                <w:color w:val="000000" w:themeColor="text1"/>
                <w:szCs w:val="16"/>
              </w:rPr>
            </w:pPr>
            <w:r w:rsidRPr="00781112">
              <w:rPr>
                <w:rFonts w:cs="Arial"/>
                <w:color w:val="000000" w:themeColor="text1"/>
                <w:szCs w:val="16"/>
              </w:rPr>
              <w:t>Did not meet target</w:t>
            </w:r>
          </w:p>
        </w:tc>
        <w:tc>
          <w:tcPr>
            <w:tcW w:w="586" w:type="pct"/>
            <w:vAlign w:val="center"/>
          </w:tcPr>
          <w:p w14:paraId="7AA57809" w14:textId="77777777" w:rsidR="00A31E8A" w:rsidRPr="00781112" w:rsidRDefault="00A31E8A" w:rsidP="00A31E8A">
            <w:pPr>
              <w:jc w:val="center"/>
              <w:rPr>
                <w:rFonts w:cs="Arial"/>
                <w:color w:val="000000" w:themeColor="text1"/>
                <w:szCs w:val="16"/>
              </w:rPr>
            </w:pPr>
            <w:r w:rsidRPr="00781112">
              <w:rPr>
                <w:rFonts w:cs="Arial"/>
                <w:color w:val="000000" w:themeColor="text1"/>
                <w:szCs w:val="16"/>
              </w:rPr>
              <w:t>Slippage</w:t>
            </w:r>
          </w:p>
        </w:tc>
      </w:tr>
      <w:tr w:rsidR="00A31E8A" w:rsidRPr="00781112" w14:paraId="4C6D4D81" w14:textId="77777777" w:rsidTr="00140972">
        <w:tc>
          <w:tcPr>
            <w:tcW w:w="220" w:type="pct"/>
            <w:vAlign w:val="center"/>
          </w:tcPr>
          <w:p w14:paraId="0BA19CA4" w14:textId="77777777" w:rsidR="00A31E8A" w:rsidRPr="00781112" w:rsidRDefault="00A31E8A" w:rsidP="00A31E8A">
            <w:pPr>
              <w:pStyle w:val="Default"/>
              <w:jc w:val="center"/>
              <w:rPr>
                <w:rFonts w:eastAsiaTheme="minorHAnsi"/>
                <w:color w:val="000000" w:themeColor="text1"/>
                <w:sz w:val="16"/>
                <w:szCs w:val="16"/>
              </w:rPr>
            </w:pPr>
            <w:r w:rsidRPr="00781112">
              <w:rPr>
                <w:b/>
                <w:color w:val="000000" w:themeColor="text1"/>
                <w:sz w:val="16"/>
                <w:szCs w:val="16"/>
              </w:rPr>
              <w:t>C</w:t>
            </w:r>
          </w:p>
        </w:tc>
        <w:tc>
          <w:tcPr>
            <w:tcW w:w="563" w:type="pct"/>
            <w:vAlign w:val="center"/>
          </w:tcPr>
          <w:p w14:paraId="5203015D" w14:textId="77777777"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HS</w:t>
            </w:r>
          </w:p>
        </w:tc>
        <w:tc>
          <w:tcPr>
            <w:tcW w:w="590" w:type="pct"/>
            <w:vAlign w:val="center"/>
          </w:tcPr>
          <w:p w14:paraId="5858390E" w14:textId="77777777" w:rsidR="00A31E8A" w:rsidRPr="00781112" w:rsidRDefault="00A31E8A" w:rsidP="00A31E8A">
            <w:pPr>
              <w:jc w:val="center"/>
              <w:rPr>
                <w:rFonts w:cs="Arial"/>
                <w:color w:val="000000" w:themeColor="text1"/>
                <w:szCs w:val="16"/>
              </w:rPr>
            </w:pPr>
            <w:r w:rsidRPr="00781112">
              <w:rPr>
                <w:rFonts w:cs="Arial"/>
                <w:color w:val="000000" w:themeColor="text1"/>
                <w:szCs w:val="16"/>
              </w:rPr>
              <w:t>51</w:t>
            </w:r>
          </w:p>
        </w:tc>
        <w:tc>
          <w:tcPr>
            <w:tcW w:w="648" w:type="pct"/>
          </w:tcPr>
          <w:p w14:paraId="4B91B9FB" w14:textId="77777777" w:rsidR="00A31E8A" w:rsidRPr="00781112" w:rsidRDefault="00A31E8A" w:rsidP="00A31E8A">
            <w:pPr>
              <w:jc w:val="center"/>
              <w:rPr>
                <w:rFonts w:cs="Arial"/>
                <w:color w:val="000000" w:themeColor="text1"/>
                <w:szCs w:val="16"/>
              </w:rPr>
            </w:pPr>
            <w:r>
              <w:rPr>
                <w:rFonts w:cs="Arial"/>
                <w:color w:val="000000"/>
                <w:szCs w:val="16"/>
              </w:rPr>
              <w:t>215</w:t>
            </w:r>
          </w:p>
        </w:tc>
        <w:tc>
          <w:tcPr>
            <w:tcW w:w="541" w:type="pct"/>
            <w:vAlign w:val="center"/>
          </w:tcPr>
          <w:p w14:paraId="3098C19A" w14:textId="77777777" w:rsidR="00A31E8A" w:rsidRPr="00781112" w:rsidRDefault="00A31E8A" w:rsidP="00A31E8A">
            <w:pPr>
              <w:jc w:val="center"/>
              <w:rPr>
                <w:rFonts w:cs="Arial"/>
                <w:color w:val="000000" w:themeColor="text1"/>
                <w:szCs w:val="16"/>
              </w:rPr>
            </w:pPr>
            <w:r w:rsidRPr="00781112">
              <w:rPr>
                <w:rFonts w:cs="Arial"/>
                <w:color w:val="000000" w:themeColor="text1"/>
                <w:szCs w:val="16"/>
              </w:rPr>
              <w:t>29.89%</w:t>
            </w:r>
          </w:p>
        </w:tc>
        <w:tc>
          <w:tcPr>
            <w:tcW w:w="752" w:type="pct"/>
            <w:vAlign w:val="center"/>
          </w:tcPr>
          <w:p w14:paraId="6F480E9A" w14:textId="77777777" w:rsidR="00A31E8A" w:rsidRPr="00781112" w:rsidRDefault="00A31E8A" w:rsidP="00A31E8A">
            <w:pPr>
              <w:jc w:val="center"/>
              <w:rPr>
                <w:rFonts w:cs="Arial"/>
                <w:color w:val="000000" w:themeColor="text1"/>
                <w:szCs w:val="16"/>
              </w:rPr>
            </w:pPr>
            <w:r w:rsidRPr="00781112">
              <w:rPr>
                <w:rFonts w:cs="Arial"/>
                <w:color w:val="000000" w:themeColor="text1"/>
                <w:szCs w:val="16"/>
              </w:rPr>
              <w:t>14.00%</w:t>
            </w:r>
          </w:p>
        </w:tc>
        <w:tc>
          <w:tcPr>
            <w:tcW w:w="499" w:type="pct"/>
            <w:vAlign w:val="center"/>
          </w:tcPr>
          <w:p w14:paraId="3A652C19" w14:textId="77777777" w:rsidR="00A31E8A" w:rsidRPr="00781112" w:rsidRDefault="00A31E8A" w:rsidP="00A31E8A">
            <w:pPr>
              <w:jc w:val="center"/>
              <w:rPr>
                <w:rFonts w:cs="Arial"/>
                <w:color w:val="000000" w:themeColor="text1"/>
                <w:szCs w:val="16"/>
              </w:rPr>
            </w:pPr>
            <w:r w:rsidRPr="00781112">
              <w:rPr>
                <w:rFonts w:cs="Arial"/>
                <w:color w:val="000000" w:themeColor="text1"/>
                <w:szCs w:val="16"/>
              </w:rPr>
              <w:t>23.72%</w:t>
            </w:r>
          </w:p>
        </w:tc>
        <w:tc>
          <w:tcPr>
            <w:tcW w:w="601" w:type="pct"/>
            <w:vAlign w:val="center"/>
          </w:tcPr>
          <w:p w14:paraId="56598230" w14:textId="77777777" w:rsidR="00A31E8A" w:rsidRPr="00781112" w:rsidRDefault="00A31E8A" w:rsidP="00A31E8A">
            <w:pPr>
              <w:jc w:val="center"/>
              <w:rPr>
                <w:rFonts w:cs="Arial"/>
                <w:color w:val="000000" w:themeColor="text1"/>
                <w:szCs w:val="16"/>
              </w:rPr>
            </w:pPr>
            <w:r w:rsidRPr="00781112">
              <w:rPr>
                <w:rFonts w:cs="Arial"/>
                <w:color w:val="000000" w:themeColor="text1"/>
                <w:szCs w:val="16"/>
              </w:rPr>
              <w:t>Met target</w:t>
            </w:r>
          </w:p>
        </w:tc>
        <w:tc>
          <w:tcPr>
            <w:tcW w:w="586" w:type="pct"/>
            <w:vAlign w:val="center"/>
          </w:tcPr>
          <w:p w14:paraId="42E453BD" w14:textId="77777777" w:rsidR="00A31E8A" w:rsidRPr="00781112" w:rsidRDefault="00A31E8A" w:rsidP="00A31E8A">
            <w:pPr>
              <w:jc w:val="center"/>
              <w:rPr>
                <w:rFonts w:cs="Arial"/>
                <w:color w:val="000000" w:themeColor="text1"/>
                <w:szCs w:val="16"/>
              </w:rPr>
            </w:pPr>
            <w:r w:rsidRPr="00781112">
              <w:rPr>
                <w:rFonts w:cs="Arial"/>
                <w:color w:val="000000" w:themeColor="text1"/>
                <w:szCs w:val="16"/>
              </w:rPr>
              <w:t>No Slippage</w:t>
            </w:r>
          </w:p>
        </w:tc>
      </w:tr>
    </w:tbl>
    <w:p w14:paraId="18433185" w14:textId="77777777" w:rsidR="00BC545C" w:rsidRPr="00781112" w:rsidRDefault="00BC545C" w:rsidP="00BC545C">
      <w:pPr>
        <w:rPr>
          <w:b/>
          <w:color w:val="000000" w:themeColor="text1"/>
        </w:rPr>
      </w:pPr>
      <w:r w:rsidRPr="00781112">
        <w:rPr>
          <w:b/>
          <w:color w:val="000000" w:themeColor="text1"/>
        </w:rPr>
        <w:t>Provide reasons for slippage for Group B, if applicable</w:t>
      </w:r>
    </w:p>
    <w:p w14:paraId="64CF851E" w14:textId="77777777" w:rsidR="00BC545C" w:rsidRPr="00781112" w:rsidRDefault="00BC545C" w:rsidP="00BC545C">
      <w:pPr>
        <w:rPr>
          <w:rFonts w:cs="Arial"/>
          <w:color w:val="000000" w:themeColor="text1"/>
          <w:szCs w:val="16"/>
        </w:rPr>
      </w:pPr>
      <w:r w:rsidRPr="00781112">
        <w:rPr>
          <w:rFonts w:cs="Arial"/>
          <w:color w:val="000000" w:themeColor="text1"/>
          <w:szCs w:val="16"/>
        </w:rPr>
        <w:t xml:space="preserve">The Grade 8 math proficiency rate on the alternate assessment declined from 10.82% in FFY 2023 to 7.93% in FFY 2024, a 2.89 percentage point decrease. While the number of students with valid scores increased from 194 to 227, the number of students scoring </w:t>
      </w:r>
      <w:proofErr w:type="gramStart"/>
      <w:r w:rsidRPr="00781112">
        <w:rPr>
          <w:rFonts w:cs="Arial"/>
          <w:color w:val="000000" w:themeColor="text1"/>
          <w:szCs w:val="16"/>
        </w:rPr>
        <w:t>proficient</w:t>
      </w:r>
      <w:proofErr w:type="gramEnd"/>
      <w:r w:rsidRPr="00781112">
        <w:rPr>
          <w:rFonts w:cs="Arial"/>
          <w:color w:val="000000" w:themeColor="text1"/>
          <w:szCs w:val="16"/>
        </w:rPr>
        <w:t xml:space="preserve"> remained relatively stable, moving from 21 to 18. This trend aligns with the statewide shift toward strengthening the validity of eligibility decisions for alternate standards instruction. As a result, the Grade 8 cohort receiving alternate standards instruction is now more accurately comprised of students with the most significant cognitive disabilities. The decline also aligns with the increased content complexity in middle-grade math. </w:t>
      </w:r>
    </w:p>
    <w:p w14:paraId="0832CCE2" w14:textId="77777777" w:rsidR="00445640" w:rsidRPr="00781112" w:rsidRDefault="00445640" w:rsidP="000C3A20">
      <w:pPr>
        <w:rPr>
          <w:color w:val="000000" w:themeColor="text1"/>
        </w:rPr>
      </w:pPr>
    </w:p>
    <w:p w14:paraId="1FEAACAE" w14:textId="77777777" w:rsidR="000A5A2E" w:rsidRPr="00781112" w:rsidRDefault="000A5A2E" w:rsidP="004369B2">
      <w:pPr>
        <w:rPr>
          <w:color w:val="000000" w:themeColor="text1"/>
        </w:rPr>
      </w:pPr>
      <w:r w:rsidRPr="00781112">
        <w:rPr>
          <w:b/>
          <w:color w:val="000000" w:themeColor="text1"/>
        </w:rPr>
        <w:t>Regulatory Information</w:t>
      </w:r>
    </w:p>
    <w:p w14:paraId="08EF59FE" w14:textId="77777777" w:rsidR="000A5A2E" w:rsidRPr="00781112" w:rsidRDefault="00A14B5D" w:rsidP="00286BDF">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p>
    <w:p w14:paraId="615C2363" w14:textId="77777777" w:rsidR="00241BD0" w:rsidRPr="00781112" w:rsidRDefault="00241BD0" w:rsidP="004369B2">
      <w:pPr>
        <w:rPr>
          <w:color w:val="000000" w:themeColor="text1"/>
        </w:rPr>
      </w:pPr>
    </w:p>
    <w:p w14:paraId="26C67D0F" w14:textId="77777777" w:rsidR="000A5A2E" w:rsidRPr="00781112" w:rsidRDefault="000A5A2E" w:rsidP="004369B2">
      <w:pPr>
        <w:rPr>
          <w:color w:val="000000" w:themeColor="text1"/>
        </w:rPr>
      </w:pPr>
      <w:r w:rsidRPr="00781112">
        <w:rPr>
          <w:b/>
          <w:color w:val="000000" w:themeColor="text1"/>
        </w:rPr>
        <w:t>Public Reporting Information</w:t>
      </w:r>
    </w:p>
    <w:p w14:paraId="27B8781A" w14:textId="77777777" w:rsidR="000A5A2E" w:rsidRPr="00781112" w:rsidRDefault="000A5A2E" w:rsidP="000A5A2E">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14:paraId="6AE43424" w14:textId="77777777" w:rsidR="00A869E9" w:rsidRPr="00781112" w:rsidRDefault="00DD3719" w:rsidP="009C613A">
      <w:pPr>
        <w:rPr>
          <w:rFonts w:cs="Arial"/>
          <w:color w:val="000000" w:themeColor="text1"/>
          <w:szCs w:val="16"/>
        </w:rPr>
      </w:pPr>
      <w:r w:rsidRPr="00781112">
        <w:rPr>
          <w:rFonts w:cs="Arial"/>
          <w:color w:val="000000" w:themeColor="text1"/>
          <w:szCs w:val="16"/>
          <w:shd w:val="clear" w:color="auto" w:fill="FFFFFF"/>
        </w:rPr>
        <w:t>West Virginia uses the General Summative Assessment (GSA) to determine grade-level academic achievement standard proficiency in reading and math and the Alternate Summative Assessment (ASA) to determine alternate academic achievement standard proficiency in reading and math.</w:t>
      </w:r>
    </w:p>
    <w:p w14:paraId="4FB139D8" w14:textId="77777777" w:rsidR="00CA787A" w:rsidRDefault="00CA787A"/>
    <w:p w14:paraId="5D04FB8B" w14:textId="77777777" w:rsidR="00CA787A" w:rsidRDefault="003169E9">
      <w:r>
        <w:rPr>
          <w:color w:val="000000"/>
        </w:rPr>
        <w:t>PARTICIPATION AND PERFORMANCE – ALL STUDENTS – REGULAR ASSESSMENTS</w:t>
      </w:r>
    </w:p>
    <w:p w14:paraId="2332E8CD" w14:textId="77777777" w:rsidR="00CA787A" w:rsidRDefault="003169E9">
      <w:r>
        <w:rPr>
          <w:color w:val="000000"/>
        </w:rPr>
        <w:t>— https://zoomwv.k12.wv.us/Dashboard/dashboard/7310</w:t>
      </w:r>
    </w:p>
    <w:p w14:paraId="7319CA20" w14:textId="77777777" w:rsidR="00CA787A" w:rsidRDefault="003169E9">
      <w:r>
        <w:rPr>
          <w:color w:val="000000"/>
        </w:rPr>
        <w:lastRenderedPageBreak/>
        <w:t xml:space="preserve">— From the </w:t>
      </w:r>
      <w:proofErr w:type="spellStart"/>
      <w:r>
        <w:rPr>
          <w:color w:val="000000"/>
        </w:rPr>
        <w:t>ZoomWV</w:t>
      </w:r>
      <w:proofErr w:type="spellEnd"/>
      <w:r>
        <w:rPr>
          <w:color w:val="000000"/>
        </w:rPr>
        <w:t xml:space="preserve"> homepage, use the breadcrumbs: </w:t>
      </w:r>
      <w:proofErr w:type="spellStart"/>
      <w:r>
        <w:rPr>
          <w:color w:val="000000"/>
        </w:rPr>
        <w:t>ZoomWV</w:t>
      </w:r>
      <w:proofErr w:type="spellEnd"/>
      <w:r>
        <w:rPr>
          <w:color w:val="000000"/>
        </w:rPr>
        <w:t xml:space="preserve"> &gt; State Assessment Results &gt; State Assessment Subgroups</w:t>
      </w:r>
    </w:p>
    <w:p w14:paraId="3F6C1CAB" w14:textId="77777777" w:rsidR="00CA787A" w:rsidRDefault="003169E9">
      <w:r>
        <w:rPr>
          <w:color w:val="000000"/>
        </w:rPr>
        <w:t>Make sure the following filters are set:</w:t>
      </w:r>
    </w:p>
    <w:p w14:paraId="3194AD74" w14:textId="77777777" w:rsidR="00CA787A" w:rsidRDefault="003169E9">
      <w:r>
        <w:rPr>
          <w:color w:val="000000"/>
        </w:rPr>
        <w:t>—School Year – 2024-2025</w:t>
      </w:r>
    </w:p>
    <w:p w14:paraId="2FCF131C" w14:textId="77777777" w:rsidR="00CA787A" w:rsidRDefault="003169E9">
      <w:r>
        <w:rPr>
          <w:color w:val="000000"/>
        </w:rPr>
        <w:t>—District/County – All Districts</w:t>
      </w:r>
    </w:p>
    <w:p w14:paraId="361CD617" w14:textId="77777777" w:rsidR="00CA787A" w:rsidRDefault="003169E9">
      <w:r>
        <w:rPr>
          <w:color w:val="000000"/>
        </w:rPr>
        <w:t>—School – All Schools</w:t>
      </w:r>
    </w:p>
    <w:p w14:paraId="0B4DFDAF" w14:textId="77777777" w:rsidR="00CA787A" w:rsidRDefault="003169E9">
      <w:r>
        <w:rPr>
          <w:color w:val="000000"/>
        </w:rPr>
        <w:t>—Grade Level – All grades, or set to check each grade that must be reported separately (i.e., 4, 8, 11)</w:t>
      </w:r>
    </w:p>
    <w:p w14:paraId="4A09E76F" w14:textId="77777777" w:rsidR="00CA787A" w:rsidRDefault="003169E9">
      <w:r>
        <w:rPr>
          <w:color w:val="000000"/>
        </w:rPr>
        <w:t>—Population Group – Status</w:t>
      </w:r>
    </w:p>
    <w:p w14:paraId="79006463" w14:textId="77777777" w:rsidR="00CA787A" w:rsidRDefault="00CA787A"/>
    <w:p w14:paraId="1F182CB8" w14:textId="77777777" w:rsidR="00CA787A" w:rsidRDefault="003169E9">
      <w:r>
        <w:rPr>
          <w:color w:val="000000"/>
        </w:rPr>
        <w:t>PARTICIPATION AND PERFORMANCE – REGULAR AND ALTERNATE ASSESSMENTS</w:t>
      </w:r>
    </w:p>
    <w:p w14:paraId="7D7840F8" w14:textId="77777777" w:rsidR="00CA787A" w:rsidRDefault="003169E9">
      <w:r>
        <w:rPr>
          <w:color w:val="000000"/>
        </w:rPr>
        <w:t>—https://zoomwv.k12.wv.us/Dashboard/dashboard/6161</w:t>
      </w:r>
    </w:p>
    <w:p w14:paraId="096157CB" w14:textId="77777777" w:rsidR="00CA787A" w:rsidRDefault="003169E9">
      <w:r>
        <w:rPr>
          <w:color w:val="000000"/>
        </w:rPr>
        <w:t xml:space="preserve">—From the </w:t>
      </w:r>
      <w:proofErr w:type="spellStart"/>
      <w:r>
        <w:rPr>
          <w:color w:val="000000"/>
        </w:rPr>
        <w:t>ZoomWV</w:t>
      </w:r>
      <w:proofErr w:type="spellEnd"/>
      <w:r>
        <w:rPr>
          <w:color w:val="000000"/>
        </w:rPr>
        <w:t xml:space="preserve"> homepage, use the breadcrumbs: </w:t>
      </w:r>
      <w:proofErr w:type="spellStart"/>
      <w:r>
        <w:rPr>
          <w:color w:val="000000"/>
        </w:rPr>
        <w:t>ZoomWV</w:t>
      </w:r>
      <w:proofErr w:type="spellEnd"/>
      <w:r>
        <w:rPr>
          <w:color w:val="000000"/>
        </w:rPr>
        <w:t xml:space="preserve"> &gt; Special Education &gt; Assessment Participation and Performance</w:t>
      </w:r>
    </w:p>
    <w:p w14:paraId="7671B739" w14:textId="77777777" w:rsidR="00CA787A" w:rsidRDefault="003169E9">
      <w:r>
        <w:rPr>
          <w:color w:val="000000"/>
        </w:rPr>
        <w:t>Make sure the following filters are set:</w:t>
      </w:r>
    </w:p>
    <w:p w14:paraId="038EF38E" w14:textId="77777777" w:rsidR="00CA787A" w:rsidRDefault="003169E9">
      <w:r>
        <w:rPr>
          <w:color w:val="000000"/>
        </w:rPr>
        <w:t>—School Year – 2024-2025</w:t>
      </w:r>
    </w:p>
    <w:p w14:paraId="1E224D27" w14:textId="77777777" w:rsidR="00CA787A" w:rsidRDefault="003169E9">
      <w:r>
        <w:rPr>
          <w:color w:val="000000"/>
        </w:rPr>
        <w:t>—District/County – (999) State Reporting</w:t>
      </w:r>
    </w:p>
    <w:p w14:paraId="24F69E59" w14:textId="77777777" w:rsidR="00CA787A" w:rsidRDefault="003169E9">
      <w:r>
        <w:rPr>
          <w:color w:val="000000"/>
        </w:rPr>
        <w:t>—School – All Schools</w:t>
      </w:r>
    </w:p>
    <w:p w14:paraId="24257342" w14:textId="77777777" w:rsidR="00CA787A" w:rsidRDefault="00CA787A"/>
    <w:p w14:paraId="4BC363EC" w14:textId="77777777" w:rsidR="00CA787A" w:rsidRDefault="003169E9">
      <w:r>
        <w:rPr>
          <w:color w:val="000000"/>
        </w:rPr>
        <w:t>PERFORMANCE BY CLASS/SUBGROUP – ALTERNATE ASSESSMENTS</w:t>
      </w:r>
    </w:p>
    <w:p w14:paraId="21DD3060" w14:textId="77777777" w:rsidR="00CA787A" w:rsidRDefault="003169E9">
      <w:r>
        <w:rPr>
          <w:color w:val="000000"/>
        </w:rPr>
        <w:t>—https://zoomwv.k12.wv.us/Dashboard/dashboard/28307</w:t>
      </w:r>
    </w:p>
    <w:p w14:paraId="3D958BF9" w14:textId="77777777" w:rsidR="00CA787A" w:rsidRDefault="003169E9">
      <w:r>
        <w:rPr>
          <w:color w:val="000000"/>
        </w:rPr>
        <w:t xml:space="preserve">—From the </w:t>
      </w:r>
      <w:proofErr w:type="spellStart"/>
      <w:r>
        <w:rPr>
          <w:color w:val="000000"/>
        </w:rPr>
        <w:t>ZoomWV</w:t>
      </w:r>
      <w:proofErr w:type="spellEnd"/>
      <w:r>
        <w:rPr>
          <w:color w:val="000000"/>
        </w:rPr>
        <w:t xml:space="preserve"> homepage, use the breadcrumbs: </w:t>
      </w:r>
      <w:proofErr w:type="spellStart"/>
      <w:r>
        <w:rPr>
          <w:color w:val="000000"/>
        </w:rPr>
        <w:t>ZoomWV</w:t>
      </w:r>
      <w:proofErr w:type="spellEnd"/>
      <w:r>
        <w:rPr>
          <w:color w:val="000000"/>
        </w:rPr>
        <w:t xml:space="preserve"> &gt; Special Education &gt; Alternate Assessment Results</w:t>
      </w:r>
    </w:p>
    <w:p w14:paraId="2D2792AB" w14:textId="77777777" w:rsidR="00CA787A" w:rsidRDefault="003169E9">
      <w:r>
        <w:rPr>
          <w:color w:val="000000"/>
        </w:rPr>
        <w:t>Data may be filtered by school year.</w:t>
      </w:r>
    </w:p>
    <w:p w14:paraId="62328156" w14:textId="77777777" w:rsidR="00CA787A" w:rsidRDefault="00CA787A"/>
    <w:p w14:paraId="4698AA91" w14:textId="77777777" w:rsidR="00CA787A" w:rsidRDefault="003169E9">
      <w:r>
        <w:rPr>
          <w:color w:val="000000"/>
        </w:rPr>
        <w:t>PARTICIPATION RATES – WITH and WITHOUT ACCOMMODATIONS</w:t>
      </w:r>
    </w:p>
    <w:p w14:paraId="69D44CD9" w14:textId="77777777" w:rsidR="00CA787A" w:rsidRDefault="003169E9">
      <w:r>
        <w:rPr>
          <w:color w:val="000000"/>
        </w:rPr>
        <w:t xml:space="preserve">The participation rates for students with and without accommodations in WV are available on the </w:t>
      </w:r>
      <w:proofErr w:type="spellStart"/>
      <w:r>
        <w:rPr>
          <w:color w:val="000000"/>
        </w:rPr>
        <w:t>ZoomWV</w:t>
      </w:r>
      <w:proofErr w:type="spellEnd"/>
      <w:r>
        <w:rPr>
          <w:color w:val="000000"/>
        </w:rPr>
        <w:t xml:space="preserve"> page by using the following breadcrumbs: </w:t>
      </w:r>
      <w:proofErr w:type="spellStart"/>
      <w:r>
        <w:rPr>
          <w:color w:val="000000"/>
        </w:rPr>
        <w:t>ZoomWV</w:t>
      </w:r>
      <w:proofErr w:type="spellEnd"/>
      <w:r>
        <w:rPr>
          <w:color w:val="000000"/>
        </w:rPr>
        <w:t xml:space="preserve"> &gt; Special Education &gt; Links &gt; IDEA Section 618 Public Reporting 2024-2025</w:t>
      </w:r>
    </w:p>
    <w:p w14:paraId="10950850" w14:textId="77777777" w:rsidR="00CA787A" w:rsidRDefault="003169E9">
      <w:r>
        <w:rPr>
          <w:color w:val="000000"/>
        </w:rPr>
        <w:t>—Participation and proficiency rates of students with IEPs and without IEPs (504 plans) using accommodations and not using accommodations are located in the Assessment section of the IDEA Section 618 Public Reporting 2024-2025 file.</w:t>
      </w:r>
    </w:p>
    <w:p w14:paraId="406C929F" w14:textId="77777777" w:rsidR="00CA787A" w:rsidRDefault="00CA787A"/>
    <w:p w14:paraId="2041A206" w14:textId="77777777" w:rsidR="00CA787A" w:rsidRDefault="003169E9">
      <w:r>
        <w:rPr>
          <w:color w:val="000000"/>
        </w:rPr>
        <w:t>PERFORMANCE BY DISABILITY CATEGORY – REGULAR AND ALTERNATE ASSESSMENTS</w:t>
      </w:r>
    </w:p>
    <w:p w14:paraId="10F185DE" w14:textId="77777777" w:rsidR="00CA787A" w:rsidRDefault="003169E9">
      <w:r>
        <w:rPr>
          <w:color w:val="000000"/>
        </w:rPr>
        <w:t>— https://zoomwv.k12.wv.us/Dashboard/dashboard/28285</w:t>
      </w:r>
    </w:p>
    <w:p w14:paraId="1CA94648" w14:textId="77777777" w:rsidR="00CA787A" w:rsidRDefault="003169E9">
      <w:r>
        <w:rPr>
          <w:color w:val="000000"/>
        </w:rPr>
        <w:t xml:space="preserve">From the </w:t>
      </w:r>
      <w:proofErr w:type="spellStart"/>
      <w:r>
        <w:rPr>
          <w:color w:val="000000"/>
        </w:rPr>
        <w:t>ZoomWV</w:t>
      </w:r>
      <w:proofErr w:type="spellEnd"/>
      <w:r>
        <w:rPr>
          <w:color w:val="000000"/>
        </w:rPr>
        <w:t xml:space="preserve"> homepage, use the breadcrumbs: </w:t>
      </w:r>
      <w:proofErr w:type="spellStart"/>
      <w:r>
        <w:rPr>
          <w:color w:val="000000"/>
        </w:rPr>
        <w:t>ZoomWV</w:t>
      </w:r>
      <w:proofErr w:type="spellEnd"/>
      <w:r>
        <w:rPr>
          <w:color w:val="000000"/>
        </w:rPr>
        <w:t xml:space="preserve"> &gt; Special Education &gt; Assessment Results by Disability Category</w:t>
      </w:r>
    </w:p>
    <w:p w14:paraId="24F9E737" w14:textId="77777777" w:rsidR="00CA787A" w:rsidRDefault="003169E9">
      <w:r>
        <w:rPr>
          <w:color w:val="000000"/>
        </w:rPr>
        <w:t>Data may be filtered by school year and by LEA.</w:t>
      </w:r>
    </w:p>
    <w:p w14:paraId="2227DF28" w14:textId="77777777" w:rsidR="00796DC0" w:rsidRPr="00781112" w:rsidRDefault="00796DC0" w:rsidP="004369B2">
      <w:pPr>
        <w:rPr>
          <w:b/>
          <w:color w:val="000000" w:themeColor="text1"/>
        </w:rPr>
      </w:pPr>
      <w:r w:rsidRPr="00781112">
        <w:rPr>
          <w:b/>
          <w:color w:val="000000" w:themeColor="text1"/>
        </w:rPr>
        <w:t>Provide additional information about this indicator (optional)</w:t>
      </w:r>
    </w:p>
    <w:p w14:paraId="6EA8C184" w14:textId="77777777" w:rsidR="00A869E9" w:rsidRPr="00781112" w:rsidRDefault="00A869E9" w:rsidP="000E33D0">
      <w:pPr>
        <w:rPr>
          <w:rFonts w:cs="Arial"/>
          <w:color w:val="000000" w:themeColor="text1"/>
          <w:szCs w:val="16"/>
        </w:rPr>
      </w:pPr>
    </w:p>
    <w:p w14:paraId="5B14E9CD" w14:textId="77777777" w:rsidR="000A2C83" w:rsidRPr="00781112" w:rsidRDefault="00573F6C" w:rsidP="008645AD">
      <w:pPr>
        <w:pStyle w:val="Heading2"/>
      </w:pPr>
      <w:r w:rsidRPr="00781112">
        <w:t>3C</w:t>
      </w:r>
      <w:r w:rsidR="00BB4FD7" w:rsidRPr="00781112">
        <w:t xml:space="preserve"> </w:t>
      </w:r>
      <w:r w:rsidRPr="00781112">
        <w:t xml:space="preserve">- </w:t>
      </w:r>
      <w:r w:rsidR="000A2C83" w:rsidRPr="00781112">
        <w:t>Prior FFY Required Actions</w:t>
      </w:r>
    </w:p>
    <w:p w14:paraId="4C5A3942" w14:textId="77777777" w:rsidR="000A2C83" w:rsidRPr="00781112" w:rsidRDefault="002B7490" w:rsidP="000A2C83">
      <w:pPr>
        <w:rPr>
          <w:rFonts w:cs="Arial"/>
          <w:color w:val="000000" w:themeColor="text1"/>
          <w:szCs w:val="16"/>
        </w:rPr>
      </w:pPr>
      <w:r w:rsidRPr="00781112">
        <w:rPr>
          <w:rFonts w:cs="Arial"/>
          <w:color w:val="000000" w:themeColor="text1"/>
          <w:szCs w:val="16"/>
        </w:rPr>
        <w:t>None</w:t>
      </w:r>
    </w:p>
    <w:p w14:paraId="3C53865F" w14:textId="77777777" w:rsidR="00247959" w:rsidRPr="00781112" w:rsidRDefault="00247959" w:rsidP="000A2C83">
      <w:pPr>
        <w:rPr>
          <w:rFonts w:cs="Arial"/>
          <w:color w:val="000000" w:themeColor="text1"/>
          <w:szCs w:val="16"/>
        </w:rPr>
      </w:pPr>
    </w:p>
    <w:p w14:paraId="6B56CBD7" w14:textId="77777777" w:rsidR="00796DC0" w:rsidRPr="00781112" w:rsidRDefault="00573F6C" w:rsidP="008645AD">
      <w:pPr>
        <w:pStyle w:val="Heading2"/>
      </w:pPr>
      <w:r w:rsidRPr="00781112">
        <w:t>3C - OSEP Response</w:t>
      </w:r>
    </w:p>
    <w:p w14:paraId="7BD6F56E" w14:textId="77777777" w:rsidR="00A869E9" w:rsidRPr="00781112" w:rsidRDefault="00A869E9" w:rsidP="001F692C">
      <w:pPr>
        <w:rPr>
          <w:rFonts w:cs="Arial"/>
          <w:color w:val="000000" w:themeColor="text1"/>
          <w:szCs w:val="16"/>
          <w:shd w:val="clear" w:color="auto" w:fill="FFFFFF"/>
        </w:rPr>
      </w:pPr>
    </w:p>
    <w:p w14:paraId="009286C2" w14:textId="77777777" w:rsidR="00796DC0" w:rsidRPr="00781112" w:rsidRDefault="00573F6C" w:rsidP="008645AD">
      <w:pPr>
        <w:pStyle w:val="Heading2"/>
      </w:pPr>
      <w:r w:rsidRPr="00781112">
        <w:t>3C - Required Actions</w:t>
      </w:r>
    </w:p>
    <w:p w14:paraId="10487574" w14:textId="77777777" w:rsidR="00A869E9" w:rsidRPr="00781112" w:rsidRDefault="00A869E9" w:rsidP="001F692C">
      <w:pPr>
        <w:rPr>
          <w:rFonts w:cs="Arial"/>
          <w:color w:val="000000" w:themeColor="text1"/>
          <w:szCs w:val="16"/>
          <w:shd w:val="clear" w:color="auto" w:fill="FFFFFF"/>
        </w:rPr>
      </w:pPr>
    </w:p>
    <w:p w14:paraId="46CEA6BA" w14:textId="77777777" w:rsidR="00A63347" w:rsidRPr="00781112" w:rsidRDefault="00A63347">
      <w:pPr>
        <w:spacing w:before="0" w:after="200" w:line="276" w:lineRule="auto"/>
        <w:rPr>
          <w:rFonts w:cs="Arial"/>
          <w:color w:val="000000" w:themeColor="text1"/>
          <w:szCs w:val="16"/>
          <w:shd w:val="clear" w:color="auto" w:fill="FFFFFF"/>
        </w:rPr>
      </w:pPr>
      <w:r w:rsidRPr="00781112">
        <w:rPr>
          <w:rFonts w:cs="Arial"/>
          <w:color w:val="000000" w:themeColor="text1"/>
          <w:szCs w:val="16"/>
          <w:shd w:val="clear" w:color="auto" w:fill="FFFFFF"/>
        </w:rPr>
        <w:br w:type="page"/>
      </w:r>
    </w:p>
    <w:p w14:paraId="00DF0CC5" w14:textId="77777777" w:rsidR="00764DDE" w:rsidRPr="00781112" w:rsidRDefault="00764DDE" w:rsidP="00764DDE">
      <w:pPr>
        <w:pStyle w:val="Heading1"/>
        <w:rPr>
          <w:color w:val="000000" w:themeColor="text1"/>
          <w:sz w:val="22"/>
        </w:rPr>
      </w:pPr>
      <w:r w:rsidRPr="00781112">
        <w:rPr>
          <w:color w:val="000000" w:themeColor="text1"/>
          <w:sz w:val="22"/>
        </w:rPr>
        <w:lastRenderedPageBreak/>
        <w:t>Indicator 3D: Gap in Proficiency Rates For Children with IEPs and All Students Against Grade Level Academic Achievement Standards</w:t>
      </w:r>
    </w:p>
    <w:p w14:paraId="07F99F9C" w14:textId="77777777" w:rsidR="00764DDE" w:rsidRPr="002C274F" w:rsidRDefault="00764DDE" w:rsidP="002C274F">
      <w:pPr>
        <w:rPr>
          <w:b/>
          <w:bCs/>
          <w:sz w:val="20"/>
          <w:szCs w:val="20"/>
        </w:rPr>
      </w:pPr>
      <w:r w:rsidRPr="002C274F">
        <w:rPr>
          <w:b/>
          <w:bCs/>
          <w:sz w:val="20"/>
          <w:szCs w:val="20"/>
        </w:rPr>
        <w:t>Instructions and Measurement</w:t>
      </w:r>
    </w:p>
    <w:p w14:paraId="0E6CE670" w14:textId="77777777" w:rsidR="00764DDE" w:rsidRPr="00781112" w:rsidRDefault="00764DDE" w:rsidP="00764DDE">
      <w:pPr>
        <w:rPr>
          <w:color w:val="000000" w:themeColor="text1"/>
        </w:rPr>
      </w:pPr>
      <w:r w:rsidRPr="00781112">
        <w:rPr>
          <w:b/>
          <w:color w:val="000000" w:themeColor="text1"/>
        </w:rPr>
        <w:t>Monitoring Priority:</w:t>
      </w:r>
      <w:r w:rsidRPr="00781112">
        <w:rPr>
          <w:color w:val="000000" w:themeColor="text1"/>
        </w:rPr>
        <w:t xml:space="preserve"> FAPE in the LRE</w:t>
      </w:r>
    </w:p>
    <w:p w14:paraId="02D10F99" w14:textId="77777777" w:rsidR="00764DDE" w:rsidRPr="00781112" w:rsidRDefault="00764DDE" w:rsidP="00764DDE">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Participation and performance of children with IEPs on statewide assessments:</w:t>
      </w:r>
    </w:p>
    <w:p w14:paraId="2950258E"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A. Participation rate for children with IEPs.</w:t>
      </w:r>
    </w:p>
    <w:p w14:paraId="02BD86EE"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3BEE0C20"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3653F78A"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4E4C3C01" w14:textId="77777777" w:rsidR="00876D2A" w:rsidRPr="00781112" w:rsidRDefault="00876D2A" w:rsidP="00876D2A">
      <w:pPr>
        <w:rPr>
          <w:rFonts w:cs="Arial"/>
          <w:color w:val="000000" w:themeColor="text1"/>
          <w:szCs w:val="16"/>
        </w:rPr>
      </w:pPr>
      <w:r w:rsidRPr="00781112">
        <w:rPr>
          <w:rFonts w:cs="Arial"/>
          <w:color w:val="000000" w:themeColor="text1"/>
          <w:szCs w:val="16"/>
        </w:rPr>
        <w:t>(20 U.S.C. 1416 (a)(3)(A))</w:t>
      </w:r>
    </w:p>
    <w:p w14:paraId="5DA6C828" w14:textId="77777777" w:rsidR="00764DDE" w:rsidRPr="00781112" w:rsidRDefault="00764DDE" w:rsidP="00764DDE">
      <w:pPr>
        <w:rPr>
          <w:color w:val="000000" w:themeColor="text1"/>
        </w:rPr>
      </w:pPr>
      <w:r w:rsidRPr="00781112">
        <w:rPr>
          <w:b/>
          <w:color w:val="000000" w:themeColor="text1"/>
        </w:rPr>
        <w:t>Data Source</w:t>
      </w:r>
    </w:p>
    <w:p w14:paraId="62597F8B" w14:textId="77777777" w:rsidR="00876D2A" w:rsidRPr="00781112" w:rsidRDefault="00876D2A" w:rsidP="00876D2A">
      <w:pPr>
        <w:rPr>
          <w:rFonts w:cs="Arial"/>
          <w:szCs w:val="16"/>
        </w:rPr>
      </w:pPr>
      <w:r w:rsidRPr="00781112">
        <w:rPr>
          <w:rFonts w:cs="Arial"/>
          <w:szCs w:val="16"/>
        </w:rPr>
        <w:t xml:space="preserve">3D. Same data as used for reporting to the Department under Title I of the ESEA, using </w:t>
      </w:r>
      <w:proofErr w:type="spellStart"/>
      <w:r w:rsidRPr="00781112">
        <w:rPr>
          <w:rFonts w:cs="Arial"/>
          <w:szCs w:val="16"/>
        </w:rPr>
        <w:t>ED</w:t>
      </w:r>
      <w:r w:rsidRPr="00BA3DBE">
        <w:rPr>
          <w:rFonts w:cs="Arial"/>
          <w:i/>
          <w:iCs/>
          <w:szCs w:val="16"/>
        </w:rPr>
        <w:t>Facts</w:t>
      </w:r>
      <w:proofErr w:type="spellEnd"/>
      <w:r w:rsidRPr="00781112">
        <w:rPr>
          <w:rFonts w:cs="Arial"/>
          <w:szCs w:val="16"/>
        </w:rPr>
        <w:t xml:space="preserve"> file specifications FS175 and 178.</w:t>
      </w:r>
    </w:p>
    <w:p w14:paraId="1E7EEF9C" w14:textId="77777777" w:rsidR="00764DDE" w:rsidRPr="00781112" w:rsidRDefault="00764DDE" w:rsidP="00764DDE">
      <w:pPr>
        <w:rPr>
          <w:color w:val="000000" w:themeColor="text1"/>
        </w:rPr>
      </w:pPr>
      <w:r w:rsidRPr="00781112">
        <w:rPr>
          <w:b/>
          <w:color w:val="000000" w:themeColor="text1"/>
        </w:rPr>
        <w:t>Measurement</w:t>
      </w:r>
    </w:p>
    <w:p w14:paraId="06BAEDAC" w14:textId="77777777" w:rsidR="00876D2A" w:rsidRPr="00781112" w:rsidRDefault="00876D2A" w:rsidP="00876D2A">
      <w:pPr>
        <w:rPr>
          <w:rFonts w:cs="Arial"/>
          <w:szCs w:val="16"/>
        </w:rPr>
      </w:pPr>
      <w:r w:rsidRPr="00781112">
        <w:rPr>
          <w:rFonts w:cs="Arial"/>
          <w:szCs w:val="16"/>
        </w:rPr>
        <w:t>D. Proficiency rate gap = [(proficiency rate for children with IEPs scoring at or above proficient against grade level academic achievement standards for the 2024-2025 school year) subtracted from the (proficiency rate for all students scoring at or above proficient against grade level academic achievement standards for the 2024-2025 school year)]. Calculate separately for reading and math. Calculate separately for grades 4, 8, and high school. The proficiency rate includes all children enrolled for a full academic year and those not enrolled for a full academic year.</w:t>
      </w:r>
    </w:p>
    <w:p w14:paraId="4C3C833A" w14:textId="77777777" w:rsidR="00764DDE" w:rsidRPr="00781112" w:rsidRDefault="00764DDE" w:rsidP="00764DDE">
      <w:pPr>
        <w:rPr>
          <w:color w:val="000000" w:themeColor="text1"/>
        </w:rPr>
      </w:pPr>
      <w:r w:rsidRPr="00781112">
        <w:rPr>
          <w:b/>
          <w:color w:val="000000" w:themeColor="text1"/>
        </w:rPr>
        <w:t>Instructions</w:t>
      </w:r>
    </w:p>
    <w:p w14:paraId="48831432" w14:textId="77777777" w:rsidR="00876D2A" w:rsidRPr="00781112" w:rsidRDefault="00876D2A" w:rsidP="00876D2A">
      <w:pPr>
        <w:pStyle w:val="Subhed"/>
        <w:rPr>
          <w:b w:val="0"/>
          <w:bCs/>
        </w:rPr>
      </w:pPr>
      <w:r w:rsidRPr="00781112">
        <w:rPr>
          <w:b w:val="0"/>
          <w:bCs/>
        </w:rPr>
        <w:t>Describe the results of the calculations and compare the results to the targets. Provide the actual numbers used in the calculation.</w:t>
      </w:r>
    </w:p>
    <w:p w14:paraId="67AAB0FB" w14:textId="77777777" w:rsidR="00876D2A" w:rsidRPr="00781112" w:rsidRDefault="00876D2A" w:rsidP="00876D2A">
      <w:pPr>
        <w:pStyle w:val="Subhed"/>
        <w:rPr>
          <w:b w:val="0"/>
          <w:bCs/>
        </w:rPr>
      </w:pPr>
      <w:r w:rsidRPr="00781112">
        <w:rPr>
          <w:b w:val="0"/>
          <w:bCs/>
        </w:rPr>
        <w:t xml:space="preserve">Include information regarding where to find public reports of assessment participation and performance results, as required by 34 CFR §300.160(f), </w:t>
      </w:r>
      <w:r w:rsidRPr="00BA3DBE">
        <w:rPr>
          <w:b w:val="0"/>
          <w:bCs/>
          <w:iCs/>
        </w:rPr>
        <w:t>i.e.</w:t>
      </w:r>
      <w:r w:rsidRPr="006F6E8E">
        <w:rPr>
          <w:b w:val="0"/>
          <w:bCs/>
          <w:iCs/>
        </w:rPr>
        <w:t>,</w:t>
      </w:r>
      <w:r w:rsidRPr="00781112">
        <w:rPr>
          <w:b w:val="0"/>
          <w:bCs/>
        </w:rPr>
        <w:t xml:space="preserve"> a link to the Web site where these data are reported.</w:t>
      </w:r>
    </w:p>
    <w:p w14:paraId="1A547FD4" w14:textId="77777777" w:rsidR="00876D2A" w:rsidRPr="00781112" w:rsidRDefault="00876D2A" w:rsidP="00876D2A">
      <w:pPr>
        <w:pStyle w:val="Subhed"/>
      </w:pPr>
      <w:r w:rsidRPr="00781112">
        <w:rPr>
          <w:b w:val="0"/>
          <w:bCs/>
        </w:rPr>
        <w:t>Indicator 3D: Gap calculations in this SPP/APR must result in the proficiency rate for children with IEPs were proficient against grade level academic achievement standards for the 2024-2025 school year compared to the proficiency rate for all students who were proficient against grade level academic achievement standards for the 2024-2025 school year. Calculate separately for reading/language arts and math in each of the following grades: 4, 8, and high school, including both children enrolled for a full academic year and those not enrolled for a full academic year. Only include children with disabilities who had an IEP at the time of testing.</w:t>
      </w:r>
    </w:p>
    <w:p w14:paraId="36B8980C" w14:textId="77777777" w:rsidR="00DD5B7A" w:rsidRPr="00781112" w:rsidRDefault="00764DDE" w:rsidP="00FE4611">
      <w:pPr>
        <w:pStyle w:val="Heading2"/>
      </w:pPr>
      <w:r w:rsidRPr="00781112">
        <w:t>3D - Indicator Data</w:t>
      </w:r>
    </w:p>
    <w:p w14:paraId="62ADC864" w14:textId="77777777" w:rsidR="00DD5B7A" w:rsidRPr="00781112" w:rsidRDefault="00DD5B7A" w:rsidP="00DD5B7A">
      <w:pPr>
        <w:rPr>
          <w:b/>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HISTDATA"/>
      </w:tblPr>
      <w:tblGrid>
        <w:gridCol w:w="1588"/>
        <w:gridCol w:w="1588"/>
        <w:gridCol w:w="2538"/>
        <w:gridCol w:w="2538"/>
        <w:gridCol w:w="2538"/>
      </w:tblGrid>
      <w:tr w:rsidR="00DD5B7A" w:rsidRPr="00781112" w14:paraId="3F3FBE48" w14:textId="77777777" w:rsidTr="009725F4">
        <w:trPr>
          <w:trHeight w:val="368"/>
          <w:tblHeader/>
        </w:trPr>
        <w:tc>
          <w:tcPr>
            <w:tcW w:w="736" w:type="pct"/>
            <w:tcBorders>
              <w:top w:val="single" w:sz="4" w:space="0" w:color="auto"/>
            </w:tcBorders>
            <w:vAlign w:val="center"/>
          </w:tcPr>
          <w:p w14:paraId="3FEDA1D5"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vAlign w:val="center"/>
          </w:tcPr>
          <w:p w14:paraId="1A664BBD"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vAlign w:val="center"/>
          </w:tcPr>
          <w:p w14:paraId="61743F97"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vAlign w:val="center"/>
          </w:tcPr>
          <w:p w14:paraId="43B86AF5"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14EC1073"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Baseline Data</w:t>
            </w:r>
          </w:p>
        </w:tc>
      </w:tr>
      <w:tr w:rsidR="00DD5B7A" w:rsidRPr="00781112" w14:paraId="7B6F2D79" w14:textId="77777777" w:rsidTr="00360DD6">
        <w:trPr>
          <w:trHeight w:val="368"/>
        </w:trPr>
        <w:tc>
          <w:tcPr>
            <w:tcW w:w="736" w:type="pct"/>
            <w:vAlign w:val="center"/>
          </w:tcPr>
          <w:p w14:paraId="0B7393F8"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vAlign w:val="center"/>
          </w:tcPr>
          <w:p w14:paraId="6C005354"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vAlign w:val="center"/>
          </w:tcPr>
          <w:p w14:paraId="6389AD3B" w14:textId="77777777" w:rsidR="00DD5B7A" w:rsidRPr="00781112" w:rsidRDefault="00DD5B7A" w:rsidP="00827FF4">
            <w:pPr>
              <w:jc w:val="center"/>
              <w:rPr>
                <w:rFonts w:cs="Arial"/>
                <w:color w:val="000000" w:themeColor="text1"/>
                <w:szCs w:val="16"/>
              </w:rPr>
            </w:pPr>
            <w:r w:rsidRPr="00781112">
              <w:rPr>
                <w:rFonts w:cs="Arial"/>
                <w:color w:val="000000" w:themeColor="text1"/>
                <w:szCs w:val="16"/>
              </w:rPr>
              <w:t>Grade 4</w:t>
            </w:r>
          </w:p>
        </w:tc>
        <w:tc>
          <w:tcPr>
            <w:tcW w:w="1176" w:type="pct"/>
            <w:vAlign w:val="center"/>
          </w:tcPr>
          <w:p w14:paraId="33C7AA0B" w14:textId="77777777" w:rsidR="00DD5B7A" w:rsidRPr="00781112" w:rsidRDefault="00DD5B7A"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0DD33A45" w14:textId="77777777" w:rsidR="00DD5B7A" w:rsidRPr="00781112" w:rsidRDefault="00DD5B7A" w:rsidP="00827FF4">
            <w:pPr>
              <w:spacing w:before="0" w:after="0"/>
              <w:jc w:val="center"/>
              <w:rPr>
                <w:color w:val="000000" w:themeColor="text1"/>
              </w:rPr>
            </w:pPr>
            <w:r w:rsidRPr="00781112">
              <w:rPr>
                <w:rFonts w:cs="Arial"/>
                <w:color w:val="000000" w:themeColor="text1"/>
                <w:szCs w:val="16"/>
              </w:rPr>
              <w:t>32.44</w:t>
            </w:r>
          </w:p>
        </w:tc>
      </w:tr>
      <w:tr w:rsidR="00DD5B7A" w:rsidRPr="00781112" w14:paraId="44B2C065" w14:textId="77777777" w:rsidTr="00360DD6">
        <w:trPr>
          <w:trHeight w:val="368"/>
        </w:trPr>
        <w:tc>
          <w:tcPr>
            <w:tcW w:w="736" w:type="pct"/>
            <w:vAlign w:val="center"/>
          </w:tcPr>
          <w:p w14:paraId="733074F0"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vAlign w:val="center"/>
          </w:tcPr>
          <w:p w14:paraId="2503104D"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vAlign w:val="center"/>
          </w:tcPr>
          <w:p w14:paraId="01953038"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vAlign w:val="center"/>
          </w:tcPr>
          <w:p w14:paraId="53678A71" w14:textId="77777777" w:rsidR="00DD5B7A" w:rsidRPr="00781112" w:rsidRDefault="00DD5B7A"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4636F070"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36.58</w:t>
            </w:r>
          </w:p>
        </w:tc>
      </w:tr>
      <w:tr w:rsidR="00DD5B7A" w:rsidRPr="00781112" w14:paraId="46DCA20D" w14:textId="77777777" w:rsidTr="00360DD6">
        <w:trPr>
          <w:trHeight w:val="368"/>
        </w:trPr>
        <w:tc>
          <w:tcPr>
            <w:tcW w:w="736" w:type="pct"/>
            <w:vAlign w:val="center"/>
          </w:tcPr>
          <w:p w14:paraId="188BB604"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vAlign w:val="center"/>
          </w:tcPr>
          <w:p w14:paraId="42D26A54"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vAlign w:val="center"/>
          </w:tcPr>
          <w:p w14:paraId="1D45FF2B" w14:textId="77777777" w:rsidR="00DD5B7A" w:rsidRPr="00781112" w:rsidRDefault="00DD5B7A" w:rsidP="00827FF4">
            <w:pPr>
              <w:jc w:val="center"/>
              <w:rPr>
                <w:rFonts w:cs="Arial"/>
                <w:color w:val="000000" w:themeColor="text1"/>
                <w:szCs w:val="16"/>
              </w:rPr>
            </w:pPr>
            <w:r w:rsidRPr="00781112">
              <w:rPr>
                <w:rFonts w:cs="Arial"/>
                <w:color w:val="000000" w:themeColor="text1"/>
                <w:szCs w:val="16"/>
              </w:rPr>
              <w:t>Grade HS</w:t>
            </w:r>
          </w:p>
        </w:tc>
        <w:tc>
          <w:tcPr>
            <w:tcW w:w="1176" w:type="pct"/>
            <w:vAlign w:val="center"/>
          </w:tcPr>
          <w:p w14:paraId="215AE89E" w14:textId="77777777" w:rsidR="00DD5B7A" w:rsidRPr="00781112" w:rsidRDefault="00DD5B7A"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379AC0A1"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42.29</w:t>
            </w:r>
          </w:p>
        </w:tc>
      </w:tr>
      <w:tr w:rsidR="00DD5B7A" w:rsidRPr="00781112" w14:paraId="662653DE" w14:textId="77777777" w:rsidTr="00360DD6">
        <w:trPr>
          <w:trHeight w:val="368"/>
        </w:trPr>
        <w:tc>
          <w:tcPr>
            <w:tcW w:w="736" w:type="pct"/>
            <w:vAlign w:val="center"/>
          </w:tcPr>
          <w:p w14:paraId="1941A417"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vAlign w:val="center"/>
          </w:tcPr>
          <w:p w14:paraId="0640D842"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vAlign w:val="center"/>
          </w:tcPr>
          <w:p w14:paraId="00B4FD8C"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vAlign w:val="center"/>
          </w:tcPr>
          <w:p w14:paraId="3A6FA5B9" w14:textId="77777777" w:rsidR="00DD5B7A" w:rsidRPr="00781112" w:rsidRDefault="00DD5B7A"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68357715"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29.27</w:t>
            </w:r>
          </w:p>
        </w:tc>
      </w:tr>
      <w:tr w:rsidR="00DD5B7A" w:rsidRPr="00781112" w14:paraId="31E2B267" w14:textId="77777777" w:rsidTr="00360DD6">
        <w:trPr>
          <w:trHeight w:val="368"/>
        </w:trPr>
        <w:tc>
          <w:tcPr>
            <w:tcW w:w="736" w:type="pct"/>
            <w:vAlign w:val="center"/>
          </w:tcPr>
          <w:p w14:paraId="676C536C"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vAlign w:val="center"/>
          </w:tcPr>
          <w:p w14:paraId="41C94607"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vAlign w:val="center"/>
          </w:tcPr>
          <w:p w14:paraId="619054AE" w14:textId="77777777" w:rsidR="00DD5B7A" w:rsidRPr="00781112" w:rsidRDefault="00DD5B7A" w:rsidP="00827FF4">
            <w:pPr>
              <w:jc w:val="center"/>
              <w:rPr>
                <w:rFonts w:cs="Arial"/>
                <w:color w:val="000000" w:themeColor="text1"/>
                <w:szCs w:val="16"/>
              </w:rPr>
            </w:pPr>
            <w:r w:rsidRPr="00781112">
              <w:rPr>
                <w:rFonts w:cs="Arial"/>
                <w:color w:val="000000" w:themeColor="text1"/>
                <w:szCs w:val="16"/>
              </w:rPr>
              <w:t>Grade 8</w:t>
            </w:r>
          </w:p>
        </w:tc>
        <w:tc>
          <w:tcPr>
            <w:tcW w:w="1176" w:type="pct"/>
            <w:vAlign w:val="center"/>
          </w:tcPr>
          <w:p w14:paraId="790D84C1" w14:textId="77777777" w:rsidR="00DD5B7A" w:rsidRPr="00781112" w:rsidRDefault="00DD5B7A"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16AACF62"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30.80</w:t>
            </w:r>
          </w:p>
        </w:tc>
      </w:tr>
      <w:tr w:rsidR="00DD5B7A" w:rsidRPr="00781112" w14:paraId="26787E84" w14:textId="77777777" w:rsidTr="00360DD6">
        <w:trPr>
          <w:trHeight w:val="368"/>
        </w:trPr>
        <w:tc>
          <w:tcPr>
            <w:tcW w:w="736" w:type="pct"/>
            <w:vAlign w:val="center"/>
          </w:tcPr>
          <w:p w14:paraId="60E2DE0D"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vAlign w:val="center"/>
          </w:tcPr>
          <w:p w14:paraId="7A6D813F"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vAlign w:val="center"/>
          </w:tcPr>
          <w:p w14:paraId="560436A3"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vAlign w:val="center"/>
          </w:tcPr>
          <w:p w14:paraId="7AB0E2A7" w14:textId="77777777" w:rsidR="00DD5B7A" w:rsidRPr="00781112" w:rsidRDefault="00DD5B7A"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6EF41FE5"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21.24</w:t>
            </w:r>
          </w:p>
        </w:tc>
      </w:tr>
    </w:tbl>
    <w:p w14:paraId="779A5E33" w14:textId="77777777" w:rsidR="00DD5B7A" w:rsidRPr="00781112" w:rsidRDefault="00DD5B7A" w:rsidP="00FE4611">
      <w:pPr>
        <w:spacing w:before="0" w:after="0" w:line="276" w:lineRule="auto"/>
        <w:rPr>
          <w:b/>
          <w:color w:val="000000" w:themeColor="text1"/>
        </w:rPr>
      </w:pPr>
    </w:p>
    <w:p w14:paraId="781CB8F8" w14:textId="77777777" w:rsidR="00DD5B7A" w:rsidRPr="00781112" w:rsidRDefault="00DD5B7A" w:rsidP="00DD5B7A">
      <w:pPr>
        <w:rPr>
          <w:b/>
          <w:color w:val="000000" w:themeColor="text1"/>
        </w:rPr>
      </w:pPr>
      <w:r w:rsidRPr="00781112">
        <w:rPr>
          <w:b/>
          <w:color w:val="000000" w:themeColor="text1"/>
        </w:rPr>
        <w:t>Targets</w:t>
      </w:r>
    </w:p>
    <w:tbl>
      <w:tblPr>
        <w:tblW w:w="25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TARGETS"/>
      </w:tblPr>
      <w:tblGrid>
        <w:gridCol w:w="897"/>
        <w:gridCol w:w="722"/>
        <w:gridCol w:w="1171"/>
        <w:gridCol w:w="1334"/>
        <w:gridCol w:w="1334"/>
      </w:tblGrid>
      <w:tr w:rsidR="00A80E97" w:rsidRPr="00781112" w14:paraId="2FCE865B" w14:textId="77777777" w:rsidTr="00924AD9">
        <w:tc>
          <w:tcPr>
            <w:tcW w:w="822" w:type="pct"/>
            <w:tcBorders>
              <w:bottom w:val="single" w:sz="4" w:space="0" w:color="auto"/>
            </w:tcBorders>
            <w:vAlign w:val="center"/>
          </w:tcPr>
          <w:p w14:paraId="00F0F869" w14:textId="77777777" w:rsidR="00A80E97" w:rsidRPr="00781112" w:rsidRDefault="00A80E97" w:rsidP="00827FF4">
            <w:pPr>
              <w:jc w:val="center"/>
              <w:rPr>
                <w:b/>
                <w:color w:val="000000" w:themeColor="text1"/>
              </w:rPr>
            </w:pPr>
            <w:r w:rsidRPr="00781112">
              <w:rPr>
                <w:b/>
                <w:color w:val="000000" w:themeColor="text1"/>
              </w:rPr>
              <w:t>Subject</w:t>
            </w:r>
          </w:p>
        </w:tc>
        <w:tc>
          <w:tcPr>
            <w:tcW w:w="661" w:type="pct"/>
            <w:tcBorders>
              <w:bottom w:val="single" w:sz="4" w:space="0" w:color="auto"/>
            </w:tcBorders>
            <w:vAlign w:val="center"/>
          </w:tcPr>
          <w:p w14:paraId="3776806E" w14:textId="77777777" w:rsidR="00A80E97" w:rsidRPr="00781112" w:rsidRDefault="00A80E97" w:rsidP="00827FF4">
            <w:pPr>
              <w:jc w:val="center"/>
              <w:rPr>
                <w:b/>
                <w:color w:val="000000" w:themeColor="text1"/>
              </w:rPr>
            </w:pPr>
            <w:r w:rsidRPr="00781112">
              <w:rPr>
                <w:b/>
                <w:color w:val="000000" w:themeColor="text1"/>
              </w:rPr>
              <w:t>Group</w:t>
            </w:r>
          </w:p>
        </w:tc>
        <w:tc>
          <w:tcPr>
            <w:tcW w:w="1073" w:type="pct"/>
            <w:vAlign w:val="center"/>
          </w:tcPr>
          <w:p w14:paraId="5829BCD9" w14:textId="77777777" w:rsidR="00A80E97" w:rsidRPr="00781112" w:rsidDel="008E7B87" w:rsidRDefault="00A80E97" w:rsidP="00827FF4">
            <w:pPr>
              <w:jc w:val="center"/>
              <w:rPr>
                <w:b/>
                <w:color w:val="000000" w:themeColor="text1"/>
              </w:rPr>
            </w:pPr>
            <w:r w:rsidRPr="00781112">
              <w:rPr>
                <w:b/>
                <w:color w:val="000000" w:themeColor="text1"/>
              </w:rPr>
              <w:t>Group Name</w:t>
            </w:r>
          </w:p>
        </w:tc>
        <w:tc>
          <w:tcPr>
            <w:tcW w:w="1222" w:type="pct"/>
            <w:vAlign w:val="center"/>
          </w:tcPr>
          <w:p w14:paraId="543EC1AC" w14:textId="77777777" w:rsidR="00A80E97" w:rsidRPr="00781112" w:rsidRDefault="00A80E97" w:rsidP="00827FF4">
            <w:pPr>
              <w:jc w:val="center"/>
              <w:rPr>
                <w:b/>
                <w:color w:val="000000" w:themeColor="text1"/>
              </w:rPr>
            </w:pPr>
            <w:r w:rsidRPr="00781112">
              <w:rPr>
                <w:b/>
                <w:color w:val="000000" w:themeColor="text1"/>
              </w:rPr>
              <w:t>2024</w:t>
            </w:r>
          </w:p>
        </w:tc>
        <w:tc>
          <w:tcPr>
            <w:tcW w:w="1222" w:type="pct"/>
            <w:vAlign w:val="center"/>
          </w:tcPr>
          <w:p w14:paraId="0698D275" w14:textId="77777777" w:rsidR="00A80E97" w:rsidRPr="00781112" w:rsidRDefault="00A80E97" w:rsidP="00827FF4">
            <w:pPr>
              <w:jc w:val="center"/>
              <w:rPr>
                <w:b/>
                <w:color w:val="000000" w:themeColor="text1"/>
              </w:rPr>
            </w:pPr>
            <w:r w:rsidRPr="00781112">
              <w:rPr>
                <w:rFonts w:cs="Arial"/>
                <w:b/>
                <w:color w:val="000000" w:themeColor="text1"/>
                <w:szCs w:val="16"/>
              </w:rPr>
              <w:t>2025</w:t>
            </w:r>
          </w:p>
        </w:tc>
      </w:tr>
      <w:tr w:rsidR="00A80E97" w:rsidRPr="00781112" w14:paraId="2AA8CE88" w14:textId="77777777" w:rsidTr="00924AD9">
        <w:tc>
          <w:tcPr>
            <w:tcW w:w="822" w:type="pct"/>
            <w:vAlign w:val="center"/>
          </w:tcPr>
          <w:p w14:paraId="21051F36" w14:textId="77777777" w:rsidR="00A80E97" w:rsidRPr="00781112" w:rsidRDefault="00A80E97" w:rsidP="00827FF4">
            <w:pPr>
              <w:spacing w:before="0" w:after="0"/>
              <w:jc w:val="center"/>
              <w:rPr>
                <w:rFonts w:cs="Arial"/>
                <w:color w:val="000000" w:themeColor="text1"/>
                <w:szCs w:val="16"/>
              </w:rPr>
            </w:pPr>
            <w:r w:rsidRPr="00781112">
              <w:rPr>
                <w:rFonts w:cs="Arial"/>
                <w:color w:val="000000" w:themeColor="text1"/>
                <w:szCs w:val="16"/>
              </w:rPr>
              <w:t>Reading</w:t>
            </w:r>
          </w:p>
        </w:tc>
        <w:tc>
          <w:tcPr>
            <w:tcW w:w="661" w:type="pct"/>
            <w:vAlign w:val="center"/>
          </w:tcPr>
          <w:p w14:paraId="5C8B1F66" w14:textId="77777777" w:rsidR="00A80E97" w:rsidRPr="00781112" w:rsidRDefault="00A80E97" w:rsidP="00827FF4">
            <w:pPr>
              <w:spacing w:before="0" w:after="0"/>
              <w:jc w:val="center"/>
              <w:rPr>
                <w:rFonts w:cs="Arial"/>
                <w:color w:val="000000" w:themeColor="text1"/>
                <w:szCs w:val="16"/>
              </w:rPr>
            </w:pPr>
            <w:r w:rsidRPr="00781112">
              <w:rPr>
                <w:rFonts w:cs="Arial"/>
                <w:color w:val="000000" w:themeColor="text1"/>
                <w:szCs w:val="16"/>
              </w:rPr>
              <w:t>A &lt;=</w:t>
            </w:r>
          </w:p>
        </w:tc>
        <w:tc>
          <w:tcPr>
            <w:tcW w:w="1073" w:type="pct"/>
            <w:vAlign w:val="center"/>
          </w:tcPr>
          <w:p w14:paraId="60408284" w14:textId="77777777" w:rsidR="00A80E97" w:rsidRPr="00781112" w:rsidDel="00DB0A73" w:rsidRDefault="00A80E97" w:rsidP="00827FF4">
            <w:pPr>
              <w:jc w:val="center"/>
              <w:rPr>
                <w:rFonts w:cs="Arial"/>
                <w:color w:val="000000" w:themeColor="text1"/>
                <w:szCs w:val="16"/>
              </w:rPr>
            </w:pPr>
            <w:r w:rsidRPr="00781112">
              <w:rPr>
                <w:rFonts w:cs="Arial"/>
                <w:color w:val="000000" w:themeColor="text1"/>
                <w:szCs w:val="16"/>
              </w:rPr>
              <w:t>Grade 4</w:t>
            </w:r>
          </w:p>
        </w:tc>
        <w:tc>
          <w:tcPr>
            <w:tcW w:w="1222" w:type="pct"/>
            <w:vAlign w:val="center"/>
          </w:tcPr>
          <w:p w14:paraId="25DBE276" w14:textId="77777777" w:rsidR="00A80E97" w:rsidRPr="00781112" w:rsidRDefault="00A80E97" w:rsidP="00827FF4">
            <w:pPr>
              <w:jc w:val="center"/>
              <w:rPr>
                <w:rFonts w:cs="Arial"/>
                <w:color w:val="000000" w:themeColor="text1"/>
                <w:szCs w:val="16"/>
              </w:rPr>
            </w:pPr>
            <w:r w:rsidRPr="00781112">
              <w:rPr>
                <w:rFonts w:cs="Arial"/>
                <w:color w:val="000000" w:themeColor="text1"/>
                <w:szCs w:val="16"/>
              </w:rPr>
              <w:t>28.00</w:t>
            </w:r>
          </w:p>
        </w:tc>
        <w:tc>
          <w:tcPr>
            <w:tcW w:w="1222" w:type="pct"/>
            <w:vAlign w:val="center"/>
          </w:tcPr>
          <w:p w14:paraId="7F8BA0E8" w14:textId="77777777" w:rsidR="00A80E97" w:rsidRPr="00781112" w:rsidRDefault="00A80E97" w:rsidP="00827FF4">
            <w:pPr>
              <w:jc w:val="center"/>
              <w:rPr>
                <w:rFonts w:cs="Arial"/>
                <w:color w:val="000000" w:themeColor="text1"/>
                <w:szCs w:val="16"/>
              </w:rPr>
            </w:pPr>
            <w:r w:rsidRPr="00781112">
              <w:rPr>
                <w:rFonts w:cs="Arial"/>
                <w:color w:val="000000" w:themeColor="text1"/>
                <w:szCs w:val="16"/>
              </w:rPr>
              <w:t>27.50</w:t>
            </w:r>
          </w:p>
        </w:tc>
      </w:tr>
      <w:tr w:rsidR="00A80E97" w:rsidRPr="00781112" w14:paraId="466EB0E9" w14:textId="77777777" w:rsidTr="00924AD9">
        <w:tc>
          <w:tcPr>
            <w:tcW w:w="822" w:type="pct"/>
            <w:vAlign w:val="center"/>
          </w:tcPr>
          <w:p w14:paraId="290800C3" w14:textId="77777777" w:rsidR="00A80E97" w:rsidRPr="00781112" w:rsidRDefault="00A80E97" w:rsidP="00827FF4">
            <w:pPr>
              <w:spacing w:before="0" w:after="0"/>
              <w:jc w:val="center"/>
              <w:rPr>
                <w:rFonts w:cs="Arial"/>
                <w:color w:val="000000" w:themeColor="text1"/>
                <w:szCs w:val="16"/>
              </w:rPr>
            </w:pPr>
            <w:r w:rsidRPr="00781112">
              <w:rPr>
                <w:rFonts w:cs="Arial"/>
                <w:color w:val="000000" w:themeColor="text1"/>
                <w:szCs w:val="16"/>
              </w:rPr>
              <w:t>Reading</w:t>
            </w:r>
          </w:p>
        </w:tc>
        <w:tc>
          <w:tcPr>
            <w:tcW w:w="661" w:type="pct"/>
            <w:vAlign w:val="center"/>
          </w:tcPr>
          <w:p w14:paraId="33120C03" w14:textId="77777777" w:rsidR="00A80E97" w:rsidRPr="00781112" w:rsidRDefault="00A80E97" w:rsidP="00827FF4">
            <w:pPr>
              <w:spacing w:before="0" w:after="0"/>
              <w:jc w:val="center"/>
              <w:rPr>
                <w:rFonts w:cs="Arial"/>
                <w:color w:val="000000" w:themeColor="text1"/>
                <w:szCs w:val="16"/>
              </w:rPr>
            </w:pPr>
            <w:r w:rsidRPr="00781112">
              <w:rPr>
                <w:rFonts w:cs="Arial"/>
                <w:color w:val="000000" w:themeColor="text1"/>
                <w:szCs w:val="16"/>
              </w:rPr>
              <w:t>B &lt;=</w:t>
            </w:r>
          </w:p>
        </w:tc>
        <w:tc>
          <w:tcPr>
            <w:tcW w:w="1073" w:type="pct"/>
            <w:vAlign w:val="center"/>
          </w:tcPr>
          <w:p w14:paraId="56639A64" w14:textId="77777777" w:rsidR="00A80E97" w:rsidRPr="00781112" w:rsidDel="00DB0A73" w:rsidRDefault="00A80E97" w:rsidP="00827FF4">
            <w:pPr>
              <w:jc w:val="center"/>
              <w:rPr>
                <w:rFonts w:cs="Arial"/>
                <w:color w:val="000000" w:themeColor="text1"/>
                <w:szCs w:val="16"/>
              </w:rPr>
            </w:pPr>
            <w:r w:rsidRPr="00781112">
              <w:rPr>
                <w:rFonts w:cs="Arial"/>
                <w:color w:val="000000" w:themeColor="text1"/>
                <w:szCs w:val="16"/>
              </w:rPr>
              <w:t>Grade 8</w:t>
            </w:r>
          </w:p>
        </w:tc>
        <w:tc>
          <w:tcPr>
            <w:tcW w:w="1222" w:type="pct"/>
            <w:vAlign w:val="center"/>
          </w:tcPr>
          <w:p w14:paraId="4626DD39" w14:textId="77777777" w:rsidR="00A80E97" w:rsidRPr="00781112" w:rsidRDefault="00A80E97" w:rsidP="00827FF4">
            <w:pPr>
              <w:jc w:val="center"/>
              <w:rPr>
                <w:rFonts w:cs="Arial"/>
                <w:color w:val="000000" w:themeColor="text1"/>
                <w:szCs w:val="16"/>
              </w:rPr>
            </w:pPr>
            <w:r w:rsidRPr="00781112">
              <w:rPr>
                <w:rFonts w:cs="Arial"/>
                <w:color w:val="000000" w:themeColor="text1"/>
                <w:szCs w:val="16"/>
              </w:rPr>
              <w:t>34.00</w:t>
            </w:r>
          </w:p>
        </w:tc>
        <w:tc>
          <w:tcPr>
            <w:tcW w:w="1222" w:type="pct"/>
            <w:vAlign w:val="center"/>
          </w:tcPr>
          <w:p w14:paraId="5C01A6F3" w14:textId="77777777" w:rsidR="00A80E97" w:rsidRPr="00781112" w:rsidRDefault="00A80E97" w:rsidP="00827FF4">
            <w:pPr>
              <w:jc w:val="center"/>
              <w:rPr>
                <w:rFonts w:cs="Arial"/>
                <w:color w:val="000000" w:themeColor="text1"/>
                <w:szCs w:val="16"/>
              </w:rPr>
            </w:pPr>
            <w:r w:rsidRPr="00781112">
              <w:rPr>
                <w:rFonts w:cs="Arial"/>
                <w:color w:val="000000" w:themeColor="text1"/>
                <w:szCs w:val="16"/>
              </w:rPr>
              <w:t>33.50</w:t>
            </w:r>
          </w:p>
        </w:tc>
      </w:tr>
      <w:tr w:rsidR="00A80E97" w:rsidRPr="00781112" w14:paraId="4F3E2CA8" w14:textId="77777777" w:rsidTr="00924AD9">
        <w:tc>
          <w:tcPr>
            <w:tcW w:w="822" w:type="pct"/>
            <w:vAlign w:val="center"/>
          </w:tcPr>
          <w:p w14:paraId="1F85C56B" w14:textId="77777777" w:rsidR="00A80E97" w:rsidRPr="00781112" w:rsidRDefault="00A80E97" w:rsidP="00827FF4">
            <w:pPr>
              <w:spacing w:before="0" w:after="0"/>
              <w:jc w:val="center"/>
              <w:rPr>
                <w:rFonts w:cs="Arial"/>
                <w:color w:val="000000" w:themeColor="text1"/>
                <w:szCs w:val="16"/>
              </w:rPr>
            </w:pPr>
            <w:r w:rsidRPr="00781112">
              <w:rPr>
                <w:rFonts w:cs="Arial"/>
                <w:color w:val="000000" w:themeColor="text1"/>
                <w:szCs w:val="16"/>
              </w:rPr>
              <w:t>Reading</w:t>
            </w:r>
          </w:p>
        </w:tc>
        <w:tc>
          <w:tcPr>
            <w:tcW w:w="661" w:type="pct"/>
            <w:vAlign w:val="center"/>
          </w:tcPr>
          <w:p w14:paraId="69F36D7D" w14:textId="77777777" w:rsidR="00A80E97" w:rsidRPr="00781112" w:rsidRDefault="00A80E97" w:rsidP="00827FF4">
            <w:pPr>
              <w:spacing w:before="0" w:after="0"/>
              <w:jc w:val="center"/>
              <w:rPr>
                <w:rFonts w:cs="Arial"/>
                <w:color w:val="000000" w:themeColor="text1"/>
                <w:szCs w:val="16"/>
              </w:rPr>
            </w:pPr>
            <w:r w:rsidRPr="00781112">
              <w:rPr>
                <w:rFonts w:cs="Arial"/>
                <w:color w:val="000000" w:themeColor="text1"/>
                <w:szCs w:val="16"/>
              </w:rPr>
              <w:t>C &lt;=</w:t>
            </w:r>
          </w:p>
        </w:tc>
        <w:tc>
          <w:tcPr>
            <w:tcW w:w="1073" w:type="pct"/>
            <w:vAlign w:val="center"/>
          </w:tcPr>
          <w:p w14:paraId="3ABC4986" w14:textId="77777777" w:rsidR="00A80E97" w:rsidRPr="00781112" w:rsidDel="00DB0A73" w:rsidRDefault="00A80E97" w:rsidP="00827FF4">
            <w:pPr>
              <w:jc w:val="center"/>
              <w:rPr>
                <w:rFonts w:cs="Arial"/>
                <w:color w:val="000000" w:themeColor="text1"/>
                <w:szCs w:val="16"/>
              </w:rPr>
            </w:pPr>
            <w:r w:rsidRPr="00781112">
              <w:rPr>
                <w:rFonts w:cs="Arial"/>
                <w:color w:val="000000" w:themeColor="text1"/>
                <w:szCs w:val="16"/>
              </w:rPr>
              <w:t>Grade HS</w:t>
            </w:r>
          </w:p>
        </w:tc>
        <w:tc>
          <w:tcPr>
            <w:tcW w:w="1222" w:type="pct"/>
            <w:vAlign w:val="center"/>
          </w:tcPr>
          <w:p w14:paraId="645D6FD8" w14:textId="77777777" w:rsidR="00A80E97" w:rsidRPr="00781112" w:rsidRDefault="00A80E97" w:rsidP="00827FF4">
            <w:pPr>
              <w:jc w:val="center"/>
              <w:rPr>
                <w:rFonts w:cs="Arial"/>
                <w:color w:val="000000" w:themeColor="text1"/>
                <w:szCs w:val="16"/>
              </w:rPr>
            </w:pPr>
            <w:r w:rsidRPr="00781112">
              <w:rPr>
                <w:rFonts w:cs="Arial"/>
                <w:color w:val="000000" w:themeColor="text1"/>
                <w:szCs w:val="16"/>
              </w:rPr>
              <w:t>39.50</w:t>
            </w:r>
          </w:p>
        </w:tc>
        <w:tc>
          <w:tcPr>
            <w:tcW w:w="1222" w:type="pct"/>
            <w:vAlign w:val="center"/>
          </w:tcPr>
          <w:p w14:paraId="6F98AD53" w14:textId="77777777" w:rsidR="00A80E97" w:rsidRPr="00781112" w:rsidRDefault="00A80E97" w:rsidP="00827FF4">
            <w:pPr>
              <w:jc w:val="center"/>
              <w:rPr>
                <w:rFonts w:cs="Arial"/>
                <w:color w:val="000000" w:themeColor="text1"/>
                <w:szCs w:val="16"/>
              </w:rPr>
            </w:pPr>
            <w:r w:rsidRPr="00781112">
              <w:rPr>
                <w:rFonts w:cs="Arial"/>
                <w:color w:val="000000" w:themeColor="text1"/>
                <w:szCs w:val="16"/>
              </w:rPr>
              <w:t>39.00</w:t>
            </w:r>
          </w:p>
        </w:tc>
      </w:tr>
      <w:tr w:rsidR="00A80E97" w:rsidRPr="00781112" w14:paraId="00BDA6FB" w14:textId="77777777" w:rsidTr="00924AD9">
        <w:tc>
          <w:tcPr>
            <w:tcW w:w="822" w:type="pct"/>
            <w:vAlign w:val="center"/>
          </w:tcPr>
          <w:p w14:paraId="1F440B44" w14:textId="77777777" w:rsidR="00A80E97" w:rsidRPr="00781112" w:rsidRDefault="00A80E97" w:rsidP="00827FF4">
            <w:pPr>
              <w:spacing w:before="0" w:after="0"/>
              <w:jc w:val="center"/>
              <w:rPr>
                <w:rFonts w:cs="Arial"/>
                <w:color w:val="000000" w:themeColor="text1"/>
                <w:szCs w:val="16"/>
              </w:rPr>
            </w:pPr>
            <w:r w:rsidRPr="00781112">
              <w:rPr>
                <w:rFonts w:cs="Arial"/>
                <w:color w:val="000000" w:themeColor="text1"/>
                <w:szCs w:val="16"/>
              </w:rPr>
              <w:t>Math</w:t>
            </w:r>
          </w:p>
        </w:tc>
        <w:tc>
          <w:tcPr>
            <w:tcW w:w="661" w:type="pct"/>
            <w:vAlign w:val="center"/>
          </w:tcPr>
          <w:p w14:paraId="1070E834" w14:textId="77777777" w:rsidR="00A80E97" w:rsidRPr="00781112" w:rsidRDefault="00A80E97" w:rsidP="00827FF4">
            <w:pPr>
              <w:spacing w:before="0" w:after="0"/>
              <w:jc w:val="center"/>
              <w:rPr>
                <w:rFonts w:cs="Arial"/>
                <w:color w:val="000000" w:themeColor="text1"/>
                <w:szCs w:val="16"/>
              </w:rPr>
            </w:pPr>
            <w:r w:rsidRPr="00781112">
              <w:rPr>
                <w:rFonts w:cs="Arial"/>
                <w:color w:val="000000" w:themeColor="text1"/>
                <w:szCs w:val="16"/>
              </w:rPr>
              <w:t>A &lt;=</w:t>
            </w:r>
          </w:p>
        </w:tc>
        <w:tc>
          <w:tcPr>
            <w:tcW w:w="1073" w:type="pct"/>
            <w:vAlign w:val="center"/>
          </w:tcPr>
          <w:p w14:paraId="5688C4B8" w14:textId="77777777" w:rsidR="00A80E97" w:rsidRPr="00781112" w:rsidDel="00DB0A73" w:rsidRDefault="00A80E97" w:rsidP="00827FF4">
            <w:pPr>
              <w:jc w:val="center"/>
              <w:rPr>
                <w:rFonts w:cs="Arial"/>
                <w:color w:val="000000" w:themeColor="text1"/>
                <w:szCs w:val="16"/>
              </w:rPr>
            </w:pPr>
            <w:r w:rsidRPr="00781112">
              <w:rPr>
                <w:rFonts w:cs="Arial"/>
                <w:color w:val="000000" w:themeColor="text1"/>
                <w:szCs w:val="16"/>
              </w:rPr>
              <w:t>Grade 4</w:t>
            </w:r>
          </w:p>
        </w:tc>
        <w:tc>
          <w:tcPr>
            <w:tcW w:w="1222" w:type="pct"/>
            <w:vAlign w:val="center"/>
          </w:tcPr>
          <w:p w14:paraId="57EF98AA" w14:textId="77777777" w:rsidR="00A80E97" w:rsidRPr="00781112" w:rsidRDefault="00A80E97" w:rsidP="00827FF4">
            <w:pPr>
              <w:jc w:val="center"/>
              <w:rPr>
                <w:rFonts w:cs="Arial"/>
                <w:color w:val="000000" w:themeColor="text1"/>
                <w:szCs w:val="16"/>
              </w:rPr>
            </w:pPr>
            <w:r w:rsidRPr="00781112">
              <w:rPr>
                <w:rFonts w:cs="Arial"/>
                <w:color w:val="000000" w:themeColor="text1"/>
                <w:szCs w:val="16"/>
              </w:rPr>
              <w:t>26.00</w:t>
            </w:r>
          </w:p>
        </w:tc>
        <w:tc>
          <w:tcPr>
            <w:tcW w:w="1222" w:type="pct"/>
            <w:vAlign w:val="center"/>
          </w:tcPr>
          <w:p w14:paraId="1DC09916" w14:textId="77777777" w:rsidR="00A80E97" w:rsidRPr="00781112" w:rsidRDefault="00A80E97" w:rsidP="00827FF4">
            <w:pPr>
              <w:jc w:val="center"/>
              <w:rPr>
                <w:rFonts w:cs="Arial"/>
                <w:color w:val="000000" w:themeColor="text1"/>
                <w:szCs w:val="16"/>
              </w:rPr>
            </w:pPr>
            <w:r w:rsidRPr="00781112">
              <w:rPr>
                <w:rFonts w:cs="Arial"/>
                <w:color w:val="000000" w:themeColor="text1"/>
                <w:szCs w:val="16"/>
              </w:rPr>
              <w:t>25.50</w:t>
            </w:r>
          </w:p>
        </w:tc>
      </w:tr>
      <w:tr w:rsidR="00A80E97" w:rsidRPr="00781112" w14:paraId="3BBABA43" w14:textId="77777777" w:rsidTr="00924AD9">
        <w:tc>
          <w:tcPr>
            <w:tcW w:w="822" w:type="pct"/>
            <w:vAlign w:val="center"/>
          </w:tcPr>
          <w:p w14:paraId="06BB9153" w14:textId="77777777" w:rsidR="00A80E97" w:rsidRPr="00781112" w:rsidRDefault="00A80E97" w:rsidP="00827FF4">
            <w:pPr>
              <w:spacing w:before="0" w:after="0"/>
              <w:jc w:val="center"/>
              <w:rPr>
                <w:rFonts w:cs="Arial"/>
                <w:color w:val="000000" w:themeColor="text1"/>
                <w:szCs w:val="16"/>
              </w:rPr>
            </w:pPr>
            <w:r w:rsidRPr="00781112">
              <w:rPr>
                <w:rFonts w:cs="Arial"/>
                <w:color w:val="000000" w:themeColor="text1"/>
                <w:szCs w:val="16"/>
              </w:rPr>
              <w:t>Math</w:t>
            </w:r>
          </w:p>
        </w:tc>
        <w:tc>
          <w:tcPr>
            <w:tcW w:w="661" w:type="pct"/>
            <w:vAlign w:val="center"/>
          </w:tcPr>
          <w:p w14:paraId="64C2E216" w14:textId="77777777" w:rsidR="00A80E97" w:rsidRPr="00781112" w:rsidRDefault="00A80E97" w:rsidP="00827FF4">
            <w:pPr>
              <w:spacing w:before="0" w:after="0"/>
              <w:jc w:val="center"/>
              <w:rPr>
                <w:rFonts w:cs="Arial"/>
                <w:color w:val="000000" w:themeColor="text1"/>
                <w:szCs w:val="16"/>
              </w:rPr>
            </w:pPr>
            <w:r w:rsidRPr="00781112">
              <w:rPr>
                <w:rFonts w:cs="Arial"/>
                <w:color w:val="000000" w:themeColor="text1"/>
                <w:szCs w:val="16"/>
              </w:rPr>
              <w:t>B &lt;=</w:t>
            </w:r>
          </w:p>
        </w:tc>
        <w:tc>
          <w:tcPr>
            <w:tcW w:w="1073" w:type="pct"/>
            <w:vAlign w:val="center"/>
          </w:tcPr>
          <w:p w14:paraId="23684F88" w14:textId="77777777" w:rsidR="00A80E97" w:rsidRPr="00781112" w:rsidDel="00DB0A73" w:rsidRDefault="00A80E97" w:rsidP="00827FF4">
            <w:pPr>
              <w:jc w:val="center"/>
              <w:rPr>
                <w:rFonts w:cs="Arial"/>
                <w:color w:val="000000" w:themeColor="text1"/>
                <w:szCs w:val="16"/>
              </w:rPr>
            </w:pPr>
            <w:r w:rsidRPr="00781112">
              <w:rPr>
                <w:rFonts w:cs="Arial"/>
                <w:color w:val="000000" w:themeColor="text1"/>
                <w:szCs w:val="16"/>
              </w:rPr>
              <w:t>Grade 8</w:t>
            </w:r>
          </w:p>
        </w:tc>
        <w:tc>
          <w:tcPr>
            <w:tcW w:w="1222" w:type="pct"/>
            <w:vAlign w:val="center"/>
          </w:tcPr>
          <w:p w14:paraId="73BFD4FE" w14:textId="77777777" w:rsidR="00A80E97" w:rsidRPr="00781112" w:rsidRDefault="00A80E97" w:rsidP="00827FF4">
            <w:pPr>
              <w:jc w:val="center"/>
              <w:rPr>
                <w:rFonts w:cs="Arial"/>
                <w:color w:val="000000" w:themeColor="text1"/>
                <w:szCs w:val="16"/>
              </w:rPr>
            </w:pPr>
            <w:r w:rsidRPr="00781112">
              <w:rPr>
                <w:rFonts w:cs="Arial"/>
                <w:color w:val="000000" w:themeColor="text1"/>
                <w:szCs w:val="16"/>
              </w:rPr>
              <w:t>27.00</w:t>
            </w:r>
          </w:p>
        </w:tc>
        <w:tc>
          <w:tcPr>
            <w:tcW w:w="1222" w:type="pct"/>
            <w:vAlign w:val="center"/>
          </w:tcPr>
          <w:p w14:paraId="215B0425" w14:textId="77777777" w:rsidR="00A80E97" w:rsidRPr="00781112" w:rsidRDefault="00A80E97" w:rsidP="00827FF4">
            <w:pPr>
              <w:jc w:val="center"/>
              <w:rPr>
                <w:rFonts w:cs="Arial"/>
                <w:color w:val="000000" w:themeColor="text1"/>
                <w:szCs w:val="16"/>
              </w:rPr>
            </w:pPr>
            <w:r w:rsidRPr="00781112">
              <w:rPr>
                <w:rFonts w:cs="Arial"/>
                <w:color w:val="000000" w:themeColor="text1"/>
                <w:szCs w:val="16"/>
              </w:rPr>
              <w:t>26.50</w:t>
            </w:r>
          </w:p>
        </w:tc>
      </w:tr>
      <w:tr w:rsidR="00A80E97" w:rsidRPr="00781112" w14:paraId="08760056" w14:textId="77777777" w:rsidTr="00924AD9">
        <w:tc>
          <w:tcPr>
            <w:tcW w:w="822" w:type="pct"/>
            <w:vAlign w:val="center"/>
          </w:tcPr>
          <w:p w14:paraId="0588665F" w14:textId="77777777" w:rsidR="00A80E97" w:rsidRPr="00781112" w:rsidRDefault="00A80E97" w:rsidP="00827FF4">
            <w:pPr>
              <w:spacing w:before="0" w:after="0"/>
              <w:jc w:val="center"/>
              <w:rPr>
                <w:rFonts w:cs="Arial"/>
                <w:color w:val="000000" w:themeColor="text1"/>
                <w:szCs w:val="16"/>
              </w:rPr>
            </w:pPr>
            <w:r w:rsidRPr="00781112">
              <w:rPr>
                <w:rFonts w:cs="Arial"/>
                <w:color w:val="000000" w:themeColor="text1"/>
                <w:szCs w:val="16"/>
              </w:rPr>
              <w:t>Math</w:t>
            </w:r>
          </w:p>
        </w:tc>
        <w:tc>
          <w:tcPr>
            <w:tcW w:w="661" w:type="pct"/>
            <w:vAlign w:val="center"/>
          </w:tcPr>
          <w:p w14:paraId="5CCC0FAB" w14:textId="77777777" w:rsidR="00A80E97" w:rsidRPr="00781112" w:rsidRDefault="00A80E97" w:rsidP="00827FF4">
            <w:pPr>
              <w:spacing w:before="0" w:after="0"/>
              <w:jc w:val="center"/>
              <w:rPr>
                <w:rFonts w:cs="Arial"/>
                <w:color w:val="000000" w:themeColor="text1"/>
                <w:szCs w:val="16"/>
              </w:rPr>
            </w:pPr>
            <w:r w:rsidRPr="00781112">
              <w:rPr>
                <w:rFonts w:cs="Arial"/>
                <w:color w:val="000000" w:themeColor="text1"/>
                <w:szCs w:val="16"/>
              </w:rPr>
              <w:t>C &lt;=</w:t>
            </w:r>
          </w:p>
        </w:tc>
        <w:tc>
          <w:tcPr>
            <w:tcW w:w="1073" w:type="pct"/>
            <w:vAlign w:val="center"/>
          </w:tcPr>
          <w:p w14:paraId="1B820610" w14:textId="77777777" w:rsidR="00A80E97" w:rsidRPr="00781112" w:rsidDel="00DB0A73" w:rsidRDefault="00A80E97" w:rsidP="00827FF4">
            <w:pPr>
              <w:jc w:val="center"/>
              <w:rPr>
                <w:rFonts w:cs="Arial"/>
                <w:color w:val="000000" w:themeColor="text1"/>
                <w:szCs w:val="16"/>
              </w:rPr>
            </w:pPr>
            <w:r w:rsidRPr="00781112">
              <w:rPr>
                <w:rFonts w:cs="Arial"/>
                <w:color w:val="000000" w:themeColor="text1"/>
                <w:szCs w:val="16"/>
              </w:rPr>
              <w:t>Grade HS</w:t>
            </w:r>
          </w:p>
        </w:tc>
        <w:tc>
          <w:tcPr>
            <w:tcW w:w="1222" w:type="pct"/>
            <w:vAlign w:val="center"/>
          </w:tcPr>
          <w:p w14:paraId="662F5FB6" w14:textId="77777777" w:rsidR="00A80E97" w:rsidRPr="00781112" w:rsidRDefault="00A80E97" w:rsidP="00827FF4">
            <w:pPr>
              <w:jc w:val="center"/>
              <w:rPr>
                <w:rFonts w:cs="Arial"/>
                <w:color w:val="000000" w:themeColor="text1"/>
                <w:szCs w:val="16"/>
              </w:rPr>
            </w:pPr>
            <w:r w:rsidRPr="00781112">
              <w:rPr>
                <w:rFonts w:cs="Arial"/>
                <w:color w:val="000000" w:themeColor="text1"/>
                <w:szCs w:val="16"/>
              </w:rPr>
              <w:t>19.00</w:t>
            </w:r>
          </w:p>
        </w:tc>
        <w:tc>
          <w:tcPr>
            <w:tcW w:w="1222" w:type="pct"/>
            <w:vAlign w:val="center"/>
          </w:tcPr>
          <w:p w14:paraId="4277C965" w14:textId="77777777" w:rsidR="00A80E97" w:rsidRPr="00781112" w:rsidRDefault="00A80E97" w:rsidP="00827FF4">
            <w:pPr>
              <w:jc w:val="center"/>
              <w:rPr>
                <w:rFonts w:cs="Arial"/>
                <w:color w:val="000000" w:themeColor="text1"/>
                <w:szCs w:val="16"/>
              </w:rPr>
            </w:pPr>
            <w:r w:rsidRPr="00781112">
              <w:rPr>
                <w:rFonts w:cs="Arial"/>
                <w:color w:val="000000" w:themeColor="text1"/>
                <w:szCs w:val="16"/>
              </w:rPr>
              <w:t>18.50</w:t>
            </w:r>
          </w:p>
        </w:tc>
      </w:tr>
    </w:tbl>
    <w:p w14:paraId="31F79226" w14:textId="77777777" w:rsidR="00DD5B7A" w:rsidRPr="00781112" w:rsidRDefault="00DD5B7A" w:rsidP="00DD5B7A">
      <w:pPr>
        <w:rPr>
          <w:b/>
          <w:color w:val="000000" w:themeColor="text1"/>
        </w:rPr>
      </w:pPr>
    </w:p>
    <w:p w14:paraId="01AE8A69" w14:textId="77777777" w:rsidR="00DD5B7A" w:rsidRPr="00781112" w:rsidRDefault="00DD5B7A" w:rsidP="00DD5B7A">
      <w:pPr>
        <w:rPr>
          <w:b/>
          <w:color w:val="000000" w:themeColor="text1"/>
        </w:rPr>
      </w:pPr>
      <w:r w:rsidRPr="00781112">
        <w:rPr>
          <w:b/>
          <w:color w:val="000000" w:themeColor="text1"/>
        </w:rPr>
        <w:t xml:space="preserve">Targets: Description of Stakeholder Input </w:t>
      </w:r>
    </w:p>
    <w:p w14:paraId="20008004" w14:textId="77777777" w:rsidR="00DD5B7A" w:rsidRPr="00781112" w:rsidRDefault="00DD5B7A" w:rsidP="00DD5B7A">
      <w:pPr>
        <w:rPr>
          <w:rFonts w:cs="Arial"/>
          <w:color w:val="000000" w:themeColor="text1"/>
          <w:szCs w:val="16"/>
        </w:rPr>
      </w:pPr>
      <w:r w:rsidRPr="00781112">
        <w:rPr>
          <w:rFonts w:cs="Arial"/>
          <w:color w:val="000000" w:themeColor="text1"/>
          <w:szCs w:val="16"/>
        </w:rPr>
        <w:t>WVDE/OSE maintains robust stakeholder engagement through multiple communication and collaboration channels:</w:t>
      </w:r>
    </w:p>
    <w:p w14:paraId="4E3BD0D4" w14:textId="77777777" w:rsidR="00CA787A" w:rsidRDefault="003169E9">
      <w:r>
        <w:rPr>
          <w:color w:val="000000"/>
        </w:rPr>
        <w:t>*DIRECT COMMUNICATION/CONSULTATION*</w:t>
      </w:r>
    </w:p>
    <w:p w14:paraId="67C72869" w14:textId="77777777" w:rsidR="00CA787A" w:rsidRDefault="003169E9">
      <w:r>
        <w:rPr>
          <w:color w:val="000000"/>
        </w:rPr>
        <w:t>—Engaging in one-on-one calls with parents, advocates, educators, and community stakeholders.</w:t>
      </w:r>
    </w:p>
    <w:p w14:paraId="5E66245A" w14:textId="77777777" w:rsidR="00CA787A" w:rsidRDefault="003169E9">
      <w:r>
        <w:rPr>
          <w:color w:val="000000"/>
        </w:rPr>
        <w:t>—Distributing emails and surveys to solicit input from diverse stakeholder groups.</w:t>
      </w:r>
    </w:p>
    <w:p w14:paraId="0F8D733B" w14:textId="77777777" w:rsidR="00CA787A" w:rsidRDefault="003169E9">
      <w:r>
        <w:rPr>
          <w:color w:val="000000"/>
        </w:rPr>
        <w:t>—Hosting bi-monthly secondary transition office hours to address Indicator 13 compliance and results, and to provide technical assistance for IEP development.</w:t>
      </w:r>
    </w:p>
    <w:p w14:paraId="408A4C71" w14:textId="77777777" w:rsidR="00CA787A" w:rsidRDefault="003169E9">
      <w:r>
        <w:rPr>
          <w:color w:val="000000"/>
        </w:rPr>
        <w:lastRenderedPageBreak/>
        <w:t>—Monthly virtual meetings with stakeholders to identify and troubleshoot areas of concern throughout the state.</w:t>
      </w:r>
    </w:p>
    <w:p w14:paraId="14A352C3" w14:textId="77777777" w:rsidR="00CA787A" w:rsidRDefault="003169E9">
      <w:r>
        <w:rPr>
          <w:color w:val="000000"/>
        </w:rPr>
        <w:t>*INFORMATION SHARING*</w:t>
      </w:r>
    </w:p>
    <w:p w14:paraId="58AAAFCC" w14:textId="77777777" w:rsidR="00CA787A" w:rsidRDefault="003169E9">
      <w:r>
        <w:rPr>
          <w:color w:val="000000"/>
        </w:rPr>
        <w:t>—Utilizing a dedicated Microsoft Teams platform for communication with LEAs.</w:t>
      </w:r>
    </w:p>
    <w:p w14:paraId="2726FE5A" w14:textId="77777777" w:rsidR="00CA787A" w:rsidRDefault="003169E9">
      <w:r>
        <w:rPr>
          <w:color w:val="000000"/>
        </w:rPr>
        <w:t>—Maintaining a public input form on the WVDE website specifically for SSIP feedback.</w:t>
      </w:r>
    </w:p>
    <w:p w14:paraId="1DF882FC" w14:textId="77777777" w:rsidR="00CA787A" w:rsidRDefault="003169E9">
      <w:r>
        <w:rPr>
          <w:color w:val="000000"/>
        </w:rPr>
        <w:t xml:space="preserve">—Collecting input from parents, students, and school personnel as required components of monitoring activities. </w:t>
      </w:r>
    </w:p>
    <w:p w14:paraId="61C5D18A" w14:textId="77777777" w:rsidR="00CA787A" w:rsidRDefault="003169E9">
      <w:r>
        <w:rPr>
          <w:color w:val="000000"/>
        </w:rPr>
        <w:t>—Facilitating cross-office communication and coordination on general and special education initiatives.</w:t>
      </w:r>
    </w:p>
    <w:p w14:paraId="7D048CB8" w14:textId="77777777" w:rsidR="00CA787A" w:rsidRDefault="003169E9">
      <w:r>
        <w:rPr>
          <w:color w:val="000000"/>
        </w:rPr>
        <w:t>*COLLABORATIVE PARTNERSHIPS*</w:t>
      </w:r>
    </w:p>
    <w:p w14:paraId="32977D22" w14:textId="77777777" w:rsidR="00CA787A" w:rsidRDefault="003169E9">
      <w:r>
        <w:rPr>
          <w:color w:val="000000"/>
        </w:rPr>
        <w:t>—Engaging in ongoing meetings and interagency teams dedicated to enhancing outcomes for individuals with disabilities.</w:t>
      </w:r>
    </w:p>
    <w:p w14:paraId="78A858CA" w14:textId="77777777" w:rsidR="00CA787A" w:rsidRDefault="003169E9">
      <w:r>
        <w:rPr>
          <w:color w:val="000000"/>
        </w:rPr>
        <w:t>—Ensuring the state director's active participation in all WVACEEC meetings, including involvement in sessions, capacity-building efforts, and feedback collection from LEAs, parents, and community organizations.</w:t>
      </w:r>
    </w:p>
    <w:p w14:paraId="6D633C9C" w14:textId="77777777" w:rsidR="00CA787A" w:rsidRDefault="003169E9">
      <w:r>
        <w:rPr>
          <w:color w:val="000000"/>
        </w:rPr>
        <w:t>—Maintaining regular meetings and collaborative relationships with legislators, advocacy organizations, educator associations, and other stakeholders to strengthen stakeholder knowledge of IDEA procedures, improve SEA-stakeholder dialogue, and collaboratively develop strategies for ongoing improvement toward special education goals (e.g., the Developmental Disability Council (DD Council), Statewide Independent Living Council (SILC), State Rehabilitation Council (SRC), Employment First Task Force, Olmstead Council).</w:t>
      </w:r>
    </w:p>
    <w:p w14:paraId="13191700" w14:textId="77777777" w:rsidR="00DD5B7A" w:rsidRPr="00781112" w:rsidRDefault="00DD5B7A" w:rsidP="00DD5B7A">
      <w:pPr>
        <w:rPr>
          <w:rFonts w:cs="Arial"/>
          <w:color w:val="000000" w:themeColor="text1"/>
          <w:szCs w:val="16"/>
        </w:rPr>
      </w:pPr>
      <w:r w:rsidRPr="00781112">
        <w:rPr>
          <w:rFonts w:cs="Arial"/>
          <w:color w:val="000000" w:themeColor="text1"/>
          <w:szCs w:val="16"/>
        </w:rPr>
        <w:t>Stakeholders did not indicate any interest in revising the Assessment Proficiency Gap (grade-level standards) targets during meetings held throughout the reporting period. However, WVDE/OSE remains open to considering any concerns or recommendations stakeholders may have regarding these targets.</w:t>
      </w:r>
    </w:p>
    <w:p w14:paraId="449404E3" w14:textId="77777777" w:rsidR="00DD5B7A" w:rsidRPr="00781112" w:rsidRDefault="00DD5B7A" w:rsidP="00FE4611">
      <w:pPr>
        <w:spacing w:before="0" w:after="0" w:line="276" w:lineRule="auto"/>
        <w:rPr>
          <w:b/>
          <w:color w:val="000000" w:themeColor="text1"/>
        </w:rPr>
      </w:pPr>
    </w:p>
    <w:p w14:paraId="7D8C408B" w14:textId="77777777" w:rsidR="00DD5B7A" w:rsidRPr="00781112" w:rsidRDefault="00FA33C9" w:rsidP="00DD5B7A">
      <w:pPr>
        <w:rPr>
          <w:b/>
          <w:color w:val="000000" w:themeColor="text1"/>
        </w:rPr>
      </w:pPr>
      <w:r>
        <w:rPr>
          <w:b/>
          <w:color w:val="000000" w:themeColor="text1"/>
        </w:rPr>
        <w:t xml:space="preserve">FFY 2024 Data Disaggregation from </w:t>
      </w:r>
      <w:proofErr w:type="spellStart"/>
      <w:r>
        <w:rPr>
          <w:b/>
          <w:color w:val="000000" w:themeColor="text1"/>
        </w:rPr>
        <w:t>ED</w:t>
      </w:r>
      <w:r w:rsidRPr="00BA3DBE">
        <w:rPr>
          <w:b/>
          <w:i/>
          <w:iCs/>
          <w:color w:val="000000" w:themeColor="text1"/>
        </w:rPr>
        <w:t>Facts</w:t>
      </w:r>
      <w:proofErr w:type="spellEnd"/>
    </w:p>
    <w:p w14:paraId="08950AA9"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Data Source:  </w:t>
      </w:r>
    </w:p>
    <w:p w14:paraId="58C6BA1A" w14:textId="77777777" w:rsidR="00DD5B7A" w:rsidRPr="00781112" w:rsidRDefault="00DD5B7A" w:rsidP="00DD5B7A">
      <w:pPr>
        <w:rPr>
          <w:rFonts w:cs="Arial"/>
          <w:color w:val="000000" w:themeColor="text1"/>
          <w:szCs w:val="16"/>
        </w:rPr>
      </w:pPr>
      <w:r w:rsidRPr="00781112">
        <w:rPr>
          <w:rFonts w:cs="Arial"/>
          <w:color w:val="000000" w:themeColor="text1"/>
          <w:szCs w:val="16"/>
        </w:rPr>
        <w:t>SY 2024-25 Academic Achievement in Reading/Language Arts (</w:t>
      </w:r>
      <w:proofErr w:type="spellStart"/>
      <w:r w:rsidRPr="00781112">
        <w:rPr>
          <w:rFonts w:cs="Arial"/>
          <w:color w:val="000000" w:themeColor="text1"/>
          <w:szCs w:val="16"/>
        </w:rPr>
        <w:t>EDFacts</w:t>
      </w:r>
      <w:proofErr w:type="spellEnd"/>
      <w:r w:rsidRPr="00781112">
        <w:rPr>
          <w:rFonts w:cs="Arial"/>
          <w:color w:val="000000" w:themeColor="text1"/>
          <w:szCs w:val="16"/>
        </w:rPr>
        <w:t xml:space="preserve"> file spec FS178; Data Group: 876, 877)</w:t>
      </w:r>
    </w:p>
    <w:p w14:paraId="5ADE66F0"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Date: </w:t>
      </w:r>
    </w:p>
    <w:p w14:paraId="211FE9D2" w14:textId="77777777" w:rsidR="00DD5B7A" w:rsidRPr="00781112" w:rsidRDefault="00DD5B7A" w:rsidP="00DD5B7A">
      <w:pPr>
        <w:rPr>
          <w:rFonts w:cs="Arial"/>
          <w:color w:val="000000" w:themeColor="text1"/>
          <w:szCs w:val="16"/>
        </w:rPr>
      </w:pPr>
      <w:r w:rsidRPr="00781112">
        <w:rPr>
          <w:rFonts w:cs="Arial"/>
          <w:color w:val="000000" w:themeColor="text1"/>
          <w:szCs w:val="16"/>
        </w:rPr>
        <w:t>01/07/2026</w:t>
      </w:r>
    </w:p>
    <w:p w14:paraId="6059CE97" w14:textId="77777777" w:rsidR="00DD5B7A" w:rsidRPr="00781112" w:rsidRDefault="00DD5B7A" w:rsidP="00DD5B7A">
      <w:pPr>
        <w:rPr>
          <w:b/>
          <w:color w:val="000000" w:themeColor="text1"/>
        </w:rPr>
      </w:pPr>
      <w:r w:rsidRPr="00781112">
        <w:rPr>
          <w:b/>
          <w:color w:val="000000" w:themeColor="text1"/>
        </w:rPr>
        <w:t>Reading Assessment Proficiency Data by Grade (1)</w:t>
      </w:r>
    </w:p>
    <w:tbl>
      <w:tblPr>
        <w:tblStyle w:val="TableGrid"/>
        <w:tblW w:w="5000" w:type="pct"/>
        <w:tblLayout w:type="fixed"/>
        <w:tblLook w:val="04A0" w:firstRow="1" w:lastRow="0" w:firstColumn="1" w:lastColumn="0" w:noHBand="0" w:noVBand="1"/>
        <w:tblCaption w:val="B03DSSPARTDATABYGRDRLA"/>
      </w:tblPr>
      <w:tblGrid>
        <w:gridCol w:w="3775"/>
        <w:gridCol w:w="2337"/>
        <w:gridCol w:w="2339"/>
        <w:gridCol w:w="2339"/>
      </w:tblGrid>
      <w:tr w:rsidR="00847776" w:rsidRPr="00781112" w14:paraId="7B74962B" w14:textId="77777777" w:rsidTr="00E95FBF">
        <w:tc>
          <w:tcPr>
            <w:tcW w:w="1749" w:type="pct"/>
          </w:tcPr>
          <w:p w14:paraId="7057649F" w14:textId="77777777" w:rsidR="00DD5B7A" w:rsidRPr="00781112" w:rsidRDefault="00835EAD" w:rsidP="00827FF4">
            <w:pPr>
              <w:jc w:val="center"/>
              <w:rPr>
                <w:rFonts w:cs="Arial"/>
                <w:b/>
                <w:bCs/>
                <w:color w:val="000000" w:themeColor="text1"/>
                <w:szCs w:val="16"/>
              </w:rPr>
            </w:pPr>
            <w:r w:rsidRPr="00781112">
              <w:rPr>
                <w:rFonts w:cs="Arial"/>
                <w:b/>
                <w:bCs/>
                <w:color w:val="000000" w:themeColor="text1"/>
                <w:szCs w:val="16"/>
              </w:rPr>
              <w:t>Group</w:t>
            </w:r>
          </w:p>
        </w:tc>
        <w:tc>
          <w:tcPr>
            <w:tcW w:w="1083" w:type="pct"/>
            <w:vAlign w:val="center"/>
          </w:tcPr>
          <w:p w14:paraId="63BC2BEF" w14:textId="77777777"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4</w:t>
            </w:r>
          </w:p>
        </w:tc>
        <w:tc>
          <w:tcPr>
            <w:tcW w:w="1084" w:type="pct"/>
            <w:vAlign w:val="center"/>
          </w:tcPr>
          <w:p w14:paraId="44EE598C" w14:textId="77777777"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8</w:t>
            </w:r>
          </w:p>
        </w:tc>
        <w:tc>
          <w:tcPr>
            <w:tcW w:w="1084" w:type="pct"/>
            <w:vAlign w:val="center"/>
          </w:tcPr>
          <w:p w14:paraId="06EE3504" w14:textId="77777777"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HS</w:t>
            </w:r>
          </w:p>
        </w:tc>
      </w:tr>
      <w:tr w:rsidR="002D3EE6" w:rsidRPr="00781112" w14:paraId="4232E20D" w14:textId="77777777" w:rsidTr="00E95FBF">
        <w:tc>
          <w:tcPr>
            <w:tcW w:w="1749" w:type="pct"/>
          </w:tcPr>
          <w:p w14:paraId="42B1E6E8" w14:textId="77777777" w:rsidR="002D3EE6" w:rsidRPr="00781112" w:rsidRDefault="002D3EE6" w:rsidP="002D3EE6">
            <w:pPr>
              <w:rPr>
                <w:rFonts w:cs="Arial"/>
                <w:color w:val="000000" w:themeColor="text1"/>
                <w:szCs w:val="16"/>
              </w:rPr>
            </w:pPr>
            <w:r w:rsidRPr="00781112">
              <w:rPr>
                <w:rFonts w:cs="Arial"/>
                <w:color w:val="000000" w:themeColor="text1"/>
                <w:szCs w:val="16"/>
              </w:rPr>
              <w:t>a. All Students who received a valid score and a proficiency was assigned for the regular assessment</w:t>
            </w:r>
          </w:p>
        </w:tc>
        <w:tc>
          <w:tcPr>
            <w:tcW w:w="1083" w:type="pct"/>
            <w:vAlign w:val="center"/>
          </w:tcPr>
          <w:p w14:paraId="3DF432B7" w14:textId="77777777" w:rsidR="002D3EE6" w:rsidRPr="00781112" w:rsidRDefault="002D3EE6" w:rsidP="002D3EE6">
            <w:pPr>
              <w:jc w:val="center"/>
              <w:rPr>
                <w:rFonts w:cs="Arial"/>
                <w:color w:val="000000" w:themeColor="text1"/>
                <w:szCs w:val="16"/>
              </w:rPr>
            </w:pPr>
            <w:r w:rsidRPr="00781112">
              <w:rPr>
                <w:rFonts w:cs="Arial"/>
                <w:color w:val="000000" w:themeColor="text1"/>
                <w:szCs w:val="16"/>
              </w:rPr>
              <w:t>16,455</w:t>
            </w:r>
          </w:p>
        </w:tc>
        <w:tc>
          <w:tcPr>
            <w:tcW w:w="1084" w:type="pct"/>
            <w:vAlign w:val="center"/>
          </w:tcPr>
          <w:p w14:paraId="5C4A678D" w14:textId="77777777" w:rsidR="002D3EE6" w:rsidRPr="00781112" w:rsidRDefault="002D3EE6" w:rsidP="002D3EE6">
            <w:pPr>
              <w:jc w:val="center"/>
              <w:rPr>
                <w:rFonts w:cs="Arial"/>
                <w:color w:val="000000" w:themeColor="text1"/>
                <w:szCs w:val="16"/>
              </w:rPr>
            </w:pPr>
            <w:r w:rsidRPr="00781112">
              <w:rPr>
                <w:rFonts w:cs="Arial"/>
                <w:color w:val="000000" w:themeColor="text1"/>
                <w:szCs w:val="16"/>
              </w:rPr>
              <w:t>17,357</w:t>
            </w:r>
          </w:p>
        </w:tc>
        <w:tc>
          <w:tcPr>
            <w:tcW w:w="1084" w:type="pct"/>
            <w:vAlign w:val="center"/>
          </w:tcPr>
          <w:p w14:paraId="2D737A98" w14:textId="77777777" w:rsidR="002D3EE6" w:rsidRPr="00781112" w:rsidRDefault="002D3EE6" w:rsidP="002D3EE6">
            <w:pPr>
              <w:jc w:val="center"/>
              <w:rPr>
                <w:rFonts w:cs="Arial"/>
                <w:color w:val="000000" w:themeColor="text1"/>
                <w:szCs w:val="16"/>
              </w:rPr>
            </w:pPr>
            <w:r w:rsidRPr="00781112">
              <w:rPr>
                <w:rFonts w:cs="Arial"/>
                <w:color w:val="000000" w:themeColor="text1"/>
                <w:szCs w:val="16"/>
              </w:rPr>
              <w:t>15,901</w:t>
            </w:r>
          </w:p>
        </w:tc>
      </w:tr>
      <w:tr w:rsidR="002D3EE6" w:rsidRPr="00781112" w14:paraId="618AAA21" w14:textId="77777777" w:rsidTr="00E95FBF">
        <w:tc>
          <w:tcPr>
            <w:tcW w:w="1749" w:type="pct"/>
          </w:tcPr>
          <w:p w14:paraId="3516D57B" w14:textId="77777777" w:rsidR="002D3EE6" w:rsidRPr="00781112" w:rsidRDefault="002D3EE6" w:rsidP="002D3EE6">
            <w:pPr>
              <w:rPr>
                <w:rFonts w:cs="Arial"/>
                <w:color w:val="000000" w:themeColor="text1"/>
                <w:szCs w:val="16"/>
              </w:rPr>
            </w:pPr>
            <w:r w:rsidRPr="00781112">
              <w:rPr>
                <w:rFonts w:cs="Arial"/>
                <w:color w:val="000000" w:themeColor="text1"/>
                <w:szCs w:val="16"/>
              </w:rPr>
              <w:t xml:space="preserve">b. Children with IEPs who received a valid score and a proficiency was assigned </w:t>
            </w:r>
            <w:r w:rsidRPr="00781112">
              <w:rPr>
                <w:rFonts w:cs="Arial"/>
                <w:szCs w:val="16"/>
                <w:shd w:val="clear" w:color="auto" w:fill="FFFFFF"/>
              </w:rPr>
              <w:t>for the regular assessment</w:t>
            </w:r>
          </w:p>
        </w:tc>
        <w:tc>
          <w:tcPr>
            <w:tcW w:w="1083" w:type="pct"/>
            <w:vAlign w:val="center"/>
          </w:tcPr>
          <w:p w14:paraId="48089178" w14:textId="77777777" w:rsidR="002D3EE6" w:rsidRPr="00781112" w:rsidRDefault="002D3EE6" w:rsidP="002D3EE6">
            <w:pPr>
              <w:jc w:val="center"/>
              <w:rPr>
                <w:rFonts w:cs="Arial"/>
                <w:color w:val="000000" w:themeColor="text1"/>
                <w:szCs w:val="16"/>
              </w:rPr>
            </w:pPr>
            <w:r w:rsidRPr="00781112">
              <w:rPr>
                <w:rFonts w:cs="Arial"/>
                <w:color w:val="000000" w:themeColor="text1"/>
                <w:szCs w:val="16"/>
              </w:rPr>
              <w:t>4,009</w:t>
            </w:r>
          </w:p>
        </w:tc>
        <w:tc>
          <w:tcPr>
            <w:tcW w:w="1084" w:type="pct"/>
            <w:vAlign w:val="center"/>
          </w:tcPr>
          <w:p w14:paraId="0BC194DE" w14:textId="77777777" w:rsidR="002D3EE6" w:rsidRPr="00781112" w:rsidRDefault="002D3EE6" w:rsidP="002D3EE6">
            <w:pPr>
              <w:jc w:val="center"/>
              <w:rPr>
                <w:rFonts w:cs="Arial"/>
                <w:color w:val="000000" w:themeColor="text1"/>
                <w:szCs w:val="16"/>
              </w:rPr>
            </w:pPr>
            <w:r w:rsidRPr="00781112">
              <w:rPr>
                <w:rFonts w:cs="Arial"/>
                <w:color w:val="000000" w:themeColor="text1"/>
                <w:szCs w:val="16"/>
              </w:rPr>
              <w:t>3,363</w:t>
            </w:r>
          </w:p>
        </w:tc>
        <w:tc>
          <w:tcPr>
            <w:tcW w:w="1084" w:type="pct"/>
            <w:vAlign w:val="center"/>
          </w:tcPr>
          <w:p w14:paraId="1C78CE2F" w14:textId="77777777" w:rsidR="002D3EE6" w:rsidRPr="00781112" w:rsidRDefault="002D3EE6" w:rsidP="002D3EE6">
            <w:pPr>
              <w:jc w:val="center"/>
              <w:rPr>
                <w:rFonts w:cs="Arial"/>
                <w:color w:val="000000" w:themeColor="text1"/>
                <w:szCs w:val="16"/>
              </w:rPr>
            </w:pPr>
            <w:r w:rsidRPr="00781112">
              <w:rPr>
                <w:rFonts w:cs="Arial"/>
                <w:color w:val="000000" w:themeColor="text1"/>
                <w:szCs w:val="16"/>
              </w:rPr>
              <w:t>2,437</w:t>
            </w:r>
          </w:p>
        </w:tc>
      </w:tr>
      <w:tr w:rsidR="002D3EE6" w:rsidRPr="00781112" w14:paraId="27A04C99" w14:textId="77777777" w:rsidTr="00E95FBF">
        <w:tc>
          <w:tcPr>
            <w:tcW w:w="1749" w:type="pct"/>
          </w:tcPr>
          <w:p w14:paraId="1FAD91A7" w14:textId="77777777" w:rsidR="002D3EE6" w:rsidRPr="00181070" w:rsidRDefault="002D3EE6" w:rsidP="002D3EE6">
            <w:pPr>
              <w:rPr>
                <w:rFonts w:cs="Arial"/>
                <w:color w:val="000000" w:themeColor="text1"/>
                <w:szCs w:val="16"/>
              </w:rPr>
            </w:pPr>
            <w:r w:rsidRPr="0075451F">
              <w:rPr>
                <w:rFonts w:cs="Arial"/>
                <w:szCs w:val="16"/>
                <w:shd w:val="clear" w:color="auto" w:fill="FFFFFF"/>
              </w:rPr>
              <w:t>c. All students in regular assessment with no accommodations scored at or above proficient against grade level</w:t>
            </w:r>
          </w:p>
        </w:tc>
        <w:tc>
          <w:tcPr>
            <w:tcW w:w="1083" w:type="pct"/>
            <w:vAlign w:val="center"/>
          </w:tcPr>
          <w:p w14:paraId="60B96917" w14:textId="77777777" w:rsidR="002D3EE6" w:rsidRPr="00781112" w:rsidRDefault="002D3EE6" w:rsidP="002D3EE6">
            <w:pPr>
              <w:jc w:val="center"/>
              <w:rPr>
                <w:rFonts w:cs="Arial"/>
                <w:color w:val="000000" w:themeColor="text1"/>
                <w:szCs w:val="16"/>
              </w:rPr>
            </w:pPr>
            <w:r w:rsidRPr="00781112">
              <w:rPr>
                <w:rFonts w:cs="Arial"/>
                <w:color w:val="000000" w:themeColor="text1"/>
                <w:szCs w:val="16"/>
              </w:rPr>
              <w:t>7,729</w:t>
            </w:r>
          </w:p>
        </w:tc>
        <w:tc>
          <w:tcPr>
            <w:tcW w:w="1084" w:type="pct"/>
            <w:vAlign w:val="center"/>
          </w:tcPr>
          <w:p w14:paraId="440184C0" w14:textId="77777777" w:rsidR="002D3EE6" w:rsidRPr="00781112" w:rsidRDefault="002D3EE6" w:rsidP="002D3EE6">
            <w:pPr>
              <w:jc w:val="center"/>
              <w:rPr>
                <w:rFonts w:cs="Arial"/>
                <w:color w:val="000000" w:themeColor="text1"/>
                <w:szCs w:val="16"/>
              </w:rPr>
            </w:pPr>
            <w:r w:rsidRPr="00781112">
              <w:rPr>
                <w:rFonts w:cs="Arial"/>
                <w:color w:val="000000" w:themeColor="text1"/>
                <w:szCs w:val="16"/>
              </w:rPr>
              <w:t>7,063</w:t>
            </w:r>
          </w:p>
        </w:tc>
        <w:tc>
          <w:tcPr>
            <w:tcW w:w="1084" w:type="pct"/>
            <w:vAlign w:val="center"/>
          </w:tcPr>
          <w:p w14:paraId="094E9B16" w14:textId="77777777" w:rsidR="002D3EE6" w:rsidRPr="00781112" w:rsidRDefault="002D3EE6" w:rsidP="002D3EE6">
            <w:pPr>
              <w:jc w:val="center"/>
              <w:rPr>
                <w:rFonts w:cs="Arial"/>
                <w:color w:val="000000" w:themeColor="text1"/>
                <w:szCs w:val="16"/>
              </w:rPr>
            </w:pPr>
            <w:r w:rsidRPr="00781112">
              <w:rPr>
                <w:rFonts w:cs="Arial"/>
                <w:color w:val="000000" w:themeColor="text1"/>
                <w:szCs w:val="16"/>
              </w:rPr>
              <w:t>8,391</w:t>
            </w:r>
          </w:p>
        </w:tc>
      </w:tr>
      <w:tr w:rsidR="002D3EE6" w:rsidRPr="00781112" w14:paraId="01FB1150" w14:textId="77777777" w:rsidTr="00E95FBF">
        <w:tc>
          <w:tcPr>
            <w:tcW w:w="1749" w:type="pct"/>
          </w:tcPr>
          <w:p w14:paraId="4BA74680" w14:textId="77777777" w:rsidR="002D3EE6" w:rsidRPr="00181070" w:rsidRDefault="002D3EE6" w:rsidP="002D3EE6">
            <w:pPr>
              <w:rPr>
                <w:rFonts w:cs="Arial"/>
                <w:color w:val="000000" w:themeColor="text1"/>
                <w:szCs w:val="16"/>
              </w:rPr>
            </w:pPr>
            <w:r w:rsidRPr="0075451F">
              <w:rPr>
                <w:rFonts w:cs="Arial"/>
                <w:szCs w:val="16"/>
                <w:shd w:val="clear" w:color="auto" w:fill="FFFFFF"/>
              </w:rPr>
              <w:t>d. All students in regular assessment with accommodations scored at or above proficient against grade level</w:t>
            </w:r>
          </w:p>
        </w:tc>
        <w:tc>
          <w:tcPr>
            <w:tcW w:w="1083" w:type="pct"/>
            <w:vAlign w:val="center"/>
          </w:tcPr>
          <w:p w14:paraId="6B4869D3" w14:textId="77777777" w:rsidR="002D3EE6" w:rsidRPr="00781112" w:rsidRDefault="002D3EE6" w:rsidP="002D3EE6">
            <w:pPr>
              <w:jc w:val="center"/>
              <w:rPr>
                <w:rFonts w:cs="Arial"/>
                <w:color w:val="000000" w:themeColor="text1"/>
                <w:szCs w:val="16"/>
              </w:rPr>
            </w:pPr>
            <w:r w:rsidRPr="00781112">
              <w:rPr>
                <w:rFonts w:cs="Arial"/>
                <w:color w:val="000000" w:themeColor="text1"/>
                <w:szCs w:val="16"/>
              </w:rPr>
              <w:t>504</w:t>
            </w:r>
          </w:p>
        </w:tc>
        <w:tc>
          <w:tcPr>
            <w:tcW w:w="1084" w:type="pct"/>
            <w:vAlign w:val="center"/>
          </w:tcPr>
          <w:p w14:paraId="5410AEE0" w14:textId="77777777" w:rsidR="002D3EE6" w:rsidRPr="00781112" w:rsidRDefault="002D3EE6" w:rsidP="002D3EE6">
            <w:pPr>
              <w:jc w:val="center"/>
              <w:rPr>
                <w:rFonts w:cs="Arial"/>
                <w:color w:val="000000" w:themeColor="text1"/>
                <w:szCs w:val="16"/>
              </w:rPr>
            </w:pPr>
            <w:r w:rsidRPr="00781112">
              <w:rPr>
                <w:rFonts w:cs="Arial"/>
                <w:color w:val="000000" w:themeColor="text1"/>
                <w:szCs w:val="16"/>
              </w:rPr>
              <w:t>334</w:t>
            </w:r>
          </w:p>
        </w:tc>
        <w:tc>
          <w:tcPr>
            <w:tcW w:w="1084" w:type="pct"/>
            <w:vAlign w:val="center"/>
          </w:tcPr>
          <w:p w14:paraId="1F119E85" w14:textId="77777777" w:rsidR="002D3EE6" w:rsidRPr="00781112" w:rsidRDefault="002D3EE6" w:rsidP="002D3EE6">
            <w:pPr>
              <w:jc w:val="center"/>
              <w:rPr>
                <w:rFonts w:cs="Arial"/>
                <w:color w:val="000000" w:themeColor="text1"/>
                <w:szCs w:val="16"/>
              </w:rPr>
            </w:pPr>
            <w:r w:rsidRPr="00781112">
              <w:rPr>
                <w:rFonts w:cs="Arial"/>
                <w:color w:val="000000" w:themeColor="text1"/>
                <w:szCs w:val="16"/>
              </w:rPr>
              <w:t>306</w:t>
            </w:r>
          </w:p>
        </w:tc>
      </w:tr>
      <w:tr w:rsidR="002D3EE6" w:rsidRPr="00781112" w14:paraId="0CA16D7E" w14:textId="77777777" w:rsidTr="00E95FBF">
        <w:tc>
          <w:tcPr>
            <w:tcW w:w="1749" w:type="pct"/>
          </w:tcPr>
          <w:p w14:paraId="17D3D7FF" w14:textId="77777777" w:rsidR="002D3EE6" w:rsidRPr="00781112" w:rsidRDefault="002D3EE6" w:rsidP="002D3EE6">
            <w:pPr>
              <w:rPr>
                <w:rFonts w:cs="Arial"/>
                <w:color w:val="000000" w:themeColor="text1"/>
                <w:szCs w:val="16"/>
              </w:rPr>
            </w:pPr>
            <w:r w:rsidRPr="00781112">
              <w:rPr>
                <w:rFonts w:cs="Arial"/>
                <w:szCs w:val="16"/>
                <w:shd w:val="clear" w:color="auto" w:fill="FFFFFF"/>
              </w:rPr>
              <w:t>e. Children with IEPs in regular assessment with no accommodations scored at or above proficient against grade level</w:t>
            </w:r>
          </w:p>
        </w:tc>
        <w:tc>
          <w:tcPr>
            <w:tcW w:w="1083" w:type="pct"/>
            <w:vAlign w:val="center"/>
          </w:tcPr>
          <w:p w14:paraId="35121261" w14:textId="77777777" w:rsidR="002D3EE6" w:rsidRPr="00781112" w:rsidRDefault="002D3EE6" w:rsidP="002D3EE6">
            <w:pPr>
              <w:jc w:val="center"/>
              <w:rPr>
                <w:rFonts w:cs="Arial"/>
                <w:color w:val="000000" w:themeColor="text1"/>
                <w:szCs w:val="16"/>
              </w:rPr>
            </w:pPr>
            <w:r w:rsidRPr="00781112">
              <w:rPr>
                <w:rFonts w:cs="Arial"/>
                <w:color w:val="000000" w:themeColor="text1"/>
                <w:szCs w:val="16"/>
              </w:rPr>
              <w:t>428</w:t>
            </w:r>
          </w:p>
        </w:tc>
        <w:tc>
          <w:tcPr>
            <w:tcW w:w="1084" w:type="pct"/>
            <w:vAlign w:val="center"/>
          </w:tcPr>
          <w:p w14:paraId="1157DB53" w14:textId="77777777" w:rsidR="002D3EE6" w:rsidRPr="00781112" w:rsidRDefault="002D3EE6" w:rsidP="002D3EE6">
            <w:pPr>
              <w:jc w:val="center"/>
              <w:rPr>
                <w:rFonts w:cs="Arial"/>
                <w:color w:val="000000" w:themeColor="text1"/>
                <w:szCs w:val="16"/>
              </w:rPr>
            </w:pPr>
            <w:r w:rsidRPr="00781112">
              <w:rPr>
                <w:rFonts w:cs="Arial"/>
                <w:color w:val="000000" w:themeColor="text1"/>
                <w:szCs w:val="16"/>
              </w:rPr>
              <w:t>110</w:t>
            </w:r>
          </w:p>
        </w:tc>
        <w:tc>
          <w:tcPr>
            <w:tcW w:w="1084" w:type="pct"/>
            <w:vAlign w:val="center"/>
          </w:tcPr>
          <w:p w14:paraId="7285A896" w14:textId="77777777" w:rsidR="002D3EE6" w:rsidRPr="00781112" w:rsidRDefault="002D3EE6" w:rsidP="002D3EE6">
            <w:pPr>
              <w:jc w:val="center"/>
              <w:rPr>
                <w:rFonts w:cs="Arial"/>
                <w:color w:val="000000" w:themeColor="text1"/>
                <w:szCs w:val="16"/>
              </w:rPr>
            </w:pPr>
            <w:r w:rsidRPr="00781112">
              <w:rPr>
                <w:rFonts w:cs="Arial"/>
                <w:color w:val="000000" w:themeColor="text1"/>
                <w:szCs w:val="16"/>
              </w:rPr>
              <w:t>170</w:t>
            </w:r>
          </w:p>
        </w:tc>
      </w:tr>
      <w:tr w:rsidR="002D3EE6" w:rsidRPr="00781112" w14:paraId="28CCB546" w14:textId="77777777" w:rsidTr="00E95FBF">
        <w:tc>
          <w:tcPr>
            <w:tcW w:w="1749" w:type="pct"/>
          </w:tcPr>
          <w:p w14:paraId="27F23CF0" w14:textId="77777777" w:rsidR="002D3EE6" w:rsidRPr="00781112" w:rsidRDefault="002D3EE6" w:rsidP="002D3EE6">
            <w:pPr>
              <w:rPr>
                <w:rFonts w:cs="Arial"/>
                <w:color w:val="000000" w:themeColor="text1"/>
                <w:szCs w:val="16"/>
              </w:rPr>
            </w:pPr>
            <w:r w:rsidRPr="00781112">
              <w:rPr>
                <w:rFonts w:cs="Arial"/>
                <w:szCs w:val="16"/>
                <w:shd w:val="clear" w:color="auto" w:fill="FFFFFF"/>
              </w:rPr>
              <w:t>f. Children with IEPs in regular assessment with accommodations scored at or above proficient against grade level</w:t>
            </w:r>
          </w:p>
        </w:tc>
        <w:tc>
          <w:tcPr>
            <w:tcW w:w="1083" w:type="pct"/>
            <w:vAlign w:val="center"/>
          </w:tcPr>
          <w:p w14:paraId="13188594" w14:textId="77777777" w:rsidR="002D3EE6" w:rsidRPr="00781112" w:rsidRDefault="002D3EE6" w:rsidP="002D3EE6">
            <w:pPr>
              <w:jc w:val="center"/>
              <w:rPr>
                <w:rFonts w:cs="Arial"/>
                <w:color w:val="000000" w:themeColor="text1"/>
                <w:szCs w:val="16"/>
              </w:rPr>
            </w:pPr>
            <w:r w:rsidRPr="00781112">
              <w:rPr>
                <w:rFonts w:cs="Arial"/>
                <w:color w:val="000000" w:themeColor="text1"/>
                <w:szCs w:val="16"/>
              </w:rPr>
              <w:t>315</w:t>
            </w:r>
          </w:p>
        </w:tc>
        <w:tc>
          <w:tcPr>
            <w:tcW w:w="1084" w:type="pct"/>
            <w:vAlign w:val="center"/>
          </w:tcPr>
          <w:p w14:paraId="2EC92FB2" w14:textId="77777777" w:rsidR="002D3EE6" w:rsidRPr="00781112" w:rsidRDefault="002D3EE6" w:rsidP="002D3EE6">
            <w:pPr>
              <w:jc w:val="center"/>
              <w:rPr>
                <w:rFonts w:cs="Arial"/>
                <w:color w:val="000000" w:themeColor="text1"/>
                <w:szCs w:val="16"/>
              </w:rPr>
            </w:pPr>
            <w:r w:rsidRPr="00781112">
              <w:rPr>
                <w:rFonts w:cs="Arial"/>
                <w:color w:val="000000" w:themeColor="text1"/>
                <w:szCs w:val="16"/>
              </w:rPr>
              <w:t>202</w:t>
            </w:r>
          </w:p>
        </w:tc>
        <w:tc>
          <w:tcPr>
            <w:tcW w:w="1084" w:type="pct"/>
            <w:vAlign w:val="center"/>
          </w:tcPr>
          <w:p w14:paraId="77378A97" w14:textId="77777777" w:rsidR="002D3EE6" w:rsidRPr="00781112" w:rsidRDefault="002D3EE6" w:rsidP="002D3EE6">
            <w:pPr>
              <w:jc w:val="center"/>
              <w:rPr>
                <w:rFonts w:cs="Arial"/>
                <w:color w:val="000000" w:themeColor="text1"/>
                <w:szCs w:val="16"/>
              </w:rPr>
            </w:pPr>
            <w:r w:rsidRPr="00781112">
              <w:rPr>
                <w:rFonts w:cs="Arial"/>
                <w:color w:val="000000" w:themeColor="text1"/>
                <w:szCs w:val="16"/>
              </w:rPr>
              <w:t>168</w:t>
            </w:r>
          </w:p>
        </w:tc>
      </w:tr>
    </w:tbl>
    <w:p w14:paraId="5052FFFE" w14:textId="77777777" w:rsidR="00DD5B7A" w:rsidRPr="00781112" w:rsidRDefault="00DD5B7A" w:rsidP="00DD5B7A">
      <w:pPr>
        <w:rPr>
          <w:b/>
          <w:color w:val="000000" w:themeColor="text1"/>
        </w:rPr>
      </w:pPr>
    </w:p>
    <w:p w14:paraId="1B338AA4"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Data Source: </w:t>
      </w:r>
    </w:p>
    <w:p w14:paraId="235A877A" w14:textId="77777777" w:rsidR="00DD5B7A" w:rsidRPr="00781112" w:rsidRDefault="00DD5B7A" w:rsidP="00DD5B7A">
      <w:pPr>
        <w:rPr>
          <w:rFonts w:cs="Arial"/>
          <w:color w:val="000000" w:themeColor="text1"/>
          <w:szCs w:val="16"/>
        </w:rPr>
      </w:pPr>
      <w:r w:rsidRPr="00781112">
        <w:rPr>
          <w:rFonts w:cs="Arial"/>
          <w:color w:val="000000" w:themeColor="text1"/>
          <w:szCs w:val="16"/>
        </w:rPr>
        <w:t>SY 2024-25 Academic Achievement in Mathematics (</w:t>
      </w:r>
      <w:proofErr w:type="spellStart"/>
      <w:r w:rsidRPr="00781112">
        <w:rPr>
          <w:rFonts w:cs="Arial"/>
          <w:color w:val="000000" w:themeColor="text1"/>
          <w:szCs w:val="16"/>
        </w:rPr>
        <w:t>EDFacts</w:t>
      </w:r>
      <w:proofErr w:type="spellEnd"/>
      <w:r w:rsidRPr="00781112">
        <w:rPr>
          <w:rFonts w:cs="Arial"/>
          <w:color w:val="000000" w:themeColor="text1"/>
          <w:szCs w:val="16"/>
        </w:rPr>
        <w:t xml:space="preserve"> file spec FS175; Data Group: 874, 875)</w:t>
      </w:r>
    </w:p>
    <w:p w14:paraId="630C1B40"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Date: </w:t>
      </w:r>
    </w:p>
    <w:p w14:paraId="627E4E79" w14:textId="77777777" w:rsidR="00DD5B7A" w:rsidRPr="00781112" w:rsidRDefault="00DD5B7A" w:rsidP="00DD5B7A">
      <w:pPr>
        <w:rPr>
          <w:rFonts w:cs="Arial"/>
          <w:color w:val="000000" w:themeColor="text1"/>
          <w:szCs w:val="16"/>
        </w:rPr>
      </w:pPr>
      <w:r w:rsidRPr="00781112">
        <w:rPr>
          <w:rFonts w:cs="Arial"/>
          <w:color w:val="000000" w:themeColor="text1"/>
          <w:szCs w:val="16"/>
        </w:rPr>
        <w:t>01/07/2026</w:t>
      </w:r>
    </w:p>
    <w:p w14:paraId="22956B33" w14:textId="77777777" w:rsidR="00DD5B7A" w:rsidRPr="00781112" w:rsidRDefault="00DD5B7A" w:rsidP="00DD5B7A">
      <w:pPr>
        <w:rPr>
          <w:b/>
          <w:color w:val="000000" w:themeColor="text1"/>
        </w:rPr>
      </w:pPr>
      <w:r w:rsidRPr="00781112">
        <w:rPr>
          <w:b/>
          <w:color w:val="000000" w:themeColor="text1"/>
        </w:rPr>
        <w:t>Math Assessment Proficiency Data by Grade (1)</w:t>
      </w:r>
    </w:p>
    <w:tbl>
      <w:tblPr>
        <w:tblStyle w:val="TableGrid"/>
        <w:tblW w:w="5000" w:type="pct"/>
        <w:tblLayout w:type="fixed"/>
        <w:tblLook w:val="04A0" w:firstRow="1" w:lastRow="0" w:firstColumn="1" w:lastColumn="0" w:noHBand="0" w:noVBand="1"/>
        <w:tblCaption w:val="B03DSSPARTDATABYGRDMATH"/>
      </w:tblPr>
      <w:tblGrid>
        <w:gridCol w:w="3775"/>
        <w:gridCol w:w="2338"/>
        <w:gridCol w:w="2338"/>
        <w:gridCol w:w="2339"/>
      </w:tblGrid>
      <w:tr w:rsidR="00DD5B7A" w:rsidRPr="00781112" w14:paraId="4DBD1826" w14:textId="77777777" w:rsidTr="00E95FBF">
        <w:tc>
          <w:tcPr>
            <w:tcW w:w="1749" w:type="pct"/>
          </w:tcPr>
          <w:p w14:paraId="593E44F0" w14:textId="77777777" w:rsidR="00DD5B7A" w:rsidRPr="00781112" w:rsidRDefault="00835EAD" w:rsidP="00827FF4">
            <w:pPr>
              <w:jc w:val="center"/>
              <w:rPr>
                <w:rFonts w:cs="Arial"/>
                <w:b/>
                <w:bCs/>
                <w:color w:val="000000" w:themeColor="text1"/>
                <w:szCs w:val="16"/>
              </w:rPr>
            </w:pPr>
            <w:r w:rsidRPr="00781112">
              <w:rPr>
                <w:rFonts w:cs="Arial"/>
                <w:b/>
                <w:bCs/>
                <w:color w:val="000000" w:themeColor="text1"/>
                <w:szCs w:val="16"/>
              </w:rPr>
              <w:t>Group</w:t>
            </w:r>
          </w:p>
        </w:tc>
        <w:tc>
          <w:tcPr>
            <w:tcW w:w="1083" w:type="pct"/>
            <w:vAlign w:val="center"/>
          </w:tcPr>
          <w:p w14:paraId="44E79AFB" w14:textId="77777777"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4</w:t>
            </w:r>
          </w:p>
        </w:tc>
        <w:tc>
          <w:tcPr>
            <w:tcW w:w="1083" w:type="pct"/>
            <w:vAlign w:val="center"/>
          </w:tcPr>
          <w:p w14:paraId="04316954" w14:textId="77777777"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8</w:t>
            </w:r>
          </w:p>
        </w:tc>
        <w:tc>
          <w:tcPr>
            <w:tcW w:w="1084" w:type="pct"/>
            <w:vAlign w:val="center"/>
          </w:tcPr>
          <w:p w14:paraId="76A25C55" w14:textId="77777777"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HS</w:t>
            </w:r>
          </w:p>
        </w:tc>
      </w:tr>
      <w:tr w:rsidR="0039534D" w:rsidRPr="00781112" w14:paraId="1D462FF7" w14:textId="77777777" w:rsidTr="00E95FBF">
        <w:tc>
          <w:tcPr>
            <w:tcW w:w="1749" w:type="pct"/>
          </w:tcPr>
          <w:p w14:paraId="6A54399A" w14:textId="77777777" w:rsidR="0039534D" w:rsidRPr="00781112" w:rsidRDefault="0039534D" w:rsidP="0039534D">
            <w:pPr>
              <w:rPr>
                <w:rFonts w:cs="Arial"/>
                <w:color w:val="000000" w:themeColor="text1"/>
                <w:szCs w:val="16"/>
              </w:rPr>
            </w:pPr>
            <w:r w:rsidRPr="00781112">
              <w:rPr>
                <w:rFonts w:cs="Arial"/>
                <w:color w:val="000000" w:themeColor="text1"/>
                <w:szCs w:val="16"/>
              </w:rPr>
              <w:t>a. All Students who received a valid score and a proficiency was assigned for the regular assessment</w:t>
            </w:r>
          </w:p>
        </w:tc>
        <w:tc>
          <w:tcPr>
            <w:tcW w:w="1083" w:type="pct"/>
            <w:vAlign w:val="center"/>
          </w:tcPr>
          <w:p w14:paraId="3C32B3F2" w14:textId="77777777" w:rsidR="0039534D" w:rsidRPr="00781112" w:rsidRDefault="0039534D" w:rsidP="0039534D">
            <w:pPr>
              <w:jc w:val="center"/>
              <w:rPr>
                <w:rFonts w:cs="Arial"/>
                <w:color w:val="000000" w:themeColor="text1"/>
                <w:szCs w:val="16"/>
              </w:rPr>
            </w:pPr>
            <w:r w:rsidRPr="00781112">
              <w:rPr>
                <w:rFonts w:cs="Arial"/>
                <w:color w:val="000000" w:themeColor="text1"/>
                <w:szCs w:val="16"/>
              </w:rPr>
              <w:t>16,458</w:t>
            </w:r>
          </w:p>
        </w:tc>
        <w:tc>
          <w:tcPr>
            <w:tcW w:w="1083" w:type="pct"/>
            <w:vAlign w:val="center"/>
          </w:tcPr>
          <w:p w14:paraId="002E0D14" w14:textId="77777777" w:rsidR="0039534D" w:rsidRPr="00781112" w:rsidRDefault="0039534D" w:rsidP="0039534D">
            <w:pPr>
              <w:jc w:val="center"/>
              <w:rPr>
                <w:rFonts w:cs="Arial"/>
                <w:color w:val="000000" w:themeColor="text1"/>
                <w:szCs w:val="16"/>
              </w:rPr>
            </w:pPr>
            <w:r w:rsidRPr="00781112">
              <w:rPr>
                <w:rFonts w:cs="Arial"/>
                <w:color w:val="000000" w:themeColor="text1"/>
                <w:szCs w:val="16"/>
              </w:rPr>
              <w:t>17,364</w:t>
            </w:r>
          </w:p>
        </w:tc>
        <w:tc>
          <w:tcPr>
            <w:tcW w:w="1084" w:type="pct"/>
            <w:vAlign w:val="center"/>
          </w:tcPr>
          <w:p w14:paraId="01B87AA8" w14:textId="77777777" w:rsidR="0039534D" w:rsidRPr="00781112" w:rsidRDefault="0039534D" w:rsidP="0039534D">
            <w:pPr>
              <w:jc w:val="center"/>
              <w:rPr>
                <w:rFonts w:cs="Arial"/>
                <w:color w:val="000000" w:themeColor="text1"/>
                <w:szCs w:val="16"/>
              </w:rPr>
            </w:pPr>
            <w:r w:rsidRPr="00781112">
              <w:rPr>
                <w:rFonts w:cs="Arial"/>
                <w:color w:val="000000" w:themeColor="text1"/>
                <w:szCs w:val="16"/>
              </w:rPr>
              <w:t>15,901</w:t>
            </w:r>
          </w:p>
        </w:tc>
      </w:tr>
      <w:tr w:rsidR="0039534D" w:rsidRPr="00781112" w14:paraId="30E8A44E" w14:textId="77777777" w:rsidTr="00E95FBF">
        <w:tc>
          <w:tcPr>
            <w:tcW w:w="1749" w:type="pct"/>
          </w:tcPr>
          <w:p w14:paraId="28AAC9AC" w14:textId="77777777" w:rsidR="0039534D" w:rsidRPr="00781112" w:rsidRDefault="0039534D" w:rsidP="0039534D">
            <w:pPr>
              <w:rPr>
                <w:rFonts w:cs="Arial"/>
                <w:color w:val="000000" w:themeColor="text1"/>
                <w:szCs w:val="16"/>
              </w:rPr>
            </w:pPr>
            <w:r w:rsidRPr="00781112">
              <w:rPr>
                <w:rFonts w:cs="Arial"/>
                <w:color w:val="000000" w:themeColor="text1"/>
                <w:szCs w:val="16"/>
              </w:rPr>
              <w:t xml:space="preserve">b. Children with IEPs who received a valid score and a proficiency was assigned </w:t>
            </w:r>
            <w:r w:rsidRPr="00781112">
              <w:rPr>
                <w:rFonts w:cs="Arial"/>
                <w:szCs w:val="16"/>
                <w:shd w:val="clear" w:color="auto" w:fill="FFFFFF"/>
              </w:rPr>
              <w:t>for the regular assessment</w:t>
            </w:r>
          </w:p>
        </w:tc>
        <w:tc>
          <w:tcPr>
            <w:tcW w:w="1083" w:type="pct"/>
            <w:vAlign w:val="center"/>
          </w:tcPr>
          <w:p w14:paraId="3B0792DB" w14:textId="77777777" w:rsidR="0039534D" w:rsidRPr="00781112" w:rsidRDefault="0039534D" w:rsidP="0039534D">
            <w:pPr>
              <w:jc w:val="center"/>
              <w:rPr>
                <w:rFonts w:cs="Arial"/>
                <w:color w:val="000000" w:themeColor="text1"/>
                <w:szCs w:val="16"/>
              </w:rPr>
            </w:pPr>
            <w:r w:rsidRPr="00781112">
              <w:rPr>
                <w:rFonts w:cs="Arial"/>
                <w:color w:val="000000" w:themeColor="text1"/>
                <w:szCs w:val="16"/>
              </w:rPr>
              <w:t>4,006</w:t>
            </w:r>
          </w:p>
        </w:tc>
        <w:tc>
          <w:tcPr>
            <w:tcW w:w="1083" w:type="pct"/>
            <w:vAlign w:val="center"/>
          </w:tcPr>
          <w:p w14:paraId="2C99A2B4" w14:textId="77777777" w:rsidR="0039534D" w:rsidRPr="00781112" w:rsidRDefault="0039534D" w:rsidP="0039534D">
            <w:pPr>
              <w:jc w:val="center"/>
              <w:rPr>
                <w:rFonts w:cs="Arial"/>
                <w:color w:val="000000" w:themeColor="text1"/>
                <w:szCs w:val="16"/>
              </w:rPr>
            </w:pPr>
            <w:r w:rsidRPr="00781112">
              <w:rPr>
                <w:rFonts w:cs="Arial"/>
                <w:color w:val="000000" w:themeColor="text1"/>
                <w:szCs w:val="16"/>
              </w:rPr>
              <w:t>3,372</w:t>
            </w:r>
          </w:p>
        </w:tc>
        <w:tc>
          <w:tcPr>
            <w:tcW w:w="1084" w:type="pct"/>
            <w:vAlign w:val="center"/>
          </w:tcPr>
          <w:p w14:paraId="1D03ABF5" w14:textId="77777777" w:rsidR="0039534D" w:rsidRPr="00781112" w:rsidRDefault="0039534D" w:rsidP="0039534D">
            <w:pPr>
              <w:jc w:val="center"/>
              <w:rPr>
                <w:rFonts w:cs="Arial"/>
                <w:color w:val="000000" w:themeColor="text1"/>
                <w:szCs w:val="16"/>
              </w:rPr>
            </w:pPr>
            <w:r w:rsidRPr="00781112">
              <w:rPr>
                <w:rFonts w:cs="Arial"/>
                <w:color w:val="000000" w:themeColor="text1"/>
                <w:szCs w:val="16"/>
              </w:rPr>
              <w:t>2,437</w:t>
            </w:r>
          </w:p>
        </w:tc>
      </w:tr>
      <w:tr w:rsidR="0039534D" w:rsidRPr="00781112" w14:paraId="55352061" w14:textId="77777777" w:rsidTr="00E95FBF">
        <w:tc>
          <w:tcPr>
            <w:tcW w:w="1749" w:type="pct"/>
          </w:tcPr>
          <w:p w14:paraId="67F4170E" w14:textId="77777777" w:rsidR="0039534D" w:rsidRPr="00781112" w:rsidRDefault="0039534D" w:rsidP="0039534D">
            <w:pPr>
              <w:rPr>
                <w:rFonts w:cs="Arial"/>
                <w:color w:val="000000" w:themeColor="text1"/>
                <w:szCs w:val="16"/>
              </w:rPr>
            </w:pPr>
            <w:r w:rsidRPr="0075451F">
              <w:rPr>
                <w:rFonts w:cs="Arial"/>
                <w:szCs w:val="16"/>
                <w:shd w:val="clear" w:color="auto" w:fill="FFFFFF"/>
              </w:rPr>
              <w:t>c. All students in regular assessment with no accommodations scored at or above proficient against grade level</w:t>
            </w:r>
          </w:p>
        </w:tc>
        <w:tc>
          <w:tcPr>
            <w:tcW w:w="1083" w:type="pct"/>
            <w:vAlign w:val="center"/>
          </w:tcPr>
          <w:p w14:paraId="1A25624F" w14:textId="77777777" w:rsidR="0039534D" w:rsidRPr="00781112" w:rsidRDefault="0039534D" w:rsidP="0039534D">
            <w:pPr>
              <w:jc w:val="center"/>
              <w:rPr>
                <w:rFonts w:cs="Arial"/>
                <w:color w:val="000000" w:themeColor="text1"/>
                <w:szCs w:val="16"/>
              </w:rPr>
            </w:pPr>
            <w:r w:rsidRPr="00781112">
              <w:rPr>
                <w:rFonts w:cs="Arial"/>
                <w:color w:val="000000" w:themeColor="text1"/>
                <w:szCs w:val="16"/>
              </w:rPr>
              <w:t>7,630</w:t>
            </w:r>
          </w:p>
        </w:tc>
        <w:tc>
          <w:tcPr>
            <w:tcW w:w="1083" w:type="pct"/>
            <w:vAlign w:val="center"/>
          </w:tcPr>
          <w:p w14:paraId="27392B98" w14:textId="77777777" w:rsidR="0039534D" w:rsidRPr="00781112" w:rsidRDefault="0039534D" w:rsidP="0039534D">
            <w:pPr>
              <w:jc w:val="center"/>
              <w:rPr>
                <w:rFonts w:cs="Arial"/>
                <w:color w:val="000000" w:themeColor="text1"/>
                <w:szCs w:val="16"/>
              </w:rPr>
            </w:pPr>
            <w:r w:rsidRPr="00781112">
              <w:rPr>
                <w:rFonts w:cs="Arial"/>
                <w:color w:val="000000" w:themeColor="text1"/>
                <w:szCs w:val="16"/>
              </w:rPr>
              <w:t>5,371</w:t>
            </w:r>
          </w:p>
        </w:tc>
        <w:tc>
          <w:tcPr>
            <w:tcW w:w="1084" w:type="pct"/>
            <w:vAlign w:val="center"/>
          </w:tcPr>
          <w:p w14:paraId="574A3737" w14:textId="77777777" w:rsidR="0039534D" w:rsidRPr="00781112" w:rsidRDefault="0039534D" w:rsidP="0039534D">
            <w:pPr>
              <w:jc w:val="center"/>
              <w:rPr>
                <w:rFonts w:cs="Arial"/>
                <w:color w:val="000000" w:themeColor="text1"/>
                <w:szCs w:val="16"/>
              </w:rPr>
            </w:pPr>
            <w:r w:rsidRPr="00781112">
              <w:rPr>
                <w:rFonts w:cs="Arial"/>
                <w:color w:val="000000" w:themeColor="text1"/>
                <w:szCs w:val="16"/>
              </w:rPr>
              <w:t>3,076</w:t>
            </w:r>
          </w:p>
        </w:tc>
      </w:tr>
      <w:tr w:rsidR="0039534D" w:rsidRPr="00781112" w14:paraId="62E6BB44" w14:textId="77777777" w:rsidTr="00E95FBF">
        <w:tc>
          <w:tcPr>
            <w:tcW w:w="1749" w:type="pct"/>
          </w:tcPr>
          <w:p w14:paraId="72281C8D" w14:textId="77777777" w:rsidR="0039534D" w:rsidRPr="00781112" w:rsidRDefault="0039534D" w:rsidP="0039534D">
            <w:pPr>
              <w:rPr>
                <w:rFonts w:cs="Arial"/>
                <w:color w:val="000000" w:themeColor="text1"/>
                <w:szCs w:val="16"/>
              </w:rPr>
            </w:pPr>
            <w:r w:rsidRPr="0075451F">
              <w:rPr>
                <w:rFonts w:cs="Arial"/>
                <w:szCs w:val="16"/>
                <w:shd w:val="clear" w:color="auto" w:fill="FFFFFF"/>
              </w:rPr>
              <w:lastRenderedPageBreak/>
              <w:t>d. All students in regular assessment with accommodations scored at or above proficient against grade level</w:t>
            </w:r>
          </w:p>
        </w:tc>
        <w:tc>
          <w:tcPr>
            <w:tcW w:w="1083" w:type="pct"/>
            <w:vAlign w:val="center"/>
          </w:tcPr>
          <w:p w14:paraId="07DC3BF8" w14:textId="77777777" w:rsidR="0039534D" w:rsidRPr="00781112" w:rsidRDefault="0039534D" w:rsidP="0039534D">
            <w:pPr>
              <w:jc w:val="center"/>
              <w:rPr>
                <w:rFonts w:cs="Arial"/>
                <w:color w:val="000000" w:themeColor="text1"/>
                <w:szCs w:val="16"/>
              </w:rPr>
            </w:pPr>
            <w:r w:rsidRPr="00781112">
              <w:rPr>
                <w:rFonts w:cs="Arial"/>
                <w:color w:val="000000" w:themeColor="text1"/>
                <w:szCs w:val="16"/>
              </w:rPr>
              <w:t>543</w:t>
            </w:r>
          </w:p>
        </w:tc>
        <w:tc>
          <w:tcPr>
            <w:tcW w:w="1083" w:type="pct"/>
            <w:vAlign w:val="center"/>
          </w:tcPr>
          <w:p w14:paraId="26F55E8E" w14:textId="77777777" w:rsidR="0039534D" w:rsidRPr="00781112" w:rsidRDefault="0039534D" w:rsidP="0039534D">
            <w:pPr>
              <w:jc w:val="center"/>
              <w:rPr>
                <w:rFonts w:cs="Arial"/>
                <w:color w:val="000000" w:themeColor="text1"/>
                <w:szCs w:val="16"/>
              </w:rPr>
            </w:pPr>
            <w:r w:rsidRPr="00781112">
              <w:rPr>
                <w:rFonts w:cs="Arial"/>
                <w:color w:val="000000" w:themeColor="text1"/>
                <w:szCs w:val="16"/>
              </w:rPr>
              <w:t>224</w:t>
            </w:r>
          </w:p>
        </w:tc>
        <w:tc>
          <w:tcPr>
            <w:tcW w:w="1084" w:type="pct"/>
            <w:vAlign w:val="center"/>
          </w:tcPr>
          <w:p w14:paraId="2E392FAD" w14:textId="77777777" w:rsidR="0039534D" w:rsidRPr="00781112" w:rsidRDefault="0039534D" w:rsidP="0039534D">
            <w:pPr>
              <w:jc w:val="center"/>
              <w:rPr>
                <w:rFonts w:cs="Arial"/>
                <w:color w:val="000000" w:themeColor="text1"/>
                <w:szCs w:val="16"/>
              </w:rPr>
            </w:pPr>
            <w:r w:rsidRPr="00781112">
              <w:rPr>
                <w:rFonts w:cs="Arial"/>
                <w:color w:val="000000" w:themeColor="text1"/>
                <w:szCs w:val="16"/>
              </w:rPr>
              <w:t>74</w:t>
            </w:r>
          </w:p>
        </w:tc>
      </w:tr>
      <w:tr w:rsidR="0039534D" w:rsidRPr="00781112" w14:paraId="4862A0ED" w14:textId="77777777" w:rsidTr="00E95FBF">
        <w:tc>
          <w:tcPr>
            <w:tcW w:w="1749" w:type="pct"/>
          </w:tcPr>
          <w:p w14:paraId="48AAFB1E" w14:textId="77777777" w:rsidR="0039534D" w:rsidRPr="00781112" w:rsidRDefault="0039534D" w:rsidP="0039534D">
            <w:pPr>
              <w:rPr>
                <w:rFonts w:cs="Arial"/>
                <w:color w:val="000000" w:themeColor="text1"/>
                <w:szCs w:val="16"/>
              </w:rPr>
            </w:pPr>
            <w:r w:rsidRPr="00781112">
              <w:rPr>
                <w:rFonts w:cs="Arial"/>
                <w:szCs w:val="16"/>
                <w:shd w:val="clear" w:color="auto" w:fill="FFFFFF"/>
              </w:rPr>
              <w:t>e. Children with IEPs in regular assessment with no accommodations scored at or above proficient against grade level</w:t>
            </w:r>
          </w:p>
        </w:tc>
        <w:tc>
          <w:tcPr>
            <w:tcW w:w="1083" w:type="pct"/>
            <w:vAlign w:val="center"/>
          </w:tcPr>
          <w:p w14:paraId="62707873" w14:textId="77777777" w:rsidR="0039534D" w:rsidRPr="00781112" w:rsidRDefault="0039534D" w:rsidP="0039534D">
            <w:pPr>
              <w:jc w:val="center"/>
              <w:rPr>
                <w:rFonts w:cs="Arial"/>
                <w:color w:val="000000" w:themeColor="text1"/>
                <w:szCs w:val="16"/>
              </w:rPr>
            </w:pPr>
            <w:r w:rsidRPr="00781112">
              <w:rPr>
                <w:rFonts w:cs="Arial"/>
                <w:color w:val="000000" w:themeColor="text1"/>
                <w:szCs w:val="16"/>
              </w:rPr>
              <w:t>472</w:t>
            </w:r>
          </w:p>
        </w:tc>
        <w:tc>
          <w:tcPr>
            <w:tcW w:w="1083" w:type="pct"/>
            <w:vAlign w:val="center"/>
          </w:tcPr>
          <w:p w14:paraId="0FC9C9B8" w14:textId="77777777" w:rsidR="0039534D" w:rsidRPr="00781112" w:rsidRDefault="0039534D" w:rsidP="0039534D">
            <w:pPr>
              <w:jc w:val="center"/>
              <w:rPr>
                <w:rFonts w:cs="Arial"/>
                <w:color w:val="000000" w:themeColor="text1"/>
                <w:szCs w:val="16"/>
              </w:rPr>
            </w:pPr>
            <w:r w:rsidRPr="00781112">
              <w:rPr>
                <w:rFonts w:cs="Arial"/>
                <w:color w:val="000000" w:themeColor="text1"/>
                <w:szCs w:val="16"/>
              </w:rPr>
              <w:t>81</w:t>
            </w:r>
          </w:p>
        </w:tc>
        <w:tc>
          <w:tcPr>
            <w:tcW w:w="1084" w:type="pct"/>
            <w:vAlign w:val="center"/>
          </w:tcPr>
          <w:p w14:paraId="4B4C4793" w14:textId="77777777" w:rsidR="0039534D" w:rsidRPr="00781112" w:rsidRDefault="0039534D" w:rsidP="0039534D">
            <w:pPr>
              <w:jc w:val="center"/>
              <w:rPr>
                <w:rFonts w:cs="Arial"/>
                <w:color w:val="000000" w:themeColor="text1"/>
                <w:szCs w:val="16"/>
              </w:rPr>
            </w:pPr>
            <w:r w:rsidRPr="00781112">
              <w:rPr>
                <w:rFonts w:cs="Arial"/>
                <w:color w:val="000000" w:themeColor="text1"/>
                <w:szCs w:val="16"/>
              </w:rPr>
              <w:t>40</w:t>
            </w:r>
          </w:p>
        </w:tc>
      </w:tr>
      <w:tr w:rsidR="0039534D" w:rsidRPr="00781112" w14:paraId="73057B87" w14:textId="77777777" w:rsidTr="00E95FBF">
        <w:tc>
          <w:tcPr>
            <w:tcW w:w="1749" w:type="pct"/>
          </w:tcPr>
          <w:p w14:paraId="0AC48BBA" w14:textId="77777777" w:rsidR="0039534D" w:rsidRPr="00781112" w:rsidRDefault="0039534D" w:rsidP="0039534D">
            <w:pPr>
              <w:rPr>
                <w:rFonts w:cs="Arial"/>
                <w:color w:val="000000" w:themeColor="text1"/>
                <w:szCs w:val="16"/>
              </w:rPr>
            </w:pPr>
            <w:r w:rsidRPr="00781112">
              <w:rPr>
                <w:rFonts w:cs="Arial"/>
                <w:szCs w:val="16"/>
                <w:shd w:val="clear" w:color="auto" w:fill="FFFFFF"/>
              </w:rPr>
              <w:t>f. Children with IEPs in regular assessment with accommodations scored at or above proficient against grade level</w:t>
            </w:r>
          </w:p>
        </w:tc>
        <w:tc>
          <w:tcPr>
            <w:tcW w:w="1083" w:type="pct"/>
            <w:vAlign w:val="center"/>
          </w:tcPr>
          <w:p w14:paraId="31311A11" w14:textId="77777777" w:rsidR="0039534D" w:rsidRPr="00781112" w:rsidRDefault="0039534D" w:rsidP="0039534D">
            <w:pPr>
              <w:jc w:val="center"/>
              <w:rPr>
                <w:rFonts w:cs="Arial"/>
                <w:color w:val="000000" w:themeColor="text1"/>
                <w:szCs w:val="16"/>
              </w:rPr>
            </w:pPr>
            <w:r w:rsidRPr="00781112">
              <w:rPr>
                <w:rFonts w:cs="Arial"/>
                <w:color w:val="000000" w:themeColor="text1"/>
                <w:szCs w:val="16"/>
              </w:rPr>
              <w:t>342</w:t>
            </w:r>
          </w:p>
        </w:tc>
        <w:tc>
          <w:tcPr>
            <w:tcW w:w="1083" w:type="pct"/>
            <w:vAlign w:val="center"/>
          </w:tcPr>
          <w:p w14:paraId="43C1BA32" w14:textId="77777777" w:rsidR="0039534D" w:rsidRPr="00781112" w:rsidRDefault="0039534D" w:rsidP="0039534D">
            <w:pPr>
              <w:jc w:val="center"/>
              <w:rPr>
                <w:rFonts w:cs="Arial"/>
                <w:color w:val="000000" w:themeColor="text1"/>
                <w:szCs w:val="16"/>
              </w:rPr>
            </w:pPr>
            <w:r w:rsidRPr="00781112">
              <w:rPr>
                <w:rFonts w:cs="Arial"/>
                <w:color w:val="000000" w:themeColor="text1"/>
                <w:szCs w:val="16"/>
              </w:rPr>
              <w:t>125</w:t>
            </w:r>
          </w:p>
        </w:tc>
        <w:tc>
          <w:tcPr>
            <w:tcW w:w="1084" w:type="pct"/>
            <w:vAlign w:val="center"/>
          </w:tcPr>
          <w:p w14:paraId="7A10D698" w14:textId="77777777" w:rsidR="0039534D" w:rsidRPr="00781112" w:rsidRDefault="0039534D" w:rsidP="0039534D">
            <w:pPr>
              <w:jc w:val="center"/>
              <w:rPr>
                <w:rFonts w:cs="Arial"/>
                <w:color w:val="000000" w:themeColor="text1"/>
                <w:szCs w:val="16"/>
              </w:rPr>
            </w:pPr>
            <w:r w:rsidRPr="00781112">
              <w:rPr>
                <w:rFonts w:cs="Arial"/>
                <w:color w:val="000000" w:themeColor="text1"/>
                <w:szCs w:val="16"/>
              </w:rPr>
              <w:t>26</w:t>
            </w:r>
          </w:p>
        </w:tc>
      </w:tr>
    </w:tbl>
    <w:p w14:paraId="3460E30E" w14:textId="77777777" w:rsidR="007519E8" w:rsidRDefault="007519E8" w:rsidP="007519E8">
      <w:pPr>
        <w:pStyle w:val="Subhed"/>
        <w:rPr>
          <w:b w:val="0"/>
          <w:bCs/>
        </w:rPr>
      </w:pPr>
      <w:r>
        <w:rPr>
          <w:b w:val="0"/>
          <w:bCs/>
        </w:rPr>
        <w:t>(1)The term “regular assessment” is an aggregation of the following types of assessments as applicable for each grade/ grade group: regular assessment based on grade-level achievement standards, advanced assessment, Innovative Assessment Demonstration Authority (IADA) pilot assessment, high school regular assessment I, high school regular assessment II, high school regular assessment III and locally-selected nationally recognized high school assessment in the prefilled data in this indicator.</w:t>
      </w:r>
      <w:r>
        <w:t xml:space="preserve"> </w:t>
      </w:r>
    </w:p>
    <w:p w14:paraId="03F3510E" w14:textId="77777777" w:rsidR="00DD5B7A" w:rsidRPr="00781112" w:rsidRDefault="00DD5B7A" w:rsidP="00DD5B7A">
      <w:pPr>
        <w:rPr>
          <w:color w:val="000000" w:themeColor="text1"/>
        </w:rPr>
      </w:pPr>
    </w:p>
    <w:p w14:paraId="287925B5" w14:textId="77777777" w:rsidR="00DD5B7A" w:rsidRPr="00781112" w:rsidRDefault="0047313F" w:rsidP="00DD5B7A">
      <w:pPr>
        <w:rPr>
          <w:b/>
          <w:color w:val="000000" w:themeColor="text1"/>
        </w:rPr>
      </w:pPr>
      <w:r>
        <w:rPr>
          <w:b/>
          <w:color w:val="000000" w:themeColor="text1"/>
        </w:rPr>
        <w:t>FFY 2024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FFYAPRDATARLA"/>
      </w:tblPr>
      <w:tblGrid>
        <w:gridCol w:w="715"/>
        <w:gridCol w:w="995"/>
        <w:gridCol w:w="1752"/>
        <w:gridCol w:w="1752"/>
        <w:gridCol w:w="1114"/>
        <w:gridCol w:w="1116"/>
        <w:gridCol w:w="1116"/>
        <w:gridCol w:w="1116"/>
        <w:gridCol w:w="1114"/>
      </w:tblGrid>
      <w:tr w:rsidR="00FA33C9" w:rsidRPr="00781112" w14:paraId="11587446" w14:textId="77777777" w:rsidTr="00360DD6">
        <w:trPr>
          <w:tblHeader/>
        </w:trPr>
        <w:tc>
          <w:tcPr>
            <w:tcW w:w="331" w:type="pct"/>
            <w:vAlign w:val="bottom"/>
          </w:tcPr>
          <w:p w14:paraId="4AA85D41" w14:textId="77777777" w:rsidR="00FA33C9" w:rsidRPr="00781112" w:rsidRDefault="00FA33C9" w:rsidP="00FA33C9">
            <w:pPr>
              <w:jc w:val="center"/>
              <w:rPr>
                <w:b/>
                <w:color w:val="000000" w:themeColor="text1"/>
              </w:rPr>
            </w:pPr>
            <w:r w:rsidRPr="00781112">
              <w:rPr>
                <w:b/>
                <w:color w:val="000000" w:themeColor="text1"/>
              </w:rPr>
              <w:t>Group</w:t>
            </w:r>
          </w:p>
        </w:tc>
        <w:tc>
          <w:tcPr>
            <w:tcW w:w="461" w:type="pct"/>
            <w:vAlign w:val="bottom"/>
          </w:tcPr>
          <w:p w14:paraId="380E71E9" w14:textId="77777777" w:rsidR="00FA33C9" w:rsidRPr="00781112" w:rsidRDefault="00FA33C9" w:rsidP="00FA33C9">
            <w:pPr>
              <w:jc w:val="center"/>
              <w:rPr>
                <w:b/>
                <w:color w:val="000000" w:themeColor="text1"/>
              </w:rPr>
            </w:pPr>
            <w:r w:rsidRPr="00781112">
              <w:rPr>
                <w:b/>
                <w:color w:val="000000" w:themeColor="text1"/>
              </w:rPr>
              <w:t>Group Name</w:t>
            </w:r>
          </w:p>
        </w:tc>
        <w:tc>
          <w:tcPr>
            <w:tcW w:w="812" w:type="pct"/>
          </w:tcPr>
          <w:p w14:paraId="1D34D5AF" w14:textId="77777777" w:rsidR="00FA33C9" w:rsidRPr="00781112" w:rsidRDefault="00FA33C9" w:rsidP="00FA33C9">
            <w:pPr>
              <w:jc w:val="center"/>
              <w:rPr>
                <w:b/>
                <w:bCs/>
                <w:color w:val="000000" w:themeColor="text1"/>
              </w:rPr>
            </w:pPr>
            <w:r w:rsidRPr="00781112">
              <w:rPr>
                <w:b/>
                <w:bCs/>
              </w:rPr>
              <w:t xml:space="preserve">Proficiency rate for children with IEPs scoring at or above proficient against grade level academic achievement standards </w:t>
            </w:r>
          </w:p>
        </w:tc>
        <w:tc>
          <w:tcPr>
            <w:tcW w:w="812" w:type="pct"/>
          </w:tcPr>
          <w:p w14:paraId="0EF64C7B" w14:textId="77777777" w:rsidR="00FA33C9" w:rsidRPr="00781112" w:rsidRDefault="00FA33C9" w:rsidP="00FA33C9">
            <w:pPr>
              <w:jc w:val="center"/>
              <w:rPr>
                <w:b/>
                <w:bCs/>
                <w:color w:val="000000" w:themeColor="text1"/>
              </w:rPr>
            </w:pPr>
            <w:r w:rsidRPr="00781112">
              <w:rPr>
                <w:b/>
                <w:bCs/>
              </w:rPr>
              <w:t xml:space="preserve">Proficiency rate for all students scoring at or above proficient against grade level academic achievement standards </w:t>
            </w:r>
          </w:p>
        </w:tc>
        <w:tc>
          <w:tcPr>
            <w:tcW w:w="516" w:type="pct"/>
            <w:vAlign w:val="bottom"/>
          </w:tcPr>
          <w:p w14:paraId="19E0BD1D" w14:textId="77777777" w:rsidR="00FA33C9" w:rsidRPr="00073BD7" w:rsidRDefault="00FA33C9" w:rsidP="00FA33C9">
            <w:pPr>
              <w:jc w:val="center"/>
              <w:rPr>
                <w:b/>
                <w:bCs/>
                <w:color w:val="000000" w:themeColor="text1"/>
              </w:rPr>
            </w:pPr>
            <w:r w:rsidRPr="00073BD7">
              <w:rPr>
                <w:b/>
                <w:bCs/>
              </w:rPr>
              <w:t>FFY 2023 Data</w:t>
            </w:r>
          </w:p>
        </w:tc>
        <w:tc>
          <w:tcPr>
            <w:tcW w:w="517" w:type="pct"/>
            <w:vAlign w:val="bottom"/>
          </w:tcPr>
          <w:p w14:paraId="5DC3BE60" w14:textId="77777777" w:rsidR="00FA33C9" w:rsidRPr="00073BD7" w:rsidRDefault="00FA33C9" w:rsidP="00FA33C9">
            <w:pPr>
              <w:jc w:val="center"/>
              <w:rPr>
                <w:b/>
                <w:bCs/>
                <w:color w:val="000000" w:themeColor="text1"/>
              </w:rPr>
            </w:pPr>
            <w:r w:rsidRPr="00073BD7">
              <w:rPr>
                <w:b/>
                <w:bCs/>
              </w:rPr>
              <w:t>FFY 2024 Target</w:t>
            </w:r>
          </w:p>
        </w:tc>
        <w:tc>
          <w:tcPr>
            <w:tcW w:w="517" w:type="pct"/>
            <w:vAlign w:val="bottom"/>
          </w:tcPr>
          <w:p w14:paraId="396B5599" w14:textId="77777777" w:rsidR="00FA33C9" w:rsidRPr="00073BD7" w:rsidRDefault="00FA33C9" w:rsidP="00FA33C9">
            <w:pPr>
              <w:jc w:val="center"/>
              <w:rPr>
                <w:b/>
                <w:bCs/>
                <w:color w:val="000000" w:themeColor="text1"/>
              </w:rPr>
            </w:pPr>
            <w:r w:rsidRPr="00073BD7">
              <w:rPr>
                <w:b/>
                <w:bCs/>
              </w:rPr>
              <w:t>FFY 2024 Data</w:t>
            </w:r>
          </w:p>
        </w:tc>
        <w:tc>
          <w:tcPr>
            <w:tcW w:w="517" w:type="pct"/>
            <w:vAlign w:val="bottom"/>
          </w:tcPr>
          <w:p w14:paraId="65BF978F" w14:textId="77777777" w:rsidR="00FA33C9" w:rsidRPr="00781112" w:rsidRDefault="00FA33C9" w:rsidP="00FA33C9">
            <w:pPr>
              <w:jc w:val="center"/>
              <w:rPr>
                <w:b/>
                <w:color w:val="000000" w:themeColor="text1"/>
              </w:rPr>
            </w:pPr>
            <w:r w:rsidRPr="00781112">
              <w:rPr>
                <w:b/>
                <w:color w:val="000000" w:themeColor="text1"/>
              </w:rPr>
              <w:t>Status</w:t>
            </w:r>
          </w:p>
        </w:tc>
        <w:tc>
          <w:tcPr>
            <w:tcW w:w="516" w:type="pct"/>
            <w:vAlign w:val="bottom"/>
          </w:tcPr>
          <w:p w14:paraId="02264602" w14:textId="77777777" w:rsidR="00FA33C9" w:rsidRPr="00781112" w:rsidRDefault="00FA33C9" w:rsidP="00FA33C9">
            <w:pPr>
              <w:jc w:val="center"/>
              <w:rPr>
                <w:b/>
                <w:color w:val="000000" w:themeColor="text1"/>
              </w:rPr>
            </w:pPr>
            <w:r w:rsidRPr="00781112">
              <w:rPr>
                <w:b/>
                <w:color w:val="000000" w:themeColor="text1"/>
              </w:rPr>
              <w:t>Slippage</w:t>
            </w:r>
          </w:p>
        </w:tc>
      </w:tr>
      <w:tr w:rsidR="00E22739" w:rsidRPr="00781112" w14:paraId="314C4656" w14:textId="77777777" w:rsidTr="00360DD6">
        <w:tc>
          <w:tcPr>
            <w:tcW w:w="331" w:type="pct"/>
            <w:vAlign w:val="center"/>
          </w:tcPr>
          <w:p w14:paraId="09716818"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t>A</w:t>
            </w:r>
          </w:p>
        </w:tc>
        <w:tc>
          <w:tcPr>
            <w:tcW w:w="461" w:type="pct"/>
            <w:vAlign w:val="center"/>
          </w:tcPr>
          <w:p w14:paraId="5EB30FD9" w14:textId="77777777"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4</w:t>
            </w:r>
          </w:p>
        </w:tc>
        <w:tc>
          <w:tcPr>
            <w:tcW w:w="812" w:type="pct"/>
          </w:tcPr>
          <w:p w14:paraId="1673DB57" w14:textId="77777777" w:rsidR="00E22739" w:rsidRPr="00781112" w:rsidRDefault="00E22739" w:rsidP="00E22739">
            <w:pPr>
              <w:jc w:val="center"/>
              <w:rPr>
                <w:rFonts w:cs="Arial"/>
                <w:color w:val="000000" w:themeColor="text1"/>
                <w:szCs w:val="16"/>
              </w:rPr>
            </w:pPr>
            <w:r w:rsidRPr="00781112">
              <w:rPr>
                <w:rFonts w:cs="Arial"/>
                <w:color w:val="000000"/>
                <w:szCs w:val="16"/>
              </w:rPr>
              <w:t>18.53%</w:t>
            </w:r>
          </w:p>
        </w:tc>
        <w:tc>
          <w:tcPr>
            <w:tcW w:w="812" w:type="pct"/>
            <w:vAlign w:val="center"/>
          </w:tcPr>
          <w:p w14:paraId="75B25478" w14:textId="77777777" w:rsidR="00E22739" w:rsidRPr="00781112" w:rsidRDefault="00E22739" w:rsidP="00E22739">
            <w:pPr>
              <w:jc w:val="center"/>
              <w:rPr>
                <w:rFonts w:cs="Arial"/>
                <w:color w:val="000000" w:themeColor="text1"/>
                <w:szCs w:val="16"/>
              </w:rPr>
            </w:pPr>
            <w:r w:rsidRPr="00781112">
              <w:rPr>
                <w:rFonts w:cs="Arial"/>
                <w:color w:val="000000" w:themeColor="text1"/>
                <w:szCs w:val="16"/>
              </w:rPr>
              <w:t>50.03%</w:t>
            </w:r>
          </w:p>
        </w:tc>
        <w:tc>
          <w:tcPr>
            <w:tcW w:w="516" w:type="pct"/>
            <w:vAlign w:val="center"/>
          </w:tcPr>
          <w:p w14:paraId="555F84D1" w14:textId="77777777" w:rsidR="00E22739" w:rsidRPr="00781112" w:rsidRDefault="00E22739" w:rsidP="00E22739">
            <w:pPr>
              <w:jc w:val="center"/>
              <w:rPr>
                <w:rFonts w:cs="Arial"/>
                <w:color w:val="000000" w:themeColor="text1"/>
                <w:szCs w:val="16"/>
              </w:rPr>
            </w:pPr>
            <w:r w:rsidRPr="00781112">
              <w:rPr>
                <w:rFonts w:cs="Arial"/>
                <w:color w:val="000000" w:themeColor="text1"/>
                <w:szCs w:val="16"/>
              </w:rPr>
              <w:t>27.96</w:t>
            </w:r>
          </w:p>
        </w:tc>
        <w:tc>
          <w:tcPr>
            <w:tcW w:w="517" w:type="pct"/>
            <w:vAlign w:val="center"/>
          </w:tcPr>
          <w:p w14:paraId="4C771E44" w14:textId="77777777" w:rsidR="00E22739" w:rsidRPr="00781112" w:rsidRDefault="00E22739" w:rsidP="00E22739">
            <w:pPr>
              <w:jc w:val="center"/>
              <w:rPr>
                <w:rFonts w:cs="Arial"/>
                <w:color w:val="000000" w:themeColor="text1"/>
                <w:szCs w:val="16"/>
              </w:rPr>
            </w:pPr>
            <w:r w:rsidRPr="00781112">
              <w:rPr>
                <w:rFonts w:cs="Arial"/>
                <w:color w:val="000000" w:themeColor="text1"/>
                <w:szCs w:val="16"/>
              </w:rPr>
              <w:t>28.00</w:t>
            </w:r>
          </w:p>
        </w:tc>
        <w:tc>
          <w:tcPr>
            <w:tcW w:w="517" w:type="pct"/>
            <w:vAlign w:val="center"/>
          </w:tcPr>
          <w:p w14:paraId="10D0F677" w14:textId="77777777" w:rsidR="00E22739" w:rsidRPr="00781112" w:rsidRDefault="00E22739" w:rsidP="00E22739">
            <w:pPr>
              <w:jc w:val="center"/>
              <w:rPr>
                <w:rFonts w:cs="Arial"/>
                <w:color w:val="000000" w:themeColor="text1"/>
                <w:szCs w:val="16"/>
              </w:rPr>
            </w:pPr>
            <w:r w:rsidRPr="00781112">
              <w:rPr>
                <w:rFonts w:cs="Arial"/>
                <w:color w:val="000000" w:themeColor="text1"/>
                <w:szCs w:val="16"/>
              </w:rPr>
              <w:t>31.50</w:t>
            </w:r>
          </w:p>
        </w:tc>
        <w:tc>
          <w:tcPr>
            <w:tcW w:w="517" w:type="pct"/>
            <w:vAlign w:val="center"/>
          </w:tcPr>
          <w:p w14:paraId="3B8BEBF4" w14:textId="77777777" w:rsidR="00E22739" w:rsidRPr="00781112" w:rsidRDefault="00E22739" w:rsidP="00E22739">
            <w:pPr>
              <w:jc w:val="center"/>
              <w:rPr>
                <w:rFonts w:cs="Arial"/>
                <w:color w:val="000000" w:themeColor="text1"/>
                <w:szCs w:val="16"/>
              </w:rPr>
            </w:pPr>
            <w:r w:rsidRPr="00781112">
              <w:rPr>
                <w:rFonts w:cs="Arial"/>
                <w:color w:val="000000" w:themeColor="text1"/>
                <w:szCs w:val="16"/>
              </w:rPr>
              <w:t>Did not meet target</w:t>
            </w:r>
          </w:p>
        </w:tc>
        <w:tc>
          <w:tcPr>
            <w:tcW w:w="516" w:type="pct"/>
            <w:vAlign w:val="center"/>
          </w:tcPr>
          <w:p w14:paraId="01E7B661" w14:textId="77777777" w:rsidR="00E22739" w:rsidRPr="00781112" w:rsidRDefault="00E22739" w:rsidP="00E22739">
            <w:pPr>
              <w:jc w:val="center"/>
              <w:rPr>
                <w:rFonts w:cs="Arial"/>
                <w:color w:val="000000" w:themeColor="text1"/>
                <w:szCs w:val="16"/>
              </w:rPr>
            </w:pPr>
            <w:r w:rsidRPr="00781112">
              <w:rPr>
                <w:rFonts w:cs="Arial"/>
                <w:color w:val="000000" w:themeColor="text1"/>
                <w:szCs w:val="16"/>
              </w:rPr>
              <w:t>Slippage</w:t>
            </w:r>
          </w:p>
        </w:tc>
      </w:tr>
      <w:tr w:rsidR="00E22739" w:rsidRPr="00781112" w14:paraId="12AF33D9" w14:textId="77777777" w:rsidTr="00360DD6">
        <w:tc>
          <w:tcPr>
            <w:tcW w:w="331" w:type="pct"/>
            <w:vAlign w:val="center"/>
          </w:tcPr>
          <w:p w14:paraId="56331355"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t>B</w:t>
            </w:r>
          </w:p>
        </w:tc>
        <w:tc>
          <w:tcPr>
            <w:tcW w:w="461" w:type="pct"/>
            <w:vAlign w:val="center"/>
          </w:tcPr>
          <w:p w14:paraId="0079764E" w14:textId="77777777"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8</w:t>
            </w:r>
          </w:p>
        </w:tc>
        <w:tc>
          <w:tcPr>
            <w:tcW w:w="812" w:type="pct"/>
          </w:tcPr>
          <w:p w14:paraId="4EBC3A51" w14:textId="77777777" w:rsidR="00E22739" w:rsidRPr="00781112" w:rsidRDefault="00E22739" w:rsidP="00E22739">
            <w:pPr>
              <w:jc w:val="center"/>
              <w:rPr>
                <w:rFonts w:cs="Arial"/>
                <w:color w:val="000000" w:themeColor="text1"/>
                <w:szCs w:val="16"/>
              </w:rPr>
            </w:pPr>
            <w:r w:rsidRPr="00781112">
              <w:rPr>
                <w:rFonts w:cs="Arial"/>
                <w:color w:val="000000"/>
                <w:szCs w:val="16"/>
              </w:rPr>
              <w:t>9.28%</w:t>
            </w:r>
          </w:p>
        </w:tc>
        <w:tc>
          <w:tcPr>
            <w:tcW w:w="812" w:type="pct"/>
            <w:vAlign w:val="center"/>
          </w:tcPr>
          <w:p w14:paraId="2616272C" w14:textId="77777777" w:rsidR="00E22739" w:rsidRPr="00781112" w:rsidRDefault="00E22739" w:rsidP="00E22739">
            <w:pPr>
              <w:jc w:val="center"/>
              <w:rPr>
                <w:rFonts w:cs="Arial"/>
                <w:color w:val="000000" w:themeColor="text1"/>
                <w:szCs w:val="16"/>
              </w:rPr>
            </w:pPr>
            <w:r w:rsidRPr="00781112">
              <w:rPr>
                <w:rFonts w:cs="Arial"/>
                <w:color w:val="000000" w:themeColor="text1"/>
                <w:szCs w:val="16"/>
              </w:rPr>
              <w:t>42.62%</w:t>
            </w:r>
          </w:p>
        </w:tc>
        <w:tc>
          <w:tcPr>
            <w:tcW w:w="516" w:type="pct"/>
            <w:vAlign w:val="center"/>
          </w:tcPr>
          <w:p w14:paraId="3AE97796" w14:textId="77777777" w:rsidR="00E22739" w:rsidRPr="00781112" w:rsidRDefault="00E22739" w:rsidP="00E22739">
            <w:pPr>
              <w:jc w:val="center"/>
              <w:rPr>
                <w:rFonts w:cs="Arial"/>
                <w:color w:val="000000" w:themeColor="text1"/>
                <w:szCs w:val="16"/>
              </w:rPr>
            </w:pPr>
            <w:r w:rsidRPr="00781112">
              <w:rPr>
                <w:rFonts w:cs="Arial"/>
                <w:color w:val="000000" w:themeColor="text1"/>
                <w:szCs w:val="16"/>
              </w:rPr>
              <w:t>30.97</w:t>
            </w:r>
          </w:p>
        </w:tc>
        <w:tc>
          <w:tcPr>
            <w:tcW w:w="517" w:type="pct"/>
            <w:vAlign w:val="center"/>
          </w:tcPr>
          <w:p w14:paraId="299D7C9A" w14:textId="77777777" w:rsidR="00E22739" w:rsidRPr="00781112" w:rsidRDefault="00E22739" w:rsidP="00E22739">
            <w:pPr>
              <w:jc w:val="center"/>
              <w:rPr>
                <w:rFonts w:cs="Arial"/>
                <w:color w:val="000000" w:themeColor="text1"/>
                <w:szCs w:val="16"/>
              </w:rPr>
            </w:pPr>
            <w:r w:rsidRPr="00781112">
              <w:rPr>
                <w:rFonts w:cs="Arial"/>
                <w:color w:val="000000" w:themeColor="text1"/>
                <w:szCs w:val="16"/>
              </w:rPr>
              <w:t>34.00</w:t>
            </w:r>
          </w:p>
        </w:tc>
        <w:tc>
          <w:tcPr>
            <w:tcW w:w="517" w:type="pct"/>
            <w:vAlign w:val="center"/>
          </w:tcPr>
          <w:p w14:paraId="19C1E1E3" w14:textId="77777777" w:rsidR="00E22739" w:rsidRPr="00781112" w:rsidRDefault="00E22739" w:rsidP="00E22739">
            <w:pPr>
              <w:jc w:val="center"/>
              <w:rPr>
                <w:rFonts w:cs="Arial"/>
                <w:color w:val="000000" w:themeColor="text1"/>
                <w:szCs w:val="16"/>
              </w:rPr>
            </w:pPr>
            <w:r w:rsidRPr="00781112">
              <w:rPr>
                <w:rFonts w:cs="Arial"/>
                <w:color w:val="000000" w:themeColor="text1"/>
                <w:szCs w:val="16"/>
              </w:rPr>
              <w:t>33.34</w:t>
            </w:r>
          </w:p>
        </w:tc>
        <w:tc>
          <w:tcPr>
            <w:tcW w:w="517" w:type="pct"/>
            <w:vAlign w:val="center"/>
          </w:tcPr>
          <w:p w14:paraId="3E036EF2" w14:textId="77777777" w:rsidR="00E22739" w:rsidRPr="00781112" w:rsidRDefault="00E22739" w:rsidP="00E22739">
            <w:pPr>
              <w:jc w:val="center"/>
              <w:rPr>
                <w:rFonts w:cs="Arial"/>
                <w:color w:val="000000" w:themeColor="text1"/>
                <w:szCs w:val="16"/>
              </w:rPr>
            </w:pPr>
            <w:r w:rsidRPr="00781112">
              <w:rPr>
                <w:rFonts w:cs="Arial"/>
                <w:color w:val="000000" w:themeColor="text1"/>
                <w:szCs w:val="16"/>
              </w:rPr>
              <w:t>Met target</w:t>
            </w:r>
          </w:p>
        </w:tc>
        <w:tc>
          <w:tcPr>
            <w:tcW w:w="516" w:type="pct"/>
            <w:vAlign w:val="center"/>
          </w:tcPr>
          <w:p w14:paraId="24C41D92" w14:textId="77777777" w:rsidR="00E22739" w:rsidRPr="00781112" w:rsidRDefault="00E22739" w:rsidP="00E22739">
            <w:pPr>
              <w:jc w:val="center"/>
              <w:rPr>
                <w:rFonts w:cs="Arial"/>
                <w:color w:val="000000" w:themeColor="text1"/>
                <w:szCs w:val="16"/>
              </w:rPr>
            </w:pPr>
            <w:r w:rsidRPr="00781112">
              <w:rPr>
                <w:rFonts w:cs="Arial"/>
                <w:color w:val="000000" w:themeColor="text1"/>
                <w:szCs w:val="16"/>
              </w:rPr>
              <w:t>No Slippage</w:t>
            </w:r>
          </w:p>
        </w:tc>
      </w:tr>
      <w:tr w:rsidR="00E22739" w:rsidRPr="00781112" w14:paraId="43A04DCF" w14:textId="77777777" w:rsidTr="00360DD6">
        <w:tc>
          <w:tcPr>
            <w:tcW w:w="331" w:type="pct"/>
            <w:vAlign w:val="center"/>
          </w:tcPr>
          <w:p w14:paraId="6664BC15"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t>C</w:t>
            </w:r>
          </w:p>
        </w:tc>
        <w:tc>
          <w:tcPr>
            <w:tcW w:w="461" w:type="pct"/>
            <w:vAlign w:val="center"/>
          </w:tcPr>
          <w:p w14:paraId="419070EF" w14:textId="77777777"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HS</w:t>
            </w:r>
          </w:p>
        </w:tc>
        <w:tc>
          <w:tcPr>
            <w:tcW w:w="812" w:type="pct"/>
          </w:tcPr>
          <w:p w14:paraId="5D494B9A" w14:textId="77777777" w:rsidR="00E22739" w:rsidRPr="00781112" w:rsidRDefault="00E22739" w:rsidP="00E22739">
            <w:pPr>
              <w:jc w:val="center"/>
              <w:rPr>
                <w:rFonts w:cs="Arial"/>
                <w:color w:val="000000" w:themeColor="text1"/>
                <w:szCs w:val="16"/>
              </w:rPr>
            </w:pPr>
            <w:r w:rsidRPr="00781112">
              <w:rPr>
                <w:rFonts w:cs="Arial"/>
                <w:color w:val="000000"/>
                <w:szCs w:val="16"/>
              </w:rPr>
              <w:t>13.87%</w:t>
            </w:r>
          </w:p>
        </w:tc>
        <w:tc>
          <w:tcPr>
            <w:tcW w:w="812" w:type="pct"/>
            <w:vAlign w:val="center"/>
          </w:tcPr>
          <w:p w14:paraId="5FE6376C" w14:textId="77777777" w:rsidR="00E22739" w:rsidRPr="00781112" w:rsidRDefault="00E22739" w:rsidP="00E22739">
            <w:pPr>
              <w:jc w:val="center"/>
              <w:rPr>
                <w:rFonts w:cs="Arial"/>
                <w:color w:val="000000" w:themeColor="text1"/>
                <w:szCs w:val="16"/>
              </w:rPr>
            </w:pPr>
            <w:r w:rsidRPr="00781112">
              <w:rPr>
                <w:rFonts w:cs="Arial"/>
                <w:color w:val="000000" w:themeColor="text1"/>
                <w:szCs w:val="16"/>
              </w:rPr>
              <w:t>54.69%</w:t>
            </w:r>
          </w:p>
        </w:tc>
        <w:tc>
          <w:tcPr>
            <w:tcW w:w="516" w:type="pct"/>
            <w:vAlign w:val="center"/>
          </w:tcPr>
          <w:p w14:paraId="1DE91A54" w14:textId="77777777" w:rsidR="00E22739" w:rsidRPr="00781112" w:rsidRDefault="00E22739" w:rsidP="00E22739">
            <w:pPr>
              <w:jc w:val="center"/>
              <w:rPr>
                <w:rFonts w:cs="Arial"/>
                <w:color w:val="000000" w:themeColor="text1"/>
                <w:szCs w:val="16"/>
              </w:rPr>
            </w:pPr>
            <w:r w:rsidRPr="00781112">
              <w:rPr>
                <w:rFonts w:cs="Arial"/>
                <w:color w:val="000000" w:themeColor="text1"/>
                <w:szCs w:val="16"/>
              </w:rPr>
              <w:t>39.74</w:t>
            </w:r>
          </w:p>
        </w:tc>
        <w:tc>
          <w:tcPr>
            <w:tcW w:w="517" w:type="pct"/>
            <w:vAlign w:val="center"/>
          </w:tcPr>
          <w:p w14:paraId="12A3D82B" w14:textId="77777777" w:rsidR="00E22739" w:rsidRPr="00781112" w:rsidRDefault="00E22739" w:rsidP="00E22739">
            <w:pPr>
              <w:jc w:val="center"/>
              <w:rPr>
                <w:rFonts w:cs="Arial"/>
                <w:color w:val="000000" w:themeColor="text1"/>
                <w:szCs w:val="16"/>
              </w:rPr>
            </w:pPr>
            <w:r w:rsidRPr="00781112">
              <w:rPr>
                <w:rFonts w:cs="Arial"/>
                <w:color w:val="000000" w:themeColor="text1"/>
                <w:szCs w:val="16"/>
              </w:rPr>
              <w:t>39.50</w:t>
            </w:r>
          </w:p>
        </w:tc>
        <w:tc>
          <w:tcPr>
            <w:tcW w:w="517" w:type="pct"/>
            <w:vAlign w:val="center"/>
          </w:tcPr>
          <w:p w14:paraId="32A8A052" w14:textId="77777777" w:rsidR="00E22739" w:rsidRPr="00781112" w:rsidRDefault="00E22739" w:rsidP="00E22739">
            <w:pPr>
              <w:jc w:val="center"/>
              <w:rPr>
                <w:rFonts w:cs="Arial"/>
                <w:color w:val="000000" w:themeColor="text1"/>
                <w:szCs w:val="16"/>
              </w:rPr>
            </w:pPr>
            <w:r w:rsidRPr="00781112">
              <w:rPr>
                <w:rFonts w:cs="Arial"/>
                <w:color w:val="000000" w:themeColor="text1"/>
                <w:szCs w:val="16"/>
              </w:rPr>
              <w:t>40.83</w:t>
            </w:r>
          </w:p>
        </w:tc>
        <w:tc>
          <w:tcPr>
            <w:tcW w:w="517" w:type="pct"/>
            <w:vAlign w:val="center"/>
          </w:tcPr>
          <w:p w14:paraId="0A1B3432" w14:textId="77777777" w:rsidR="00E22739" w:rsidRPr="00781112" w:rsidRDefault="00E22739" w:rsidP="00E22739">
            <w:pPr>
              <w:jc w:val="center"/>
              <w:rPr>
                <w:rFonts w:cs="Arial"/>
                <w:color w:val="000000" w:themeColor="text1"/>
                <w:szCs w:val="16"/>
              </w:rPr>
            </w:pPr>
            <w:r w:rsidRPr="00781112">
              <w:rPr>
                <w:rFonts w:cs="Arial"/>
                <w:color w:val="000000" w:themeColor="text1"/>
                <w:szCs w:val="16"/>
              </w:rPr>
              <w:t>Did not meet target</w:t>
            </w:r>
          </w:p>
        </w:tc>
        <w:tc>
          <w:tcPr>
            <w:tcW w:w="516" w:type="pct"/>
            <w:vAlign w:val="center"/>
          </w:tcPr>
          <w:p w14:paraId="50AE23CD" w14:textId="77777777" w:rsidR="00E22739" w:rsidRPr="00781112" w:rsidRDefault="00E22739" w:rsidP="00E22739">
            <w:pPr>
              <w:jc w:val="center"/>
              <w:rPr>
                <w:rFonts w:cs="Arial"/>
                <w:color w:val="000000" w:themeColor="text1"/>
                <w:szCs w:val="16"/>
              </w:rPr>
            </w:pPr>
            <w:r w:rsidRPr="00781112">
              <w:rPr>
                <w:rFonts w:cs="Arial"/>
                <w:color w:val="000000" w:themeColor="text1"/>
                <w:szCs w:val="16"/>
              </w:rPr>
              <w:t>Slippage</w:t>
            </w:r>
          </w:p>
        </w:tc>
      </w:tr>
    </w:tbl>
    <w:p w14:paraId="77D5CBF9" w14:textId="77777777" w:rsidR="00DD5B7A" w:rsidRPr="00781112" w:rsidRDefault="00DD5B7A" w:rsidP="00DD5B7A">
      <w:pPr>
        <w:rPr>
          <w:b/>
          <w:color w:val="000000" w:themeColor="text1"/>
        </w:rPr>
      </w:pPr>
      <w:r w:rsidRPr="00781112">
        <w:rPr>
          <w:b/>
          <w:color w:val="000000" w:themeColor="text1"/>
        </w:rPr>
        <w:t>Provide reasons for slippage for Group A, if applicable</w:t>
      </w:r>
    </w:p>
    <w:p w14:paraId="5FFEFE20" w14:textId="77777777" w:rsidR="00DD5B7A" w:rsidRPr="00781112" w:rsidRDefault="00DD5B7A" w:rsidP="00DD5B7A">
      <w:pPr>
        <w:rPr>
          <w:rFonts w:cs="Arial"/>
          <w:color w:val="000000" w:themeColor="text1"/>
          <w:szCs w:val="16"/>
        </w:rPr>
      </w:pPr>
      <w:r w:rsidRPr="00781112">
        <w:rPr>
          <w:rFonts w:cs="Arial"/>
          <w:color w:val="000000" w:themeColor="text1"/>
          <w:szCs w:val="16"/>
        </w:rPr>
        <w:t>The slippage in the Grade 4 reading proficiency gap reflects disproportionate rates of improvement rather than declining performance of SWDs. In FFY 2024, Grade 4 SWDs demonstrated slight improvement, with proficiency increasing from 18.39% to 18.53%. However, proficiency rates for all students increased more rapidly during the same period, widening the gap.</w:t>
      </w:r>
    </w:p>
    <w:p w14:paraId="5467F667" w14:textId="77777777" w:rsidR="00CA787A" w:rsidRDefault="00CA787A"/>
    <w:p w14:paraId="3364B306" w14:textId="77777777" w:rsidR="00CA787A" w:rsidRDefault="003169E9">
      <w:r>
        <w:rPr>
          <w:color w:val="000000"/>
        </w:rPr>
        <w:t>This pattern is consistent with post-pandemic recovery trends in which general education reading instruction rebounded more quickly, particularly in foundational reading skills. As core reading instruction stabilized and instructional time increased, all students benefitted from improved access to universal instruction. Increasing curricular expectations in Grade 4 reading, including greater emphasis on comprehension, text complexity, and evidence-based responses, may present heightened challenges for SWDs. SWDs often require more explicit, systematic instruction and sustained intervention aligned to individual needs. When gains in general education outpace gains in specialized instruction, proficiency gaps may widen even as outcomes for SWDs improve or remain stable.</w:t>
      </w:r>
    </w:p>
    <w:p w14:paraId="3934AC58" w14:textId="77777777" w:rsidR="00DD5B7A" w:rsidRPr="00781112" w:rsidRDefault="00DD5B7A" w:rsidP="00DD5B7A">
      <w:pPr>
        <w:rPr>
          <w:b/>
          <w:color w:val="000000" w:themeColor="text1"/>
        </w:rPr>
      </w:pPr>
      <w:r w:rsidRPr="00781112">
        <w:rPr>
          <w:b/>
          <w:color w:val="000000" w:themeColor="text1"/>
        </w:rPr>
        <w:t>Provide reasons for slippage for Group C, if applicable</w:t>
      </w:r>
    </w:p>
    <w:p w14:paraId="34C48A87" w14:textId="77777777" w:rsidR="00DD5B7A" w:rsidRPr="00781112" w:rsidRDefault="00DD5B7A" w:rsidP="00DD5B7A">
      <w:pPr>
        <w:rPr>
          <w:rFonts w:cs="Arial"/>
          <w:color w:val="000000" w:themeColor="text1"/>
          <w:szCs w:val="16"/>
        </w:rPr>
      </w:pPr>
      <w:r w:rsidRPr="00781112">
        <w:rPr>
          <w:rFonts w:cs="Arial"/>
          <w:color w:val="000000" w:themeColor="text1"/>
          <w:szCs w:val="16"/>
        </w:rPr>
        <w:t>The slippage in the Grade HS reading proficiency gap reflects uneven rates of improvement rather than declining performance of SWDs. In FFY 2024, Grade HS SWDs demonstrated substantial progress, with proficiency increasing from 10.49% to 13.87%, a gain of 3.38 percentage points (pp). However, proficiency among all students increased even more noticeably, resulting in the gap widening despite meaningful improvement of SWDs.</w:t>
      </w:r>
    </w:p>
    <w:p w14:paraId="73033FB9" w14:textId="77777777" w:rsidR="00CA787A" w:rsidRDefault="00CA787A"/>
    <w:p w14:paraId="5EB07E83" w14:textId="77777777" w:rsidR="00CA787A" w:rsidRDefault="003169E9">
      <w:r>
        <w:rPr>
          <w:color w:val="000000"/>
        </w:rPr>
        <w:t>At the high school level, recovery in reading performance among all students may be attributable to improved access to content-area reading instruction and increased instructional time following pandemic disruptions. High school reading proficiency may recover more quickly for students accessing consistent general education instruction. For SWDs, high school reading requires navigating greater curricular complexity, including domain-specific vocabulary, advanced text structures, and expectations for independent comprehension. While the 3.38 pp gain demonstrates meaningful progress, SWDs are improving from a lower baseline and continue to require intensive, coordinated supports between special education and content-area instruction.</w:t>
      </w:r>
    </w:p>
    <w:p w14:paraId="33F24D6B" w14:textId="77777777" w:rsidR="00DD5B7A" w:rsidRPr="00781112" w:rsidRDefault="00DD5B7A" w:rsidP="00FE4611">
      <w:pPr>
        <w:spacing w:before="0" w:after="0" w:line="276" w:lineRule="auto"/>
        <w:rPr>
          <w:b/>
          <w:color w:val="000000" w:themeColor="text1"/>
        </w:rPr>
      </w:pPr>
    </w:p>
    <w:p w14:paraId="7190D5F0" w14:textId="77777777" w:rsidR="00DD5B7A" w:rsidRPr="00781112" w:rsidRDefault="0047313F" w:rsidP="00DD5B7A">
      <w:pPr>
        <w:rPr>
          <w:b/>
          <w:color w:val="000000" w:themeColor="text1"/>
        </w:rPr>
      </w:pPr>
      <w:r>
        <w:rPr>
          <w:b/>
          <w:color w:val="000000" w:themeColor="text1"/>
        </w:rPr>
        <w:t>FFY 2024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FFYAPDATAMTH"/>
      </w:tblPr>
      <w:tblGrid>
        <w:gridCol w:w="715"/>
        <w:gridCol w:w="995"/>
        <w:gridCol w:w="1800"/>
        <w:gridCol w:w="1800"/>
        <w:gridCol w:w="1096"/>
        <w:gridCol w:w="1096"/>
        <w:gridCol w:w="1096"/>
        <w:gridCol w:w="1096"/>
        <w:gridCol w:w="1096"/>
      </w:tblGrid>
      <w:tr w:rsidR="00FA33C9" w:rsidRPr="00781112" w14:paraId="5AD7F98C" w14:textId="77777777" w:rsidTr="001B7E95">
        <w:trPr>
          <w:tblHeader/>
        </w:trPr>
        <w:tc>
          <w:tcPr>
            <w:tcW w:w="331" w:type="pct"/>
            <w:vAlign w:val="bottom"/>
          </w:tcPr>
          <w:p w14:paraId="5C6C50BF" w14:textId="77777777" w:rsidR="00FA33C9" w:rsidRPr="00781112" w:rsidRDefault="00FA33C9" w:rsidP="00FA33C9">
            <w:pPr>
              <w:jc w:val="center"/>
              <w:rPr>
                <w:b/>
                <w:color w:val="000000" w:themeColor="text1"/>
              </w:rPr>
            </w:pPr>
            <w:r w:rsidRPr="00781112">
              <w:rPr>
                <w:b/>
                <w:color w:val="000000" w:themeColor="text1"/>
              </w:rPr>
              <w:t>Group</w:t>
            </w:r>
          </w:p>
        </w:tc>
        <w:tc>
          <w:tcPr>
            <w:tcW w:w="461" w:type="pct"/>
            <w:vAlign w:val="bottom"/>
          </w:tcPr>
          <w:p w14:paraId="42629344" w14:textId="77777777" w:rsidR="00FA33C9" w:rsidRPr="00781112" w:rsidRDefault="00FA33C9" w:rsidP="00FA33C9">
            <w:pPr>
              <w:jc w:val="center"/>
              <w:rPr>
                <w:b/>
                <w:color w:val="000000" w:themeColor="text1"/>
              </w:rPr>
            </w:pPr>
            <w:r w:rsidRPr="00781112">
              <w:rPr>
                <w:b/>
                <w:color w:val="000000" w:themeColor="text1"/>
              </w:rPr>
              <w:t>Group Name</w:t>
            </w:r>
          </w:p>
        </w:tc>
        <w:tc>
          <w:tcPr>
            <w:tcW w:w="834" w:type="pct"/>
            <w:vAlign w:val="bottom"/>
          </w:tcPr>
          <w:p w14:paraId="5AB87669" w14:textId="77777777" w:rsidR="00FA33C9" w:rsidRPr="00781112" w:rsidRDefault="00FA33C9" w:rsidP="00FA33C9">
            <w:pPr>
              <w:jc w:val="center"/>
              <w:rPr>
                <w:b/>
                <w:bCs/>
                <w:color w:val="000000" w:themeColor="text1"/>
              </w:rPr>
            </w:pPr>
            <w:r w:rsidRPr="00781112">
              <w:rPr>
                <w:b/>
                <w:bCs/>
              </w:rPr>
              <w:t xml:space="preserve">Proficiency rate for children with IEPs scoring at or above proficient against grade level academic achievement standards </w:t>
            </w:r>
          </w:p>
        </w:tc>
        <w:tc>
          <w:tcPr>
            <w:tcW w:w="834" w:type="pct"/>
            <w:vAlign w:val="bottom"/>
          </w:tcPr>
          <w:p w14:paraId="71A38AC2" w14:textId="77777777" w:rsidR="00FA33C9" w:rsidRPr="00781112" w:rsidRDefault="00FA33C9" w:rsidP="00FA33C9">
            <w:pPr>
              <w:jc w:val="center"/>
              <w:rPr>
                <w:b/>
                <w:bCs/>
                <w:color w:val="000000" w:themeColor="text1"/>
              </w:rPr>
            </w:pPr>
            <w:r w:rsidRPr="00781112">
              <w:rPr>
                <w:b/>
                <w:bCs/>
              </w:rPr>
              <w:t xml:space="preserve">Proficiency rate for all students scoring at or above proficient against grade level academic achievement standards </w:t>
            </w:r>
          </w:p>
        </w:tc>
        <w:tc>
          <w:tcPr>
            <w:tcW w:w="508" w:type="pct"/>
            <w:vAlign w:val="bottom"/>
          </w:tcPr>
          <w:p w14:paraId="2A0F34E8" w14:textId="77777777" w:rsidR="00FA33C9" w:rsidRPr="00073BD7" w:rsidRDefault="00FA33C9" w:rsidP="00FA33C9">
            <w:pPr>
              <w:jc w:val="center"/>
              <w:rPr>
                <w:b/>
                <w:bCs/>
                <w:color w:val="000000" w:themeColor="text1"/>
              </w:rPr>
            </w:pPr>
            <w:r w:rsidRPr="00073BD7">
              <w:rPr>
                <w:b/>
                <w:bCs/>
              </w:rPr>
              <w:t>FFY 2023 Data</w:t>
            </w:r>
          </w:p>
        </w:tc>
        <w:tc>
          <w:tcPr>
            <w:tcW w:w="508" w:type="pct"/>
            <w:vAlign w:val="bottom"/>
          </w:tcPr>
          <w:p w14:paraId="246D68A6" w14:textId="77777777" w:rsidR="00FA33C9" w:rsidRPr="00073BD7" w:rsidRDefault="00FA33C9" w:rsidP="00FA33C9">
            <w:pPr>
              <w:jc w:val="center"/>
              <w:rPr>
                <w:b/>
                <w:bCs/>
                <w:color w:val="000000" w:themeColor="text1"/>
              </w:rPr>
            </w:pPr>
            <w:r w:rsidRPr="00073BD7">
              <w:rPr>
                <w:b/>
                <w:bCs/>
              </w:rPr>
              <w:t>FFY 2024 Target</w:t>
            </w:r>
          </w:p>
        </w:tc>
        <w:tc>
          <w:tcPr>
            <w:tcW w:w="508" w:type="pct"/>
            <w:vAlign w:val="bottom"/>
          </w:tcPr>
          <w:p w14:paraId="14545CE8" w14:textId="77777777" w:rsidR="00FA33C9" w:rsidRPr="00073BD7" w:rsidRDefault="00FA33C9" w:rsidP="00FA33C9">
            <w:pPr>
              <w:jc w:val="center"/>
              <w:rPr>
                <w:b/>
                <w:bCs/>
                <w:color w:val="000000" w:themeColor="text1"/>
              </w:rPr>
            </w:pPr>
            <w:r w:rsidRPr="00073BD7">
              <w:rPr>
                <w:b/>
                <w:bCs/>
              </w:rPr>
              <w:t>FFY 2024 Data</w:t>
            </w:r>
          </w:p>
        </w:tc>
        <w:tc>
          <w:tcPr>
            <w:tcW w:w="508" w:type="pct"/>
            <w:vAlign w:val="bottom"/>
          </w:tcPr>
          <w:p w14:paraId="037CF764" w14:textId="77777777" w:rsidR="00FA33C9" w:rsidRPr="00781112" w:rsidRDefault="00FA33C9" w:rsidP="00FA33C9">
            <w:pPr>
              <w:jc w:val="center"/>
              <w:rPr>
                <w:b/>
                <w:color w:val="000000" w:themeColor="text1"/>
              </w:rPr>
            </w:pPr>
            <w:r w:rsidRPr="00781112">
              <w:rPr>
                <w:b/>
                <w:color w:val="000000" w:themeColor="text1"/>
              </w:rPr>
              <w:t>Status</w:t>
            </w:r>
          </w:p>
        </w:tc>
        <w:tc>
          <w:tcPr>
            <w:tcW w:w="508" w:type="pct"/>
            <w:vAlign w:val="bottom"/>
          </w:tcPr>
          <w:p w14:paraId="6C2B7943" w14:textId="77777777" w:rsidR="00FA33C9" w:rsidRPr="00781112" w:rsidRDefault="00FA33C9" w:rsidP="00FA33C9">
            <w:pPr>
              <w:jc w:val="center"/>
              <w:rPr>
                <w:b/>
                <w:color w:val="000000" w:themeColor="text1"/>
              </w:rPr>
            </w:pPr>
            <w:r w:rsidRPr="00781112">
              <w:rPr>
                <w:b/>
                <w:color w:val="000000" w:themeColor="text1"/>
              </w:rPr>
              <w:t>Slippage</w:t>
            </w:r>
          </w:p>
        </w:tc>
      </w:tr>
      <w:tr w:rsidR="00C95D2E" w:rsidRPr="00781112" w14:paraId="28BCA83D" w14:textId="77777777" w:rsidTr="001B7E95">
        <w:tc>
          <w:tcPr>
            <w:tcW w:w="331" w:type="pct"/>
            <w:vAlign w:val="center"/>
          </w:tcPr>
          <w:p w14:paraId="2A8D5397"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A</w:t>
            </w:r>
          </w:p>
        </w:tc>
        <w:tc>
          <w:tcPr>
            <w:tcW w:w="461" w:type="pct"/>
            <w:vAlign w:val="center"/>
          </w:tcPr>
          <w:p w14:paraId="0ACC98A2" w14:textId="77777777"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4</w:t>
            </w:r>
          </w:p>
        </w:tc>
        <w:tc>
          <w:tcPr>
            <w:tcW w:w="834" w:type="pct"/>
            <w:vAlign w:val="center"/>
          </w:tcPr>
          <w:p w14:paraId="66082AFB" w14:textId="77777777" w:rsidR="002A19C8" w:rsidRPr="00781112" w:rsidRDefault="002A19C8" w:rsidP="002A19C8">
            <w:pPr>
              <w:jc w:val="center"/>
              <w:rPr>
                <w:rFonts w:cs="Arial"/>
                <w:color w:val="000000" w:themeColor="text1"/>
                <w:szCs w:val="16"/>
              </w:rPr>
            </w:pPr>
            <w:r w:rsidRPr="00781112">
              <w:rPr>
                <w:rFonts w:cs="Arial"/>
                <w:color w:val="000000"/>
                <w:szCs w:val="16"/>
              </w:rPr>
              <w:t>20.32%</w:t>
            </w:r>
          </w:p>
        </w:tc>
        <w:tc>
          <w:tcPr>
            <w:tcW w:w="834" w:type="pct"/>
            <w:vAlign w:val="center"/>
          </w:tcPr>
          <w:p w14:paraId="6265DEDC" w14:textId="77777777" w:rsidR="002A19C8" w:rsidRPr="00781112" w:rsidRDefault="002A19C8" w:rsidP="002A19C8">
            <w:pPr>
              <w:jc w:val="center"/>
              <w:rPr>
                <w:rFonts w:cs="Arial"/>
                <w:color w:val="000000" w:themeColor="text1"/>
                <w:szCs w:val="16"/>
              </w:rPr>
            </w:pPr>
            <w:r w:rsidRPr="00781112">
              <w:rPr>
                <w:rFonts w:cs="Arial"/>
                <w:color w:val="000000" w:themeColor="text1"/>
                <w:szCs w:val="16"/>
              </w:rPr>
              <w:t>49.66%</w:t>
            </w:r>
          </w:p>
        </w:tc>
        <w:tc>
          <w:tcPr>
            <w:tcW w:w="508" w:type="pct"/>
            <w:vAlign w:val="center"/>
          </w:tcPr>
          <w:p w14:paraId="79238B8A" w14:textId="77777777" w:rsidR="002A19C8" w:rsidRPr="00781112" w:rsidRDefault="002A19C8" w:rsidP="002A19C8">
            <w:pPr>
              <w:jc w:val="center"/>
              <w:rPr>
                <w:rFonts w:cs="Arial"/>
                <w:color w:val="000000" w:themeColor="text1"/>
                <w:szCs w:val="16"/>
              </w:rPr>
            </w:pPr>
            <w:r w:rsidRPr="00781112">
              <w:rPr>
                <w:rFonts w:cs="Arial"/>
                <w:color w:val="000000" w:themeColor="text1"/>
                <w:szCs w:val="16"/>
              </w:rPr>
              <w:t>27.21</w:t>
            </w:r>
          </w:p>
        </w:tc>
        <w:tc>
          <w:tcPr>
            <w:tcW w:w="508" w:type="pct"/>
            <w:vAlign w:val="center"/>
          </w:tcPr>
          <w:p w14:paraId="63AD235E" w14:textId="77777777" w:rsidR="002A19C8" w:rsidRPr="00781112" w:rsidRDefault="002A19C8" w:rsidP="002A19C8">
            <w:pPr>
              <w:jc w:val="center"/>
              <w:rPr>
                <w:rFonts w:cs="Arial"/>
                <w:color w:val="000000" w:themeColor="text1"/>
                <w:szCs w:val="16"/>
              </w:rPr>
            </w:pPr>
            <w:r w:rsidRPr="00781112">
              <w:rPr>
                <w:rFonts w:cs="Arial"/>
                <w:color w:val="000000" w:themeColor="text1"/>
                <w:szCs w:val="16"/>
              </w:rPr>
              <w:t>26.00</w:t>
            </w:r>
          </w:p>
        </w:tc>
        <w:tc>
          <w:tcPr>
            <w:tcW w:w="508" w:type="pct"/>
            <w:vAlign w:val="center"/>
          </w:tcPr>
          <w:p w14:paraId="0432BF45" w14:textId="77777777" w:rsidR="002A19C8" w:rsidRPr="00781112" w:rsidRDefault="002A19C8" w:rsidP="002A19C8">
            <w:pPr>
              <w:jc w:val="center"/>
              <w:rPr>
                <w:rFonts w:cs="Arial"/>
                <w:color w:val="000000" w:themeColor="text1"/>
                <w:szCs w:val="16"/>
              </w:rPr>
            </w:pPr>
            <w:r w:rsidRPr="00781112">
              <w:rPr>
                <w:rFonts w:cs="Arial"/>
                <w:color w:val="000000" w:themeColor="text1"/>
                <w:szCs w:val="16"/>
              </w:rPr>
              <w:t>29.34</w:t>
            </w:r>
          </w:p>
        </w:tc>
        <w:tc>
          <w:tcPr>
            <w:tcW w:w="508" w:type="pct"/>
            <w:vAlign w:val="center"/>
          </w:tcPr>
          <w:p w14:paraId="29E05FAF" w14:textId="77777777" w:rsidR="002A19C8" w:rsidRPr="00781112" w:rsidRDefault="002A19C8" w:rsidP="002A19C8">
            <w:pPr>
              <w:jc w:val="center"/>
              <w:rPr>
                <w:rFonts w:cs="Arial"/>
                <w:color w:val="000000" w:themeColor="text1"/>
                <w:szCs w:val="16"/>
              </w:rPr>
            </w:pPr>
            <w:r w:rsidRPr="00781112">
              <w:rPr>
                <w:rFonts w:cs="Arial"/>
                <w:color w:val="000000" w:themeColor="text1"/>
                <w:szCs w:val="16"/>
              </w:rPr>
              <w:t>Did not meet target</w:t>
            </w:r>
          </w:p>
        </w:tc>
        <w:tc>
          <w:tcPr>
            <w:tcW w:w="508" w:type="pct"/>
            <w:vAlign w:val="center"/>
          </w:tcPr>
          <w:p w14:paraId="1FC37718" w14:textId="77777777" w:rsidR="002A19C8" w:rsidRPr="00781112" w:rsidRDefault="002A19C8" w:rsidP="002A19C8">
            <w:pPr>
              <w:jc w:val="center"/>
              <w:rPr>
                <w:rFonts w:cs="Arial"/>
                <w:color w:val="000000" w:themeColor="text1"/>
                <w:szCs w:val="16"/>
              </w:rPr>
            </w:pPr>
            <w:r w:rsidRPr="00781112">
              <w:rPr>
                <w:rFonts w:cs="Arial"/>
                <w:color w:val="000000" w:themeColor="text1"/>
                <w:szCs w:val="16"/>
              </w:rPr>
              <w:t>Slippage</w:t>
            </w:r>
          </w:p>
        </w:tc>
      </w:tr>
      <w:tr w:rsidR="00C95D2E" w:rsidRPr="00781112" w14:paraId="7FB5F1F1" w14:textId="77777777" w:rsidTr="001B7E95">
        <w:tc>
          <w:tcPr>
            <w:tcW w:w="331" w:type="pct"/>
            <w:vAlign w:val="center"/>
          </w:tcPr>
          <w:p w14:paraId="688F01CD"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B</w:t>
            </w:r>
          </w:p>
        </w:tc>
        <w:tc>
          <w:tcPr>
            <w:tcW w:w="461" w:type="pct"/>
            <w:vAlign w:val="center"/>
          </w:tcPr>
          <w:p w14:paraId="514506EA" w14:textId="77777777"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8</w:t>
            </w:r>
          </w:p>
        </w:tc>
        <w:tc>
          <w:tcPr>
            <w:tcW w:w="834" w:type="pct"/>
            <w:vAlign w:val="center"/>
          </w:tcPr>
          <w:p w14:paraId="602718FF" w14:textId="77777777" w:rsidR="002A19C8" w:rsidRPr="00781112" w:rsidRDefault="002A19C8" w:rsidP="002A19C8">
            <w:pPr>
              <w:jc w:val="center"/>
              <w:rPr>
                <w:rFonts w:cs="Arial"/>
                <w:color w:val="000000" w:themeColor="text1"/>
                <w:szCs w:val="16"/>
              </w:rPr>
            </w:pPr>
            <w:r w:rsidRPr="00781112">
              <w:rPr>
                <w:rFonts w:cs="Arial"/>
                <w:color w:val="000000"/>
                <w:szCs w:val="16"/>
              </w:rPr>
              <w:t>6.11%</w:t>
            </w:r>
          </w:p>
        </w:tc>
        <w:tc>
          <w:tcPr>
            <w:tcW w:w="834" w:type="pct"/>
            <w:vAlign w:val="center"/>
          </w:tcPr>
          <w:p w14:paraId="56F6CE3F" w14:textId="77777777" w:rsidR="002A19C8" w:rsidRPr="00781112" w:rsidRDefault="002A19C8" w:rsidP="002A19C8">
            <w:pPr>
              <w:jc w:val="center"/>
              <w:rPr>
                <w:rFonts w:cs="Arial"/>
                <w:color w:val="000000" w:themeColor="text1"/>
                <w:szCs w:val="16"/>
              </w:rPr>
            </w:pPr>
            <w:r w:rsidRPr="00781112">
              <w:rPr>
                <w:rFonts w:cs="Arial"/>
                <w:color w:val="000000" w:themeColor="text1"/>
                <w:szCs w:val="16"/>
              </w:rPr>
              <w:t>32.22%</w:t>
            </w:r>
          </w:p>
        </w:tc>
        <w:tc>
          <w:tcPr>
            <w:tcW w:w="508" w:type="pct"/>
            <w:vAlign w:val="center"/>
          </w:tcPr>
          <w:p w14:paraId="55531808" w14:textId="77777777" w:rsidR="002A19C8" w:rsidRPr="00781112" w:rsidRDefault="002A19C8" w:rsidP="002A19C8">
            <w:pPr>
              <w:jc w:val="center"/>
              <w:rPr>
                <w:rFonts w:cs="Arial"/>
                <w:color w:val="000000" w:themeColor="text1"/>
                <w:szCs w:val="16"/>
              </w:rPr>
            </w:pPr>
            <w:r w:rsidRPr="00781112">
              <w:rPr>
                <w:rFonts w:cs="Arial"/>
                <w:color w:val="000000" w:themeColor="text1"/>
                <w:szCs w:val="16"/>
              </w:rPr>
              <w:t>23.39</w:t>
            </w:r>
          </w:p>
        </w:tc>
        <w:tc>
          <w:tcPr>
            <w:tcW w:w="508" w:type="pct"/>
            <w:vAlign w:val="center"/>
          </w:tcPr>
          <w:p w14:paraId="6FCDE03E" w14:textId="77777777" w:rsidR="002A19C8" w:rsidRPr="00781112" w:rsidRDefault="002A19C8" w:rsidP="002A19C8">
            <w:pPr>
              <w:jc w:val="center"/>
              <w:rPr>
                <w:rFonts w:cs="Arial"/>
                <w:color w:val="000000" w:themeColor="text1"/>
                <w:szCs w:val="16"/>
              </w:rPr>
            </w:pPr>
            <w:r w:rsidRPr="00781112">
              <w:rPr>
                <w:rFonts w:cs="Arial"/>
                <w:color w:val="000000" w:themeColor="text1"/>
                <w:szCs w:val="16"/>
              </w:rPr>
              <w:t>27.00</w:t>
            </w:r>
          </w:p>
        </w:tc>
        <w:tc>
          <w:tcPr>
            <w:tcW w:w="508" w:type="pct"/>
            <w:vAlign w:val="center"/>
          </w:tcPr>
          <w:p w14:paraId="48209599" w14:textId="77777777" w:rsidR="002A19C8" w:rsidRPr="00781112" w:rsidRDefault="002A19C8" w:rsidP="002A19C8">
            <w:pPr>
              <w:jc w:val="center"/>
              <w:rPr>
                <w:rFonts w:cs="Arial"/>
                <w:color w:val="000000" w:themeColor="text1"/>
                <w:szCs w:val="16"/>
              </w:rPr>
            </w:pPr>
            <w:r w:rsidRPr="00781112">
              <w:rPr>
                <w:rFonts w:cs="Arial"/>
                <w:color w:val="000000" w:themeColor="text1"/>
                <w:szCs w:val="16"/>
              </w:rPr>
              <w:t>26.11</w:t>
            </w:r>
          </w:p>
        </w:tc>
        <w:tc>
          <w:tcPr>
            <w:tcW w:w="508" w:type="pct"/>
            <w:vAlign w:val="center"/>
          </w:tcPr>
          <w:p w14:paraId="2517D7CA" w14:textId="77777777" w:rsidR="002A19C8" w:rsidRPr="00781112" w:rsidRDefault="002A19C8" w:rsidP="002A19C8">
            <w:pPr>
              <w:jc w:val="center"/>
              <w:rPr>
                <w:rFonts w:cs="Arial"/>
                <w:color w:val="000000" w:themeColor="text1"/>
                <w:szCs w:val="16"/>
              </w:rPr>
            </w:pPr>
            <w:r w:rsidRPr="00781112">
              <w:rPr>
                <w:rFonts w:cs="Arial"/>
                <w:color w:val="000000" w:themeColor="text1"/>
                <w:szCs w:val="16"/>
              </w:rPr>
              <w:t>Met target</w:t>
            </w:r>
          </w:p>
        </w:tc>
        <w:tc>
          <w:tcPr>
            <w:tcW w:w="508" w:type="pct"/>
            <w:vAlign w:val="center"/>
          </w:tcPr>
          <w:p w14:paraId="1EBE259E" w14:textId="77777777" w:rsidR="002A19C8" w:rsidRPr="00781112" w:rsidRDefault="002A19C8" w:rsidP="002A19C8">
            <w:pPr>
              <w:jc w:val="center"/>
              <w:rPr>
                <w:rFonts w:cs="Arial"/>
                <w:color w:val="000000" w:themeColor="text1"/>
                <w:szCs w:val="16"/>
              </w:rPr>
            </w:pPr>
            <w:r w:rsidRPr="00781112">
              <w:rPr>
                <w:rFonts w:cs="Arial"/>
                <w:color w:val="000000" w:themeColor="text1"/>
                <w:szCs w:val="16"/>
              </w:rPr>
              <w:t>No Slippage</w:t>
            </w:r>
          </w:p>
        </w:tc>
      </w:tr>
      <w:tr w:rsidR="00C95D2E" w:rsidRPr="00781112" w14:paraId="5429733E" w14:textId="77777777" w:rsidTr="001B7E95">
        <w:tc>
          <w:tcPr>
            <w:tcW w:w="331" w:type="pct"/>
            <w:vAlign w:val="center"/>
          </w:tcPr>
          <w:p w14:paraId="020F98B3"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C</w:t>
            </w:r>
          </w:p>
        </w:tc>
        <w:tc>
          <w:tcPr>
            <w:tcW w:w="461" w:type="pct"/>
            <w:vAlign w:val="center"/>
          </w:tcPr>
          <w:p w14:paraId="2B61BF1B" w14:textId="77777777"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HS</w:t>
            </w:r>
          </w:p>
        </w:tc>
        <w:tc>
          <w:tcPr>
            <w:tcW w:w="834" w:type="pct"/>
            <w:vAlign w:val="center"/>
          </w:tcPr>
          <w:p w14:paraId="5FED2B80" w14:textId="77777777" w:rsidR="002A19C8" w:rsidRPr="00781112" w:rsidRDefault="002A19C8" w:rsidP="002A19C8">
            <w:pPr>
              <w:jc w:val="center"/>
              <w:rPr>
                <w:rFonts w:cs="Arial"/>
                <w:color w:val="000000" w:themeColor="text1"/>
                <w:szCs w:val="16"/>
              </w:rPr>
            </w:pPr>
            <w:r w:rsidRPr="00781112">
              <w:rPr>
                <w:rFonts w:cs="Arial"/>
                <w:color w:val="000000"/>
                <w:szCs w:val="16"/>
              </w:rPr>
              <w:t>2.71%</w:t>
            </w:r>
          </w:p>
        </w:tc>
        <w:tc>
          <w:tcPr>
            <w:tcW w:w="834" w:type="pct"/>
            <w:vAlign w:val="center"/>
          </w:tcPr>
          <w:p w14:paraId="28AAC34A" w14:textId="77777777" w:rsidR="002A19C8" w:rsidRPr="00781112" w:rsidRDefault="002A19C8" w:rsidP="002A19C8">
            <w:pPr>
              <w:jc w:val="center"/>
              <w:rPr>
                <w:rFonts w:cs="Arial"/>
                <w:color w:val="000000" w:themeColor="text1"/>
                <w:szCs w:val="16"/>
              </w:rPr>
            </w:pPr>
            <w:r w:rsidRPr="00781112">
              <w:rPr>
                <w:rFonts w:cs="Arial"/>
                <w:color w:val="000000" w:themeColor="text1"/>
                <w:szCs w:val="16"/>
              </w:rPr>
              <w:t>19.81%</w:t>
            </w:r>
          </w:p>
        </w:tc>
        <w:tc>
          <w:tcPr>
            <w:tcW w:w="508" w:type="pct"/>
            <w:vAlign w:val="center"/>
          </w:tcPr>
          <w:p w14:paraId="3A12B60A" w14:textId="77777777" w:rsidR="002A19C8" w:rsidRPr="00781112" w:rsidRDefault="002A19C8" w:rsidP="002A19C8">
            <w:pPr>
              <w:jc w:val="center"/>
              <w:rPr>
                <w:rFonts w:cs="Arial"/>
                <w:color w:val="000000" w:themeColor="text1"/>
                <w:szCs w:val="16"/>
              </w:rPr>
            </w:pPr>
            <w:r w:rsidRPr="00781112">
              <w:rPr>
                <w:rFonts w:cs="Arial"/>
                <w:color w:val="000000" w:themeColor="text1"/>
                <w:szCs w:val="16"/>
              </w:rPr>
              <w:t>15.11</w:t>
            </w:r>
          </w:p>
        </w:tc>
        <w:tc>
          <w:tcPr>
            <w:tcW w:w="508" w:type="pct"/>
            <w:vAlign w:val="center"/>
          </w:tcPr>
          <w:p w14:paraId="7ADE7466" w14:textId="77777777" w:rsidR="002A19C8" w:rsidRPr="00781112" w:rsidRDefault="002A19C8" w:rsidP="002A19C8">
            <w:pPr>
              <w:jc w:val="center"/>
              <w:rPr>
                <w:rFonts w:cs="Arial"/>
                <w:color w:val="000000" w:themeColor="text1"/>
                <w:szCs w:val="16"/>
              </w:rPr>
            </w:pPr>
            <w:r w:rsidRPr="00781112">
              <w:rPr>
                <w:rFonts w:cs="Arial"/>
                <w:color w:val="000000" w:themeColor="text1"/>
                <w:szCs w:val="16"/>
              </w:rPr>
              <w:t>19.00</w:t>
            </w:r>
          </w:p>
        </w:tc>
        <w:tc>
          <w:tcPr>
            <w:tcW w:w="508" w:type="pct"/>
            <w:vAlign w:val="center"/>
          </w:tcPr>
          <w:p w14:paraId="432453EE" w14:textId="77777777" w:rsidR="002A19C8" w:rsidRPr="00781112" w:rsidRDefault="002A19C8" w:rsidP="002A19C8">
            <w:pPr>
              <w:jc w:val="center"/>
              <w:rPr>
                <w:rFonts w:cs="Arial"/>
                <w:color w:val="000000" w:themeColor="text1"/>
                <w:szCs w:val="16"/>
              </w:rPr>
            </w:pPr>
            <w:r w:rsidRPr="00781112">
              <w:rPr>
                <w:rFonts w:cs="Arial"/>
                <w:color w:val="000000" w:themeColor="text1"/>
                <w:szCs w:val="16"/>
              </w:rPr>
              <w:t>17.10</w:t>
            </w:r>
          </w:p>
        </w:tc>
        <w:tc>
          <w:tcPr>
            <w:tcW w:w="508" w:type="pct"/>
            <w:vAlign w:val="center"/>
          </w:tcPr>
          <w:p w14:paraId="63B4BA6F" w14:textId="77777777" w:rsidR="002A19C8" w:rsidRPr="00781112" w:rsidRDefault="002A19C8" w:rsidP="002A19C8">
            <w:pPr>
              <w:jc w:val="center"/>
              <w:rPr>
                <w:rFonts w:cs="Arial"/>
                <w:color w:val="000000" w:themeColor="text1"/>
                <w:szCs w:val="16"/>
              </w:rPr>
            </w:pPr>
            <w:r w:rsidRPr="00781112">
              <w:rPr>
                <w:rFonts w:cs="Arial"/>
                <w:color w:val="000000" w:themeColor="text1"/>
                <w:szCs w:val="16"/>
              </w:rPr>
              <w:t>Met target</w:t>
            </w:r>
          </w:p>
        </w:tc>
        <w:tc>
          <w:tcPr>
            <w:tcW w:w="508" w:type="pct"/>
            <w:vAlign w:val="center"/>
          </w:tcPr>
          <w:p w14:paraId="27612086" w14:textId="77777777" w:rsidR="002A19C8" w:rsidRPr="00781112" w:rsidRDefault="002A19C8" w:rsidP="002A19C8">
            <w:pPr>
              <w:jc w:val="center"/>
              <w:rPr>
                <w:rFonts w:cs="Arial"/>
                <w:color w:val="000000" w:themeColor="text1"/>
                <w:szCs w:val="16"/>
              </w:rPr>
            </w:pPr>
            <w:r w:rsidRPr="00781112">
              <w:rPr>
                <w:rFonts w:cs="Arial"/>
                <w:color w:val="000000" w:themeColor="text1"/>
                <w:szCs w:val="16"/>
              </w:rPr>
              <w:t>No Slippage</w:t>
            </w:r>
          </w:p>
        </w:tc>
      </w:tr>
    </w:tbl>
    <w:p w14:paraId="55370510" w14:textId="77777777" w:rsidR="00DD5B7A" w:rsidRPr="00781112" w:rsidRDefault="00DD5B7A" w:rsidP="00DD5B7A">
      <w:pPr>
        <w:rPr>
          <w:b/>
          <w:color w:val="000000" w:themeColor="text1"/>
        </w:rPr>
      </w:pPr>
      <w:r w:rsidRPr="00781112">
        <w:rPr>
          <w:b/>
          <w:color w:val="000000" w:themeColor="text1"/>
        </w:rPr>
        <w:lastRenderedPageBreak/>
        <w:t>Provide reasons for slippage for Group A, if applicable</w:t>
      </w:r>
    </w:p>
    <w:p w14:paraId="3ACA1419" w14:textId="77777777" w:rsidR="00DD5B7A" w:rsidRPr="00781112" w:rsidRDefault="00DD5B7A" w:rsidP="00DD5B7A">
      <w:pPr>
        <w:rPr>
          <w:rFonts w:cs="Arial"/>
          <w:color w:val="000000" w:themeColor="text1"/>
          <w:szCs w:val="16"/>
        </w:rPr>
      </w:pPr>
      <w:r w:rsidRPr="00781112">
        <w:rPr>
          <w:rFonts w:cs="Arial"/>
          <w:color w:val="000000" w:themeColor="text1"/>
          <w:szCs w:val="16"/>
        </w:rPr>
        <w:t>The slippage in the Grade 4 math proficiency gap reflects differences in post-pandemic recovery pace between students with disabilities (SWDs) and all students. In FFY 2024, Grade 4 SWDs’ proficiency increased from 19.82% to 20.32%. However, math proficiency for all students increased at a faster rate. As math instruction normalized post-pandemic, all students benefitted from improved exposure to grade-level instruction and practice opportunities.</w:t>
      </w:r>
    </w:p>
    <w:p w14:paraId="7571E263" w14:textId="77777777" w:rsidR="00CA787A" w:rsidRDefault="00CA787A"/>
    <w:p w14:paraId="2D06F1F8" w14:textId="77777777" w:rsidR="00CA787A" w:rsidRDefault="003169E9">
      <w:r>
        <w:rPr>
          <w:color w:val="000000"/>
        </w:rPr>
        <w:t xml:space="preserve">Grade 4 math instruction shifts from foundational skills to more complex concepts such as multi-step problem solving, multiplication and division, fractions, and increased conceptual reasoning. SWDs often require explicit instruction, scaffolding, and repeated practice to master these increasingly abstract concepts. </w:t>
      </w:r>
    </w:p>
    <w:p w14:paraId="7E7D7043" w14:textId="77777777" w:rsidR="00DD5B7A" w:rsidRPr="00781112" w:rsidRDefault="00DD5B7A" w:rsidP="00FE4611">
      <w:pPr>
        <w:spacing w:before="0" w:after="0" w:line="276" w:lineRule="auto"/>
        <w:rPr>
          <w:b/>
          <w:color w:val="000000" w:themeColor="text1"/>
        </w:rPr>
      </w:pPr>
    </w:p>
    <w:p w14:paraId="2D48AAE2" w14:textId="77777777" w:rsidR="00DD5B7A" w:rsidRPr="00781112" w:rsidRDefault="00DD5B7A" w:rsidP="00DD5B7A">
      <w:pPr>
        <w:rPr>
          <w:b/>
          <w:color w:val="000000" w:themeColor="text1"/>
        </w:rPr>
      </w:pPr>
      <w:r w:rsidRPr="00781112">
        <w:rPr>
          <w:b/>
          <w:color w:val="000000" w:themeColor="text1"/>
        </w:rPr>
        <w:t>Provide additional information about this indicator (optional)</w:t>
      </w:r>
    </w:p>
    <w:p w14:paraId="57D07359" w14:textId="77777777" w:rsidR="00DD5B7A" w:rsidRPr="00781112" w:rsidRDefault="00DD5B7A" w:rsidP="00DD5B7A">
      <w:pPr>
        <w:rPr>
          <w:rFonts w:cs="Arial"/>
          <w:color w:val="000000" w:themeColor="text1"/>
          <w:szCs w:val="16"/>
        </w:rPr>
      </w:pPr>
    </w:p>
    <w:p w14:paraId="72E5EF9A" w14:textId="77777777" w:rsidR="00764DDE" w:rsidRPr="00781112" w:rsidRDefault="00764DDE" w:rsidP="00FE4611">
      <w:pPr>
        <w:spacing w:before="0" w:after="0" w:line="276" w:lineRule="auto"/>
        <w:rPr>
          <w:color w:val="000000" w:themeColor="text1"/>
          <w:szCs w:val="16"/>
        </w:rPr>
      </w:pPr>
    </w:p>
    <w:p w14:paraId="7A25D1B7" w14:textId="77777777" w:rsidR="00764DDE" w:rsidRPr="00781112" w:rsidRDefault="00764DDE" w:rsidP="00764DDE">
      <w:pPr>
        <w:pStyle w:val="Heading2"/>
      </w:pPr>
      <w:r w:rsidRPr="00781112">
        <w:t>3D - Prior FFY Required Actions</w:t>
      </w:r>
    </w:p>
    <w:p w14:paraId="17EB538B" w14:textId="77777777" w:rsidR="00764DDE" w:rsidRPr="00781112" w:rsidRDefault="00764DDE" w:rsidP="00764DDE">
      <w:pPr>
        <w:rPr>
          <w:rFonts w:cs="Arial"/>
          <w:color w:val="000000" w:themeColor="text1"/>
          <w:szCs w:val="16"/>
        </w:rPr>
      </w:pPr>
      <w:r w:rsidRPr="00781112">
        <w:rPr>
          <w:rFonts w:cs="Arial"/>
          <w:color w:val="000000" w:themeColor="text1"/>
          <w:szCs w:val="16"/>
        </w:rPr>
        <w:t>None</w:t>
      </w:r>
    </w:p>
    <w:p w14:paraId="39F0AAED" w14:textId="77777777" w:rsidR="00764DDE" w:rsidRPr="00781112" w:rsidRDefault="00764DDE" w:rsidP="00764DDE">
      <w:pPr>
        <w:pStyle w:val="Heading2"/>
      </w:pPr>
      <w:r w:rsidRPr="00781112">
        <w:t>3D - OSEP Response</w:t>
      </w:r>
    </w:p>
    <w:p w14:paraId="60DA1F1C" w14:textId="77777777" w:rsidR="00764DDE" w:rsidRPr="00781112" w:rsidRDefault="00764DDE" w:rsidP="00764DDE">
      <w:pPr>
        <w:rPr>
          <w:rFonts w:cs="Arial"/>
          <w:color w:val="000000" w:themeColor="text1"/>
          <w:szCs w:val="16"/>
        </w:rPr>
      </w:pPr>
    </w:p>
    <w:p w14:paraId="2AE86D49" w14:textId="77777777" w:rsidR="00764DDE" w:rsidRPr="00781112" w:rsidRDefault="00764DDE" w:rsidP="00764DDE">
      <w:pPr>
        <w:pStyle w:val="Heading2"/>
      </w:pPr>
      <w:r w:rsidRPr="00781112">
        <w:t>3D - Required Actions</w:t>
      </w:r>
    </w:p>
    <w:p w14:paraId="31B54384" w14:textId="77777777" w:rsidR="00764DDE" w:rsidRPr="00781112" w:rsidRDefault="00764DDE" w:rsidP="00764DDE">
      <w:pPr>
        <w:rPr>
          <w:rFonts w:cs="Arial"/>
          <w:color w:val="000000" w:themeColor="text1"/>
          <w:szCs w:val="16"/>
        </w:rPr>
      </w:pPr>
    </w:p>
    <w:p w14:paraId="11EBE90F" w14:textId="77777777" w:rsidR="00764DDE" w:rsidRPr="00781112" w:rsidRDefault="00764DDE">
      <w:pPr>
        <w:spacing w:before="0" w:after="200" w:line="276" w:lineRule="auto"/>
        <w:rPr>
          <w:rFonts w:eastAsiaTheme="majorEastAsia" w:cstheme="majorBidi"/>
          <w:b/>
          <w:bCs/>
          <w:color w:val="000000" w:themeColor="text1"/>
          <w:sz w:val="22"/>
          <w:szCs w:val="28"/>
        </w:rPr>
      </w:pPr>
      <w:r w:rsidRPr="00781112">
        <w:rPr>
          <w:color w:val="000000" w:themeColor="text1"/>
          <w:sz w:val="22"/>
        </w:rPr>
        <w:br w:type="page"/>
      </w:r>
    </w:p>
    <w:p w14:paraId="2258B094" w14:textId="77777777" w:rsidR="00D03701" w:rsidRPr="00781112" w:rsidRDefault="00D03701" w:rsidP="000444E2">
      <w:pPr>
        <w:pStyle w:val="Heading1"/>
        <w:rPr>
          <w:color w:val="000000" w:themeColor="text1"/>
          <w:sz w:val="22"/>
        </w:rPr>
      </w:pPr>
      <w:r w:rsidRPr="00781112">
        <w:rPr>
          <w:color w:val="000000" w:themeColor="text1"/>
          <w:sz w:val="22"/>
        </w:rPr>
        <w:lastRenderedPageBreak/>
        <w:t>Indicator 4A: Suspension/Expulsion</w:t>
      </w:r>
      <w:bookmarkEnd w:id="17"/>
      <w:bookmarkEnd w:id="18"/>
    </w:p>
    <w:p w14:paraId="3F7AE639" w14:textId="77777777" w:rsidR="006E5AE4" w:rsidRPr="002C274F" w:rsidRDefault="006E5AE4" w:rsidP="002C274F">
      <w:pPr>
        <w:rPr>
          <w:b/>
          <w:bCs/>
          <w:sz w:val="20"/>
          <w:szCs w:val="20"/>
        </w:rPr>
      </w:pPr>
      <w:bookmarkStart w:id="20" w:name="_Toc384383331"/>
      <w:bookmarkStart w:id="21" w:name="_Toc392159283"/>
      <w:r w:rsidRPr="002C274F">
        <w:rPr>
          <w:b/>
          <w:bCs/>
          <w:sz w:val="20"/>
          <w:szCs w:val="20"/>
        </w:rPr>
        <w:t xml:space="preserve">Instructions and Measurement </w:t>
      </w:r>
    </w:p>
    <w:p w14:paraId="68DEE4FB" w14:textId="77777777" w:rsidR="00DD1D55" w:rsidRPr="00781112" w:rsidRDefault="00DD1D55"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4A036DF0" w14:textId="77777777" w:rsidR="000A5A2E" w:rsidRPr="00781112" w:rsidRDefault="00DD1D55" w:rsidP="00286BDF">
      <w:pPr>
        <w:rPr>
          <w:rFonts w:cs="Arial"/>
          <w:color w:val="000000" w:themeColor="text1"/>
          <w:szCs w:val="16"/>
        </w:rPr>
      </w:pPr>
      <w:r w:rsidRPr="00781112">
        <w:rPr>
          <w:rFonts w:cs="Arial"/>
          <w:b/>
          <w:color w:val="000000" w:themeColor="text1"/>
          <w:szCs w:val="16"/>
        </w:rPr>
        <w:t>Results Indicator:</w:t>
      </w:r>
      <w:r w:rsidR="00286BDF" w:rsidRPr="00781112">
        <w:rPr>
          <w:rFonts w:cs="Arial"/>
          <w:color w:val="000000" w:themeColor="text1"/>
          <w:szCs w:val="16"/>
        </w:rPr>
        <w:t xml:space="preserve"> </w:t>
      </w:r>
      <w:r w:rsidR="000A5A2E" w:rsidRPr="00781112">
        <w:rPr>
          <w:rFonts w:cs="Arial"/>
          <w:color w:val="000000" w:themeColor="text1"/>
          <w:szCs w:val="16"/>
        </w:rPr>
        <w:t>Rates of suspension and expulsion:</w:t>
      </w:r>
    </w:p>
    <w:p w14:paraId="009D7A97" w14:textId="77777777" w:rsidR="000A5A2E" w:rsidRPr="00781112" w:rsidRDefault="001D5BAF" w:rsidP="006A01BD">
      <w:pPr>
        <w:ind w:left="720"/>
        <w:rPr>
          <w:color w:val="000000" w:themeColor="text1"/>
        </w:rPr>
      </w:pPr>
      <w:r w:rsidRPr="00781112">
        <w:rPr>
          <w:rFonts w:cs="Arial"/>
          <w:color w:val="000000" w:themeColor="text1"/>
          <w:szCs w:val="16"/>
        </w:rPr>
        <w:t xml:space="preserve">A. Percent of </w:t>
      </w:r>
      <w:r w:rsidR="00752D76" w:rsidRPr="00781112">
        <w:rPr>
          <w:rFonts w:cs="Arial"/>
          <w:szCs w:val="16"/>
        </w:rPr>
        <w:t>local educational agencies (LEA)</w:t>
      </w:r>
      <w:r w:rsidRPr="00781112">
        <w:rPr>
          <w:rFonts w:cs="Arial"/>
          <w:color w:val="000000" w:themeColor="text1"/>
          <w:szCs w:val="16"/>
        </w:rPr>
        <w:t xml:space="preserve"> that have a significant discrepancy</w:t>
      </w:r>
      <w:r w:rsidR="00F46CC4" w:rsidRPr="00781112">
        <w:rPr>
          <w:rFonts w:cs="Arial"/>
          <w:szCs w:val="16"/>
        </w:rPr>
        <w:t>, as defined by the State,</w:t>
      </w:r>
      <w:r w:rsidRPr="00781112">
        <w:rPr>
          <w:rFonts w:cs="Arial"/>
          <w:color w:val="000000" w:themeColor="text1"/>
          <w:szCs w:val="16"/>
        </w:rPr>
        <w:t xml:space="preserve"> in the rate of suspensions and expulsions of greater than 10 days in a school </w:t>
      </w:r>
      <w:r w:rsidR="00DD1D55" w:rsidRPr="00781112">
        <w:rPr>
          <w:color w:val="000000" w:themeColor="text1"/>
        </w:rPr>
        <w:t>year for children with IEPs</w:t>
      </w:r>
      <w:r w:rsidR="00E97863" w:rsidRPr="00781112">
        <w:rPr>
          <w:color w:val="000000" w:themeColor="text1"/>
        </w:rPr>
        <w:t>; and</w:t>
      </w:r>
    </w:p>
    <w:p w14:paraId="3474A3A3" w14:textId="77777777" w:rsidR="00E97863" w:rsidRPr="002529C8" w:rsidRDefault="00BA66ED" w:rsidP="002529C8">
      <w:pPr>
        <w:ind w:left="720"/>
        <w:rPr>
          <w:rFonts w:cs="Arial"/>
          <w:szCs w:val="16"/>
        </w:rPr>
      </w:pPr>
      <w:r w:rsidRPr="00781112">
        <w:rPr>
          <w:rFonts w:cs="Arial"/>
          <w:color w:val="000000" w:themeColor="text1"/>
          <w:szCs w:val="16"/>
        </w:rPr>
        <w:t xml:space="preserve">B. </w:t>
      </w:r>
      <w:r w:rsidR="00E97863" w:rsidRPr="00856B0E">
        <w:rPr>
          <w:rFonts w:cs="Arial"/>
          <w:szCs w:val="16"/>
        </w:rPr>
        <w:t>Percent of LEAs that have:</w:t>
      </w:r>
      <w:r w:rsidR="00E97863" w:rsidRPr="00781112">
        <w:rPr>
          <w:rFonts w:cs="Arial"/>
          <w:szCs w:val="16"/>
        </w:rPr>
        <w:t xml:space="preserve"> (a) a significant discrepancy, as defined by the State, by race or ethnicity, in the rate of suspensions and</w:t>
      </w:r>
      <w:r w:rsidR="002529C8">
        <w:rPr>
          <w:rFonts w:cs="Arial"/>
          <w:szCs w:val="16"/>
        </w:rPr>
        <w:t xml:space="preserve"> </w:t>
      </w:r>
      <w:r w:rsidR="00E97863" w:rsidRPr="002529C8">
        <w:rPr>
          <w:rFonts w:cs="Arial"/>
          <w:szCs w:val="16"/>
        </w:rPr>
        <w:t>expulsions of greater than 10 days in a school year for</w:t>
      </w:r>
      <w:r w:rsidR="002529C8">
        <w:rPr>
          <w:rFonts w:cs="Arial"/>
          <w:szCs w:val="16"/>
        </w:rPr>
        <w:t xml:space="preserve"> </w:t>
      </w:r>
      <w:r w:rsidR="00E97863" w:rsidRPr="002529C8">
        <w:rPr>
          <w:rFonts w:cs="Arial"/>
          <w:szCs w:val="16"/>
        </w:rPr>
        <w:t>children with IEPs; and (b) policies, procedures or practices that contribute to the significant discrepancy, as defined by the State, and do not comply with requirements relating to the development</w:t>
      </w:r>
      <w:r w:rsidR="002529C8">
        <w:rPr>
          <w:rFonts w:cs="Arial"/>
          <w:szCs w:val="16"/>
        </w:rPr>
        <w:t xml:space="preserve"> </w:t>
      </w:r>
      <w:r w:rsidR="00E97863" w:rsidRPr="002529C8">
        <w:rPr>
          <w:rFonts w:cs="Arial"/>
          <w:szCs w:val="16"/>
        </w:rPr>
        <w:t>and implementation of IEPs, the use of positive behavioral interventions and supports, and procedural safeguards.</w:t>
      </w:r>
    </w:p>
    <w:p w14:paraId="79B66134" w14:textId="77777777" w:rsidR="0011074D" w:rsidRPr="00781112" w:rsidRDefault="0011074D" w:rsidP="0011074D">
      <w:pPr>
        <w:rPr>
          <w:rFonts w:cs="Arial"/>
          <w:color w:val="000000" w:themeColor="text1"/>
          <w:szCs w:val="16"/>
        </w:rPr>
      </w:pPr>
      <w:r w:rsidRPr="00781112">
        <w:rPr>
          <w:rFonts w:cs="Arial"/>
          <w:color w:val="000000" w:themeColor="text1"/>
          <w:szCs w:val="16"/>
        </w:rPr>
        <w:t>(20 U.S.C. 1416(a)(3)(A); 1412(a)(22))</w:t>
      </w:r>
    </w:p>
    <w:p w14:paraId="64BC0E0C" w14:textId="77777777" w:rsidR="000A5A2E" w:rsidRPr="00781112" w:rsidRDefault="000A5A2E" w:rsidP="004369B2">
      <w:pPr>
        <w:rPr>
          <w:color w:val="000000" w:themeColor="text1"/>
        </w:rPr>
      </w:pPr>
      <w:r w:rsidRPr="00781112">
        <w:rPr>
          <w:b/>
          <w:color w:val="000000" w:themeColor="text1"/>
        </w:rPr>
        <w:t>Data Source</w:t>
      </w:r>
    </w:p>
    <w:p w14:paraId="1D73D839" w14:textId="77777777" w:rsidR="000A5A2E" w:rsidRPr="00781112" w:rsidRDefault="000A5A2E" w:rsidP="00286BDF">
      <w:pPr>
        <w:rPr>
          <w:rFonts w:cs="Arial"/>
          <w:color w:val="000000" w:themeColor="text1"/>
          <w:szCs w:val="16"/>
        </w:rPr>
      </w:pPr>
      <w:r w:rsidRPr="00781112">
        <w:rPr>
          <w:rFonts w:cs="Arial"/>
          <w:color w:val="000000" w:themeColor="text1"/>
          <w:szCs w:val="16"/>
        </w:rPr>
        <w:t xml:space="preserve">State </w:t>
      </w:r>
      <w:r w:rsidRPr="00781112">
        <w:rPr>
          <w:rFonts w:cs="Arial"/>
          <w:color w:val="000000" w:themeColor="text1"/>
          <w:szCs w:val="16"/>
          <w:shd w:val="clear" w:color="auto" w:fill="FFFFFF"/>
        </w:rPr>
        <w:t>discipline data, including State’s analysis of State’s Discipline data collected under IDEA Section 618, where applicable. Discrepancy can be computed by either comparing the rates of suspensions and expulsions for children with IEPs to rates for nondisabled children within the LEA or by comparing the rates of suspensions and expulsions for children with IEPs among LEAs within the State.</w:t>
      </w:r>
    </w:p>
    <w:p w14:paraId="003AD1D6" w14:textId="77777777" w:rsidR="000A5A2E" w:rsidRPr="00781112" w:rsidRDefault="000A5A2E" w:rsidP="004369B2">
      <w:pPr>
        <w:rPr>
          <w:color w:val="000000" w:themeColor="text1"/>
        </w:rPr>
      </w:pPr>
      <w:r w:rsidRPr="00781112">
        <w:rPr>
          <w:b/>
          <w:color w:val="000000" w:themeColor="text1"/>
        </w:rPr>
        <w:t>Measurement</w:t>
      </w:r>
    </w:p>
    <w:p w14:paraId="6B90AB06" w14:textId="77777777" w:rsidR="000A5A2E" w:rsidRPr="00781112" w:rsidRDefault="000A5A2E" w:rsidP="00286BDF">
      <w:pPr>
        <w:rPr>
          <w:rFonts w:cs="Arial"/>
          <w:color w:val="000000" w:themeColor="text1"/>
          <w:szCs w:val="16"/>
        </w:rPr>
      </w:pPr>
      <w:r w:rsidRPr="00781112">
        <w:rPr>
          <w:rFonts w:cs="Arial"/>
          <w:color w:val="000000" w:themeColor="text1"/>
          <w:szCs w:val="16"/>
        </w:rPr>
        <w:t xml:space="preserve">Percent </w:t>
      </w:r>
      <w:r w:rsidRPr="00781112">
        <w:rPr>
          <w:rFonts w:cs="Arial"/>
          <w:color w:val="000000" w:themeColor="text1"/>
          <w:szCs w:val="16"/>
          <w:shd w:val="clear" w:color="auto" w:fill="FFFFFF"/>
        </w:rPr>
        <w:t xml:space="preserve">= </w:t>
      </w:r>
      <w:r w:rsidR="009B02BC"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of </w:t>
      </w:r>
      <w:r w:rsidR="00315E88"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that meet the State-established n</w:t>
      </w:r>
      <w:r w:rsidR="0087130D" w:rsidRPr="00781112">
        <w:rPr>
          <w:rFonts w:cs="Arial"/>
          <w:color w:val="000000" w:themeColor="text1"/>
          <w:szCs w:val="16"/>
          <w:shd w:val="clear" w:color="auto" w:fill="FFFFFF"/>
        </w:rPr>
        <w:t xml:space="preserve"> </w:t>
      </w:r>
      <w:r w:rsidR="0087130D" w:rsidRPr="00781112">
        <w:rPr>
          <w:rFonts w:cs="Arial"/>
          <w:szCs w:val="16"/>
          <w:shd w:val="clear" w:color="auto" w:fill="FFFFFF"/>
        </w:rPr>
        <w:t>and/or cell</w:t>
      </w:r>
      <w:r w:rsidRPr="00781112">
        <w:rPr>
          <w:rFonts w:cs="Arial"/>
          <w:color w:val="000000" w:themeColor="text1"/>
          <w:szCs w:val="16"/>
          <w:shd w:val="clear" w:color="auto" w:fill="FFFFFF"/>
        </w:rPr>
        <w:t xml:space="preserve"> size (if applicable) that have a significant discrepancy</w:t>
      </w:r>
      <w:r w:rsidR="00770816" w:rsidRPr="00781112">
        <w:rPr>
          <w:rFonts w:cs="Arial"/>
          <w:color w:val="000000" w:themeColor="text1"/>
          <w:szCs w:val="16"/>
          <w:shd w:val="clear" w:color="auto" w:fill="FFFFFF"/>
        </w:rPr>
        <w:t xml:space="preserve">, </w:t>
      </w:r>
      <w:r w:rsidR="00770816" w:rsidRPr="00781112">
        <w:rPr>
          <w:rFonts w:cs="Arial"/>
          <w:szCs w:val="16"/>
          <w:shd w:val="clear" w:color="auto" w:fill="FFFFFF"/>
        </w:rPr>
        <w:t>as defined by the State,</w:t>
      </w:r>
      <w:r w:rsidRPr="00781112">
        <w:rPr>
          <w:rFonts w:cs="Arial"/>
          <w:color w:val="000000" w:themeColor="text1"/>
          <w:szCs w:val="16"/>
          <w:shd w:val="clear" w:color="auto" w:fill="FFFFFF"/>
        </w:rPr>
        <w:t xml:space="preserve"> in the rates of suspensions and expulsions for </w:t>
      </w:r>
      <w:r w:rsidR="001F6583" w:rsidRPr="00781112">
        <w:rPr>
          <w:rFonts w:cs="Arial"/>
          <w:color w:val="000000" w:themeColor="text1"/>
          <w:szCs w:val="16"/>
          <w:shd w:val="clear" w:color="auto" w:fill="FFFFFF"/>
        </w:rPr>
        <w:t xml:space="preserve">more </w:t>
      </w:r>
      <w:r w:rsidRPr="00781112">
        <w:rPr>
          <w:rFonts w:cs="Arial"/>
          <w:color w:val="000000" w:themeColor="text1"/>
          <w:szCs w:val="16"/>
          <w:shd w:val="clear" w:color="auto" w:fill="FFFFFF"/>
        </w:rPr>
        <w:t xml:space="preserve">than 10 days </w:t>
      </w:r>
      <w:r w:rsidR="001F6583" w:rsidRPr="00781112">
        <w:rPr>
          <w:rFonts w:cs="Arial"/>
          <w:color w:val="000000" w:themeColor="text1"/>
          <w:szCs w:val="16"/>
          <w:shd w:val="clear" w:color="auto" w:fill="FFFFFF"/>
        </w:rPr>
        <w:t xml:space="preserve">during </w:t>
      </w:r>
      <w:r w:rsidR="00041274" w:rsidRPr="00781112">
        <w:rPr>
          <w:rFonts w:cs="Arial"/>
          <w:color w:val="000000" w:themeColor="text1"/>
          <w:szCs w:val="16"/>
          <w:shd w:val="clear" w:color="auto" w:fill="FFFFFF"/>
        </w:rPr>
        <w:t xml:space="preserve">the </w:t>
      </w:r>
      <w:r w:rsidRPr="00781112">
        <w:rPr>
          <w:rFonts w:cs="Arial"/>
          <w:color w:val="000000" w:themeColor="text1"/>
          <w:szCs w:val="16"/>
          <w:shd w:val="clear" w:color="auto" w:fill="FFFFFF"/>
        </w:rPr>
        <w:t xml:space="preserve">school year of children with IEPs) divided by the (# of </w:t>
      </w:r>
      <w:r w:rsidR="00041274"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in the State that meet the State-established n</w:t>
      </w:r>
      <w:r w:rsidR="00041274" w:rsidRPr="00781112">
        <w:rPr>
          <w:rFonts w:cs="Arial"/>
          <w:color w:val="000000" w:themeColor="text1"/>
          <w:szCs w:val="16"/>
          <w:shd w:val="clear" w:color="auto" w:fill="FFFFFF"/>
        </w:rPr>
        <w:t xml:space="preserve"> and</w:t>
      </w:r>
      <w:r w:rsidR="00742DCB" w:rsidRPr="00781112">
        <w:rPr>
          <w:rFonts w:cs="Arial"/>
          <w:color w:val="000000" w:themeColor="text1"/>
          <w:szCs w:val="16"/>
          <w:shd w:val="clear" w:color="auto" w:fill="FFFFFF"/>
        </w:rPr>
        <w:t>/or cell</w:t>
      </w:r>
      <w:r w:rsidRPr="00781112">
        <w:rPr>
          <w:rFonts w:cs="Arial"/>
          <w:color w:val="000000" w:themeColor="text1"/>
          <w:szCs w:val="16"/>
          <w:shd w:val="clear" w:color="auto" w:fill="FFFFFF"/>
        </w:rPr>
        <w:t xml:space="preserve"> size (if applicable))</w:t>
      </w:r>
      <w:r w:rsidR="009B02BC"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times 100.</w:t>
      </w:r>
    </w:p>
    <w:p w14:paraId="27FDEC6F" w14:textId="77777777" w:rsidR="00636061" w:rsidRPr="00781112" w:rsidRDefault="00636061" w:rsidP="00286BDF">
      <w:pPr>
        <w:rPr>
          <w:rFonts w:cs="Arial"/>
          <w:color w:val="000000" w:themeColor="text1"/>
          <w:szCs w:val="16"/>
        </w:rPr>
      </w:pPr>
      <w:r w:rsidRPr="00781112">
        <w:rPr>
          <w:rFonts w:cs="Arial"/>
          <w:color w:val="000000" w:themeColor="text1"/>
          <w:szCs w:val="16"/>
          <w:shd w:val="clear" w:color="auto" w:fill="FFFFFF"/>
        </w:rPr>
        <w:t>Include State’s definition of “significant discrepancy.”</w:t>
      </w:r>
    </w:p>
    <w:p w14:paraId="53642BB9" w14:textId="77777777" w:rsidR="000A5A2E" w:rsidRPr="00781112" w:rsidRDefault="000A5A2E" w:rsidP="004369B2">
      <w:pPr>
        <w:rPr>
          <w:color w:val="000000" w:themeColor="text1"/>
        </w:rPr>
      </w:pPr>
      <w:r w:rsidRPr="00781112">
        <w:rPr>
          <w:b/>
          <w:color w:val="000000" w:themeColor="text1"/>
        </w:rPr>
        <w:t>Instructions</w:t>
      </w:r>
    </w:p>
    <w:p w14:paraId="44EE4A66" w14:textId="77777777" w:rsidR="00E6260F" w:rsidRDefault="00636061" w:rsidP="00E6260F">
      <w:pPr>
        <w:rPr>
          <w:rFonts w:cs="Arial"/>
          <w:szCs w:val="16"/>
        </w:rPr>
      </w:pPr>
      <w:r w:rsidRPr="00781112">
        <w:rPr>
          <w:rFonts w:cs="Arial"/>
          <w:color w:val="000000" w:themeColor="text1"/>
          <w:szCs w:val="16"/>
        </w:rPr>
        <w:t xml:space="preserve">If the State has established a minimum n and/or cell size requirement, the State </w:t>
      </w:r>
      <w:r w:rsidR="00E6260F">
        <w:rPr>
          <w:rFonts w:cs="Arial"/>
          <w:szCs w:val="16"/>
        </w:rPr>
        <w:t xml:space="preserve">must provide a definition of its minimum n and/or cell size itself and a description thereof </w:t>
      </w:r>
      <w:r w:rsidR="00E6260F" w:rsidRPr="00814333">
        <w:rPr>
          <w:rFonts w:cs="Arial"/>
          <w:szCs w:val="16"/>
        </w:rPr>
        <w:t xml:space="preserve">(e.g., a State’s n size of 15 represents the number of children with disabilities enrolled in an LEA, and a State’s cell size of 5 </w:t>
      </w:r>
      <w:r w:rsidR="00E6260F">
        <w:rPr>
          <w:rFonts w:cs="Arial"/>
          <w:szCs w:val="16"/>
        </w:rPr>
        <w:t>r</w:t>
      </w:r>
      <w:r w:rsidR="00E6260F" w:rsidRPr="00814333">
        <w:rPr>
          <w:rFonts w:cs="Arial"/>
          <w:szCs w:val="16"/>
        </w:rPr>
        <w:t xml:space="preserve">epresents the number of children with disabilities who have received out-of-school suspensions and expulsions of more than 10 days within the LEA). </w:t>
      </w:r>
    </w:p>
    <w:p w14:paraId="04A8FE01" w14:textId="77777777" w:rsidR="00E6260F" w:rsidRPr="00A70EDD" w:rsidRDefault="00E6260F" w:rsidP="00E6260F">
      <w:pPr>
        <w:rPr>
          <w:rFonts w:cs="Arial"/>
          <w:szCs w:val="16"/>
        </w:rPr>
      </w:pPr>
      <w:r w:rsidRPr="007743F7">
        <w:rPr>
          <w:rFonts w:cs="Arial"/>
          <w:szCs w:val="16"/>
        </w:rPr>
        <w:t>The State must also provide rationales for its minimum n and/or cell size, including why the definitions chosen are reasonable and based on stakeholder input, and how the definitions ensure that the State is appropriately analyzing and identifying LEAs with significant discrepancy. The State must also indicate whether the minimum n and/or cell size represents a change from the prior SPP/APR reporting period. If so, the State must provide an explanation why the minimum n and/or cell size was changed.</w:t>
      </w:r>
    </w:p>
    <w:p w14:paraId="622522C2" w14:textId="77777777" w:rsidR="00E6260F" w:rsidRDefault="00E6260F" w:rsidP="00E6260F">
      <w:pPr>
        <w:rPr>
          <w:rFonts w:cs="Arial"/>
          <w:szCs w:val="16"/>
        </w:rPr>
      </w:pPr>
      <w:r>
        <w:rPr>
          <w:rFonts w:cs="Arial"/>
          <w:szCs w:val="16"/>
        </w:rPr>
        <w:t>The State may only include, in both the numerator and the denominator, LEAs that met that State established n and/or cell size. If the State used a minimum n and/or cell size requirement, report the number of LEAs totally excluded from the calculation as a result of this requirement.</w:t>
      </w:r>
    </w:p>
    <w:p w14:paraId="45B367BC" w14:textId="77777777" w:rsidR="00636061" w:rsidRPr="00781112" w:rsidRDefault="00A14B5D" w:rsidP="00BB7BC9">
      <w:pPr>
        <w:rPr>
          <w:rFonts w:cs="Arial"/>
          <w:color w:val="000000" w:themeColor="text1"/>
          <w:szCs w:val="16"/>
        </w:rPr>
      </w:pPr>
      <w:r w:rsidRPr="00781112">
        <w:rPr>
          <w:rFonts w:cs="Arial"/>
          <w:color w:val="000000" w:themeColor="text1"/>
          <w:szCs w:val="16"/>
        </w:rPr>
        <w:t>Describe the results of the State’s examination of the data for the year before the reporting year (e.g., for the FFY 2024 SPP/APR, use data from 2023-2024), including data disaggregated by race and ethnicity to determine if significant discrepancies</w:t>
      </w:r>
      <w:r w:rsidR="001E6FDD" w:rsidRPr="00781112">
        <w:rPr>
          <w:rFonts w:cs="Arial"/>
          <w:szCs w:val="16"/>
        </w:rPr>
        <w:t xml:space="preserve">, as defined by the State, </w:t>
      </w:r>
      <w:r w:rsidRPr="00781112">
        <w:rPr>
          <w:rFonts w:cs="Arial"/>
          <w:color w:val="000000" w:themeColor="text1"/>
          <w:szCs w:val="16"/>
        </w:rPr>
        <w:t xml:space="preserve">are occurring in the rates of long-term suspensions and expulsions </w:t>
      </w:r>
      <w:r w:rsidR="00E14CF0" w:rsidRPr="00781112">
        <w:rPr>
          <w:rFonts w:cs="Arial"/>
          <w:szCs w:val="16"/>
        </w:rPr>
        <w:t xml:space="preserve">(more than 10 days during the school year) </w:t>
      </w:r>
      <w:r w:rsidRPr="00781112">
        <w:rPr>
          <w:rFonts w:cs="Arial"/>
          <w:color w:val="000000" w:themeColor="text1"/>
          <w:szCs w:val="16"/>
        </w:rPr>
        <w:t>of children with IEPs, as required at 20 U.S.C. 1412(a)(22). The State’s examination must include one of the following comparisons:</w:t>
      </w:r>
    </w:p>
    <w:p w14:paraId="0E9F696C" w14:textId="77777777" w:rsidR="00636061" w:rsidRPr="00781112" w:rsidRDefault="00E52C16" w:rsidP="006A01BD">
      <w:pPr>
        <w:ind w:firstLine="720"/>
        <w:rPr>
          <w:rFonts w:cs="Arial"/>
          <w:color w:val="000000" w:themeColor="text1"/>
          <w:szCs w:val="16"/>
        </w:rPr>
      </w:pPr>
      <w:r>
        <w:rPr>
          <w:rFonts w:cs="Arial"/>
          <w:color w:val="000000" w:themeColor="text1"/>
          <w:szCs w:val="16"/>
        </w:rPr>
        <w:t>-- Option 1: The rates of suspensions and expulsions for children with IEPs among LEAs within the State; or</w:t>
      </w:r>
    </w:p>
    <w:p w14:paraId="149C0AB6" w14:textId="77777777" w:rsidR="00636061" w:rsidRPr="00781112" w:rsidRDefault="00E52C16" w:rsidP="00BA3DBE">
      <w:pPr>
        <w:ind w:left="720"/>
        <w:rPr>
          <w:rFonts w:cs="Arial"/>
          <w:color w:val="000000" w:themeColor="text1"/>
          <w:szCs w:val="16"/>
        </w:rPr>
      </w:pPr>
      <w:r>
        <w:rPr>
          <w:rFonts w:cs="Arial"/>
          <w:color w:val="000000" w:themeColor="text1"/>
          <w:szCs w:val="16"/>
        </w:rPr>
        <w:t xml:space="preserve">-- Option 2: The rates of suspensions and expulsions for children with IEPs to </w:t>
      </w:r>
      <w:bookmarkStart w:id="22" w:name="_Hlk150863518"/>
      <w:r w:rsidR="00F65586">
        <w:rPr>
          <w:rFonts w:cs="Arial"/>
          <w:color w:val="000000" w:themeColor="text1"/>
          <w:szCs w:val="16"/>
        </w:rPr>
        <w:t>rates of suspensions and expulsions for</w:t>
      </w:r>
      <w:r w:rsidR="006279F2" w:rsidRPr="00781112">
        <w:rPr>
          <w:rFonts w:cs="Arial"/>
          <w:color w:val="000000" w:themeColor="text1"/>
          <w:szCs w:val="16"/>
        </w:rPr>
        <w:t xml:space="preserve"> </w:t>
      </w:r>
      <w:bookmarkEnd w:id="22"/>
      <w:r w:rsidR="006279F2" w:rsidRPr="00781112">
        <w:rPr>
          <w:rFonts w:cs="Arial"/>
          <w:color w:val="000000" w:themeColor="text1"/>
          <w:szCs w:val="16"/>
        </w:rPr>
        <w:t>nondisabled children within the</w:t>
      </w:r>
      <w:r w:rsidR="00F65586">
        <w:rPr>
          <w:rFonts w:cs="Arial"/>
          <w:color w:val="000000" w:themeColor="text1"/>
          <w:szCs w:val="16"/>
        </w:rPr>
        <w:t xml:space="preserve"> </w:t>
      </w:r>
      <w:r w:rsidR="006279F2" w:rsidRPr="00781112">
        <w:rPr>
          <w:rFonts w:cs="Arial"/>
          <w:color w:val="000000" w:themeColor="text1"/>
          <w:szCs w:val="16"/>
        </w:rPr>
        <w:t>LEAs</w:t>
      </w:r>
      <w:r w:rsidR="00F65586">
        <w:rPr>
          <w:rFonts w:cs="Arial"/>
          <w:color w:val="000000" w:themeColor="text1"/>
          <w:szCs w:val="16"/>
        </w:rPr>
        <w:t>.</w:t>
      </w:r>
    </w:p>
    <w:p w14:paraId="41539D9E" w14:textId="77777777" w:rsidR="00636061" w:rsidRPr="00781112" w:rsidRDefault="00636061" w:rsidP="00BB7BC9">
      <w:pPr>
        <w:rPr>
          <w:rFonts w:cs="Arial"/>
          <w:color w:val="000000" w:themeColor="text1"/>
          <w:szCs w:val="16"/>
        </w:rPr>
      </w:pPr>
      <w:r w:rsidRPr="00781112">
        <w:rPr>
          <w:rFonts w:cs="Arial"/>
          <w:color w:val="000000" w:themeColor="text1"/>
          <w:szCs w:val="16"/>
        </w:rPr>
        <w:t>In the description, specify which method the State used to determine possible discrepancies and explain what constitutes those discrepancies.</w:t>
      </w:r>
    </w:p>
    <w:p w14:paraId="3FD28466" w14:textId="77777777" w:rsidR="00E6260F" w:rsidRPr="00CF3FE6" w:rsidRDefault="00E6260F" w:rsidP="00E6260F">
      <w:pPr>
        <w:rPr>
          <w:rFonts w:cs="Arial"/>
          <w:szCs w:val="16"/>
        </w:rPr>
      </w:pPr>
      <w:r w:rsidRPr="00F800E4">
        <w:rPr>
          <w:rFonts w:cs="Arial"/>
          <w:szCs w:val="16"/>
        </w:rPr>
        <w:t xml:space="preserve">If, under Option 1, the State uses a State-level long-term suspension and expulsion rate for children with disabilities to compare to LEA-level long-term suspension and expulsion rates for the purpose of determining whether an LEA has a significant discrepancy, the State must provide the State-level long-term suspension and expulsion rate used in its methodology (e.g., if a State has defined significant discrepancy to exist for an LEA whose long-term suspension/expulsion rate exceeds 2 percentage points above the State-level rate of 0.7%, the State must provide OSEP with the State-level rate of 0.7%). </w:t>
      </w:r>
    </w:p>
    <w:p w14:paraId="0A2E1A45" w14:textId="77777777" w:rsidR="00E6260F" w:rsidRDefault="00E6260F" w:rsidP="00E6260F">
      <w:pPr>
        <w:rPr>
          <w:rFonts w:cs="Arial"/>
          <w:szCs w:val="16"/>
        </w:rPr>
      </w:pPr>
      <w:r w:rsidRPr="00CF3FE6">
        <w:rPr>
          <w:rFonts w:cs="Arial"/>
          <w:szCs w:val="16"/>
        </w:rPr>
        <w:t>If, under Option 2, the State uses a rate difference to compare the rates of long-term suspensions and expulsions for children with IEPs to the rates of long-term suspensions and expulsions for nondisabled children within the LEA, the State must provide the State-selected rate difference used in its methodology (e.g., if a State has defined significant discrepancy to exist for an LEA whose rate of long-term suspensions and expulsions for children with IEPs is 4 percentage points above the long-term suspension/expulsion rate for nondisabled children, the State must provide OSEP with the rate difference of 4 percentage points). Similarly, if, under Option 2, the State uses a rate ratio to compare the rates of long-term suspensions and expulsions for children with IEPs to the rates of long-term suspensions and expulsions for nondisabled children within the LEA, the State must provide the State-selected rate ratio used in its methodology (e.g., if a State has defined significant discrepancy to exist for an LEA whose ratio of its long-term suspensions and expulsions rate for children with IEPs to long-term suspensions and expulsions rate for nondisabled children is greater than 3.0, the State must provide OSEP with the rate ratio of 3.0).</w:t>
      </w:r>
    </w:p>
    <w:p w14:paraId="25B27B0C" w14:textId="77777777" w:rsidR="004F019B" w:rsidRPr="00781112" w:rsidRDefault="004F019B" w:rsidP="00E6260F">
      <w:pPr>
        <w:rPr>
          <w:rFonts w:cs="Arial"/>
          <w:szCs w:val="16"/>
        </w:rPr>
      </w:pPr>
      <w:r w:rsidRPr="00781112">
        <w:rPr>
          <w:rFonts w:cs="Arial"/>
          <w:szCs w:val="16"/>
        </w:rPr>
        <w:t>Because the Measurement Table requires that the data examined for this indicator are lag year data, States should examine the section 618 data that was submitted by LEAs that were in operation during the school year before the reporting year. For example, if a State has 100 LEAs operating in the 2023-2024 school year, those 100 LEAs would have reported section 618 data in 2023-2024 on the number of children suspended/expelled. If the State then opens 15 new LEAs in 2024-2025, suspension/expulsion data from those 15 new LEAs would not be in the 2023-2024 section 618 data set, and therefore, those 15 new LEAs should not be included in the denominator of the calculation. States must use the number of LEAs from the year before the reporting year in its calculation for this indicator. For the FFY 2024 SPP/APR submission, States must use the number of LEAs reported in 2023-2024 (which can be found in the FFY 2023 SPP/APR introduction).</w:t>
      </w:r>
    </w:p>
    <w:p w14:paraId="4B2734C1" w14:textId="77777777" w:rsidR="00636061" w:rsidRPr="00781112" w:rsidRDefault="00636061" w:rsidP="00BB7BC9">
      <w:pPr>
        <w:rPr>
          <w:rFonts w:cs="Arial"/>
          <w:color w:val="000000" w:themeColor="text1"/>
          <w:szCs w:val="16"/>
        </w:rPr>
      </w:pPr>
      <w:r w:rsidRPr="00781112">
        <w:rPr>
          <w:rFonts w:cs="Arial"/>
          <w:color w:val="000000" w:themeColor="text1"/>
          <w:szCs w:val="16"/>
        </w:rPr>
        <w:t>Indicator 4A: Provide the actual numbers used in the calculation (based upon LEAs that met the minimum n and/or cell size requirement, if applicable). If significant discrepancies occurred, describe how the State educational agency reviewed and, if appropriate, revised (or required the affected local educational agency to revise) its policies, procedures, and practices relating to the development and implementation of IEPs, the use of positive behavioral interventions and supports, and procedural safeguards, to ensure that such policies, procedures, and practices comply with applicable requirements.</w:t>
      </w:r>
    </w:p>
    <w:p w14:paraId="3A1FAF33" w14:textId="77777777" w:rsidR="00636061" w:rsidRPr="00781112" w:rsidRDefault="00636061" w:rsidP="00BB7BC9">
      <w:pPr>
        <w:rPr>
          <w:rFonts w:cs="Arial"/>
          <w:color w:val="000000" w:themeColor="text1"/>
          <w:szCs w:val="16"/>
        </w:rPr>
      </w:pPr>
      <w:r w:rsidRPr="00781112">
        <w:rPr>
          <w:rFonts w:cs="Arial"/>
          <w:color w:val="000000" w:themeColor="text1"/>
          <w:szCs w:val="16"/>
        </w:rPr>
        <w:t>Provide detailed information about the timely correction of noncompliance as noted in OSEP’s response for the previous SPP/APR. If discrepancies occurred and the LEA with discrepancies had policies, procedures or practices that contributed to the significant discrepancy,</w:t>
      </w:r>
      <w:r w:rsidR="00ED1949" w:rsidRPr="00781112">
        <w:rPr>
          <w:rFonts w:cs="Arial"/>
          <w:szCs w:val="16"/>
        </w:rPr>
        <w:t xml:space="preserve"> as defined by the State,</w:t>
      </w:r>
      <w:r w:rsidRPr="00781112">
        <w:rPr>
          <w:rFonts w:cs="Arial"/>
          <w:color w:val="000000" w:themeColor="text1"/>
          <w:szCs w:val="16"/>
        </w:rPr>
        <w:t xml:space="preserve"> and that do not comply with requirements relating to the development and implementation of IEPs, the use of positive behavioral interventions and supports, and procedural safeguards, describe how the State ensured that such policies, procedures, and practices were revised to comply with applicable requirements consistent with OSEP</w:t>
      </w:r>
      <w:r w:rsidR="004D1797">
        <w:rPr>
          <w:rFonts w:cs="Arial"/>
          <w:color w:val="000000" w:themeColor="text1"/>
          <w:szCs w:val="16"/>
        </w:rPr>
        <w:t xml:space="preserve"> </w:t>
      </w:r>
      <w:r w:rsidR="00E52C16">
        <w:rPr>
          <w:rFonts w:cs="Arial"/>
          <w:bCs/>
          <w:color w:val="000000" w:themeColor="text1"/>
          <w:szCs w:val="16"/>
        </w:rPr>
        <w:t>Memorandum</w:t>
      </w:r>
      <w:r w:rsidR="00E52C16" w:rsidRPr="00BA3DBE">
        <w:rPr>
          <w:rFonts w:cs="Arial"/>
          <w:bCs/>
          <w:color w:val="000000" w:themeColor="text1"/>
          <w:szCs w:val="16"/>
        </w:rPr>
        <w:t xml:space="preserve"> </w:t>
      </w:r>
      <w:r w:rsidR="004D1797" w:rsidRPr="00BA3DBE">
        <w:rPr>
          <w:rFonts w:cs="Arial"/>
          <w:bCs/>
          <w:color w:val="000000" w:themeColor="text1"/>
          <w:szCs w:val="16"/>
        </w:rPr>
        <w:t>23-01, dated July</w:t>
      </w:r>
      <w:r w:rsidR="007E6271">
        <w:rPr>
          <w:rFonts w:cs="Arial"/>
          <w:bCs/>
          <w:color w:val="000000" w:themeColor="text1"/>
          <w:szCs w:val="16"/>
        </w:rPr>
        <w:t xml:space="preserve"> 24, 2023</w:t>
      </w:r>
      <w:r w:rsidRPr="00781112">
        <w:rPr>
          <w:rFonts w:cs="Arial"/>
          <w:color w:val="000000" w:themeColor="text1"/>
          <w:szCs w:val="16"/>
        </w:rPr>
        <w:t>.</w:t>
      </w:r>
    </w:p>
    <w:p w14:paraId="6C90FE42" w14:textId="77777777" w:rsidR="00636061" w:rsidRPr="00781112" w:rsidRDefault="00636061" w:rsidP="00BB7BC9">
      <w:pPr>
        <w:rPr>
          <w:rFonts w:cs="Arial"/>
          <w:color w:val="000000" w:themeColor="text1"/>
          <w:szCs w:val="16"/>
        </w:rPr>
      </w:pPr>
      <w:r w:rsidRPr="00781112">
        <w:rPr>
          <w:rFonts w:cs="Arial"/>
          <w:color w:val="000000" w:themeColor="text1"/>
          <w:szCs w:val="16"/>
        </w:rPr>
        <w:lastRenderedPageBreak/>
        <w:t>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117715CD" w14:textId="77777777" w:rsidR="00636061" w:rsidRDefault="00A14B5D" w:rsidP="00BB7BC9">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2024 SPP/APR, the data for FFY 2023), and the State did not identify any findings of noncompliance, provide an explanation of why the State did not identify any findings of noncompliance.</w:t>
      </w:r>
    </w:p>
    <w:p w14:paraId="208C1BA3" w14:textId="77777777" w:rsidR="00B63772" w:rsidRPr="00FE4611" w:rsidRDefault="008B19C7" w:rsidP="00BB7BC9">
      <w:pPr>
        <w:rPr>
          <w:rFonts w:cs="Arial"/>
          <w:szCs w:val="16"/>
        </w:rPr>
      </w:pPr>
      <w:r>
        <w:rPr>
          <w:rFonts w:cs="Arial"/>
          <w:szCs w:val="16"/>
        </w:rPr>
        <w:t>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3A0CFE9A" w14:textId="77777777" w:rsidR="006E5AE4" w:rsidRPr="00781112" w:rsidRDefault="00697434" w:rsidP="008645AD">
      <w:pPr>
        <w:pStyle w:val="Heading2"/>
      </w:pPr>
      <w:bookmarkStart w:id="23" w:name="_Toc384383332"/>
      <w:bookmarkStart w:id="24" w:name="_Toc392159284"/>
      <w:bookmarkEnd w:id="20"/>
      <w:bookmarkEnd w:id="21"/>
      <w:r w:rsidRPr="00781112">
        <w:t>4A</w:t>
      </w:r>
      <w:r w:rsidR="00DA3C7A" w:rsidRPr="00781112">
        <w:t xml:space="preserve"> </w:t>
      </w:r>
      <w:r w:rsidRPr="00781112">
        <w:t xml:space="preserve">- </w:t>
      </w:r>
      <w:r w:rsidR="006E5AE4" w:rsidRPr="00781112">
        <w:t>Indicator Data</w:t>
      </w:r>
    </w:p>
    <w:p w14:paraId="1F90313D" w14:textId="77777777"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ook w:val="04A0" w:firstRow="1" w:lastRow="0" w:firstColumn="1" w:lastColumn="0" w:noHBand="0" w:noVBand="1"/>
        <w:tblCaption w:val="B04ABASELINEDATA"/>
      </w:tblPr>
      <w:tblGrid>
        <w:gridCol w:w="2562"/>
        <w:gridCol w:w="2563"/>
      </w:tblGrid>
      <w:tr w:rsidR="002B6965" w:rsidRPr="00781112" w14:paraId="46FB9FB5" w14:textId="77777777" w:rsidTr="002B6965">
        <w:trPr>
          <w:trHeight w:val="311"/>
          <w:tblHeader/>
        </w:trPr>
        <w:tc>
          <w:tcPr>
            <w:tcW w:w="2562" w:type="dxa"/>
          </w:tcPr>
          <w:p w14:paraId="79BDBC16" w14:textId="77777777" w:rsidR="002B6965" w:rsidRPr="00781112" w:rsidRDefault="002B6965" w:rsidP="002B6965">
            <w:pPr>
              <w:jc w:val="center"/>
              <w:rPr>
                <w:b/>
                <w:color w:val="000000" w:themeColor="text1"/>
              </w:rPr>
            </w:pPr>
            <w:r w:rsidRPr="00781112">
              <w:rPr>
                <w:rFonts w:cs="Arial"/>
                <w:b/>
                <w:color w:val="000000" w:themeColor="text1"/>
                <w:szCs w:val="16"/>
              </w:rPr>
              <w:t>Baseline Year</w:t>
            </w:r>
          </w:p>
        </w:tc>
        <w:tc>
          <w:tcPr>
            <w:tcW w:w="2563" w:type="dxa"/>
          </w:tcPr>
          <w:p w14:paraId="7EE58A67" w14:textId="77777777" w:rsidR="002B6965" w:rsidRPr="00781112" w:rsidRDefault="002B6965" w:rsidP="002B6965">
            <w:pPr>
              <w:jc w:val="center"/>
              <w:rPr>
                <w:b/>
                <w:color w:val="000000" w:themeColor="text1"/>
              </w:rPr>
            </w:pPr>
            <w:r w:rsidRPr="00781112">
              <w:rPr>
                <w:b/>
                <w:color w:val="000000" w:themeColor="text1"/>
              </w:rPr>
              <w:t>Baseline Data</w:t>
            </w:r>
          </w:p>
        </w:tc>
      </w:tr>
      <w:tr w:rsidR="002B6965" w:rsidRPr="00781112" w14:paraId="17399BB8" w14:textId="77777777" w:rsidTr="002B6965">
        <w:trPr>
          <w:trHeight w:val="311"/>
        </w:trPr>
        <w:tc>
          <w:tcPr>
            <w:tcW w:w="2562" w:type="dxa"/>
            <w:vAlign w:val="center"/>
          </w:tcPr>
          <w:p w14:paraId="3E2ABA32" w14:textId="77777777" w:rsidR="002B6965" w:rsidRPr="00781112" w:rsidRDefault="002B6965" w:rsidP="002B6965">
            <w:pPr>
              <w:jc w:val="center"/>
              <w:rPr>
                <w:b/>
                <w:color w:val="000000" w:themeColor="text1"/>
              </w:rPr>
            </w:pPr>
            <w:r w:rsidRPr="00781112">
              <w:rPr>
                <w:rFonts w:cs="Arial"/>
                <w:color w:val="000000" w:themeColor="text1"/>
                <w:szCs w:val="16"/>
              </w:rPr>
              <w:t>2023</w:t>
            </w:r>
          </w:p>
        </w:tc>
        <w:tc>
          <w:tcPr>
            <w:tcW w:w="2563" w:type="dxa"/>
            <w:vAlign w:val="center"/>
          </w:tcPr>
          <w:p w14:paraId="0835E908" w14:textId="77777777" w:rsidR="002B6965" w:rsidRPr="00781112" w:rsidRDefault="002B6965" w:rsidP="002B6965">
            <w:pPr>
              <w:jc w:val="center"/>
              <w:rPr>
                <w:b/>
                <w:color w:val="000000" w:themeColor="text1"/>
              </w:rPr>
            </w:pPr>
            <w:r w:rsidRPr="00781112">
              <w:rPr>
                <w:rFonts w:cs="Arial"/>
                <w:color w:val="000000" w:themeColor="text1"/>
                <w:szCs w:val="16"/>
              </w:rPr>
              <w:t>0.00%</w:t>
            </w:r>
          </w:p>
        </w:tc>
      </w:tr>
    </w:tbl>
    <w:p w14:paraId="1817A415" w14:textId="77777777" w:rsidR="002B6965" w:rsidRPr="00781112" w:rsidRDefault="002B6965"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AHISTDATA"/>
      </w:tblPr>
      <w:tblGrid>
        <w:gridCol w:w="1798"/>
        <w:gridCol w:w="1798"/>
        <w:gridCol w:w="1798"/>
        <w:gridCol w:w="1798"/>
        <w:gridCol w:w="1798"/>
        <w:gridCol w:w="1800"/>
      </w:tblGrid>
      <w:tr w:rsidR="005C29F8" w:rsidRPr="00781112" w14:paraId="2903CCFD" w14:textId="77777777" w:rsidTr="00E95FBF">
        <w:trPr>
          <w:trHeight w:val="350"/>
        </w:trPr>
        <w:tc>
          <w:tcPr>
            <w:tcW w:w="833" w:type="pct"/>
            <w:tcBorders>
              <w:bottom w:val="single" w:sz="4" w:space="0" w:color="auto"/>
            </w:tcBorders>
          </w:tcPr>
          <w:p w14:paraId="5DFE82FB" w14:textId="77777777" w:rsidR="00E4112E" w:rsidRPr="00781112" w:rsidRDefault="00E4112E" w:rsidP="004369B2">
            <w:pPr>
              <w:jc w:val="center"/>
              <w:rPr>
                <w:b/>
                <w:color w:val="000000" w:themeColor="text1"/>
              </w:rPr>
            </w:pPr>
            <w:r w:rsidRPr="00781112">
              <w:rPr>
                <w:b/>
                <w:color w:val="000000" w:themeColor="text1"/>
              </w:rPr>
              <w:t>FFY</w:t>
            </w:r>
          </w:p>
        </w:tc>
        <w:tc>
          <w:tcPr>
            <w:tcW w:w="833" w:type="pct"/>
          </w:tcPr>
          <w:p w14:paraId="07F3D0B9" w14:textId="77777777" w:rsidR="00E4112E" w:rsidRPr="00781112" w:rsidRDefault="002B7490">
            <w:pPr>
              <w:jc w:val="center"/>
              <w:rPr>
                <w:b/>
                <w:color w:val="000000" w:themeColor="text1"/>
              </w:rPr>
            </w:pPr>
            <w:r w:rsidRPr="00781112">
              <w:rPr>
                <w:b/>
                <w:color w:val="000000" w:themeColor="text1"/>
              </w:rPr>
              <w:t>2019</w:t>
            </w:r>
          </w:p>
        </w:tc>
        <w:tc>
          <w:tcPr>
            <w:tcW w:w="833" w:type="pct"/>
          </w:tcPr>
          <w:p w14:paraId="2F9AEE26" w14:textId="77777777" w:rsidR="00E4112E" w:rsidRPr="00781112" w:rsidRDefault="002B7490">
            <w:pPr>
              <w:jc w:val="center"/>
              <w:rPr>
                <w:b/>
                <w:color w:val="000000" w:themeColor="text1"/>
              </w:rPr>
            </w:pPr>
            <w:r w:rsidRPr="00781112">
              <w:rPr>
                <w:b/>
                <w:color w:val="000000" w:themeColor="text1"/>
              </w:rPr>
              <w:t>2020</w:t>
            </w:r>
          </w:p>
        </w:tc>
        <w:tc>
          <w:tcPr>
            <w:tcW w:w="833" w:type="pct"/>
          </w:tcPr>
          <w:p w14:paraId="65AEF055" w14:textId="77777777" w:rsidR="00E4112E" w:rsidRPr="00781112" w:rsidRDefault="002B7490">
            <w:pPr>
              <w:jc w:val="center"/>
              <w:rPr>
                <w:b/>
                <w:color w:val="000000" w:themeColor="text1"/>
              </w:rPr>
            </w:pPr>
            <w:r w:rsidRPr="00781112">
              <w:rPr>
                <w:b/>
                <w:color w:val="000000" w:themeColor="text1"/>
              </w:rPr>
              <w:t>2021</w:t>
            </w:r>
          </w:p>
        </w:tc>
        <w:tc>
          <w:tcPr>
            <w:tcW w:w="833" w:type="pct"/>
          </w:tcPr>
          <w:p w14:paraId="0346E67E" w14:textId="77777777" w:rsidR="00E4112E" w:rsidRPr="00781112" w:rsidRDefault="002B7490">
            <w:pPr>
              <w:jc w:val="center"/>
              <w:rPr>
                <w:b/>
                <w:color w:val="000000" w:themeColor="text1"/>
              </w:rPr>
            </w:pPr>
            <w:r w:rsidRPr="00781112">
              <w:rPr>
                <w:b/>
                <w:color w:val="000000" w:themeColor="text1"/>
              </w:rPr>
              <w:t>2022</w:t>
            </w:r>
          </w:p>
        </w:tc>
        <w:tc>
          <w:tcPr>
            <w:tcW w:w="834" w:type="pct"/>
          </w:tcPr>
          <w:p w14:paraId="52051BAE" w14:textId="77777777" w:rsidR="00E4112E" w:rsidRPr="00781112" w:rsidRDefault="002B7490">
            <w:pPr>
              <w:jc w:val="center"/>
              <w:rPr>
                <w:b/>
                <w:color w:val="000000" w:themeColor="text1"/>
              </w:rPr>
            </w:pPr>
            <w:r w:rsidRPr="00781112">
              <w:rPr>
                <w:b/>
                <w:color w:val="000000" w:themeColor="text1"/>
              </w:rPr>
              <w:t>2023</w:t>
            </w:r>
          </w:p>
        </w:tc>
      </w:tr>
      <w:tr w:rsidR="005C29F8" w:rsidRPr="00781112" w14:paraId="577FB583" w14:textId="77777777" w:rsidTr="00E95FBF">
        <w:trPr>
          <w:trHeight w:val="357"/>
        </w:trPr>
        <w:tc>
          <w:tcPr>
            <w:tcW w:w="833" w:type="pct"/>
            <w:vAlign w:val="center"/>
          </w:tcPr>
          <w:p w14:paraId="11DBCA2C" w14:textId="77777777" w:rsidR="00BB7BC9" w:rsidRPr="00781112" w:rsidRDefault="00BB7BC9" w:rsidP="00BA3DBE">
            <w:pPr>
              <w:jc w:val="center"/>
              <w:rPr>
                <w:rFonts w:cs="Arial"/>
                <w:color w:val="000000" w:themeColor="text1"/>
                <w:szCs w:val="16"/>
              </w:rPr>
            </w:pPr>
            <w:r w:rsidRPr="00781112">
              <w:rPr>
                <w:rFonts w:cs="Arial"/>
                <w:color w:val="000000" w:themeColor="text1"/>
                <w:szCs w:val="16"/>
              </w:rPr>
              <w:t xml:space="preserve">Target </w:t>
            </w:r>
            <w:r w:rsidR="009B02BC" w:rsidRPr="00781112">
              <w:rPr>
                <w:rFonts w:cs="Arial"/>
                <w:color w:val="000000" w:themeColor="text1"/>
                <w:szCs w:val="16"/>
                <w:shd w:val="clear" w:color="auto" w:fill="FFFFFF"/>
              </w:rPr>
              <w:t>&lt;=</w:t>
            </w:r>
          </w:p>
        </w:tc>
        <w:tc>
          <w:tcPr>
            <w:tcW w:w="833" w:type="pct"/>
            <w:vAlign w:val="center"/>
          </w:tcPr>
          <w:p w14:paraId="37E7BFAB" w14:textId="77777777" w:rsidR="00BB7BC9" w:rsidRPr="00781112" w:rsidRDefault="002B7490" w:rsidP="00A018D4">
            <w:pPr>
              <w:jc w:val="center"/>
              <w:rPr>
                <w:rFonts w:cs="Arial"/>
                <w:color w:val="000000" w:themeColor="text1"/>
                <w:szCs w:val="16"/>
              </w:rPr>
            </w:pPr>
            <w:r w:rsidRPr="00781112">
              <w:rPr>
                <w:rFonts w:cs="Arial"/>
                <w:color w:val="000000" w:themeColor="text1"/>
                <w:szCs w:val="16"/>
              </w:rPr>
              <w:t>3.50%</w:t>
            </w:r>
          </w:p>
        </w:tc>
        <w:tc>
          <w:tcPr>
            <w:tcW w:w="833" w:type="pct"/>
            <w:vAlign w:val="center"/>
          </w:tcPr>
          <w:p w14:paraId="50B0DA1D" w14:textId="77777777" w:rsidR="00BB7BC9" w:rsidRPr="00781112" w:rsidRDefault="002B7490" w:rsidP="00A018D4">
            <w:pPr>
              <w:jc w:val="center"/>
              <w:rPr>
                <w:rFonts w:cs="Arial"/>
                <w:color w:val="000000" w:themeColor="text1"/>
                <w:szCs w:val="16"/>
              </w:rPr>
            </w:pPr>
            <w:r w:rsidRPr="00781112">
              <w:rPr>
                <w:rFonts w:cs="Arial"/>
                <w:color w:val="000000" w:themeColor="text1"/>
                <w:szCs w:val="16"/>
              </w:rPr>
              <w:t>3.50%</w:t>
            </w:r>
          </w:p>
        </w:tc>
        <w:tc>
          <w:tcPr>
            <w:tcW w:w="833" w:type="pct"/>
            <w:vAlign w:val="center"/>
          </w:tcPr>
          <w:p w14:paraId="2BAC5FF4" w14:textId="77777777" w:rsidR="00BB7BC9" w:rsidRPr="00781112" w:rsidRDefault="002B7490" w:rsidP="00A018D4">
            <w:pPr>
              <w:jc w:val="center"/>
              <w:rPr>
                <w:rFonts w:cs="Arial"/>
                <w:color w:val="000000" w:themeColor="text1"/>
                <w:szCs w:val="16"/>
              </w:rPr>
            </w:pPr>
            <w:r w:rsidRPr="00781112">
              <w:rPr>
                <w:rFonts w:cs="Arial"/>
                <w:color w:val="000000" w:themeColor="text1"/>
                <w:szCs w:val="16"/>
              </w:rPr>
              <w:t>3.50%</w:t>
            </w:r>
          </w:p>
        </w:tc>
        <w:tc>
          <w:tcPr>
            <w:tcW w:w="833" w:type="pct"/>
            <w:vAlign w:val="center"/>
          </w:tcPr>
          <w:p w14:paraId="0EE9F02E" w14:textId="77777777" w:rsidR="00BB7BC9" w:rsidRPr="00781112" w:rsidRDefault="002B7490" w:rsidP="00A018D4">
            <w:pPr>
              <w:jc w:val="center"/>
              <w:rPr>
                <w:rFonts w:cs="Arial"/>
                <w:color w:val="000000" w:themeColor="text1"/>
                <w:szCs w:val="16"/>
              </w:rPr>
            </w:pPr>
            <w:r w:rsidRPr="00781112">
              <w:rPr>
                <w:rFonts w:cs="Arial"/>
                <w:color w:val="000000" w:themeColor="text1"/>
                <w:szCs w:val="16"/>
              </w:rPr>
              <w:t>3.50%</w:t>
            </w:r>
          </w:p>
        </w:tc>
        <w:tc>
          <w:tcPr>
            <w:tcW w:w="834" w:type="pct"/>
            <w:vAlign w:val="center"/>
          </w:tcPr>
          <w:p w14:paraId="3FAFD4B3" w14:textId="77777777"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r>
      <w:tr w:rsidR="005C29F8" w:rsidRPr="00781112" w14:paraId="19CA12DA" w14:textId="77777777" w:rsidTr="00E95FBF">
        <w:trPr>
          <w:trHeight w:val="85"/>
        </w:trPr>
        <w:tc>
          <w:tcPr>
            <w:tcW w:w="833" w:type="pct"/>
            <w:vAlign w:val="center"/>
          </w:tcPr>
          <w:p w14:paraId="59633E4D" w14:textId="77777777" w:rsidR="00BB7BC9" w:rsidRPr="00781112" w:rsidRDefault="00BB7BC9" w:rsidP="00BA3DBE">
            <w:pPr>
              <w:jc w:val="center"/>
              <w:rPr>
                <w:rFonts w:cs="Arial"/>
                <w:color w:val="000000" w:themeColor="text1"/>
                <w:szCs w:val="16"/>
              </w:rPr>
            </w:pPr>
            <w:r w:rsidRPr="00781112">
              <w:rPr>
                <w:rFonts w:cs="Arial"/>
                <w:color w:val="000000" w:themeColor="text1"/>
                <w:szCs w:val="16"/>
              </w:rPr>
              <w:t>Data</w:t>
            </w:r>
          </w:p>
        </w:tc>
        <w:tc>
          <w:tcPr>
            <w:tcW w:w="833" w:type="pct"/>
            <w:vAlign w:val="center"/>
          </w:tcPr>
          <w:p w14:paraId="4F59F666" w14:textId="77777777" w:rsidR="00BB7BC9" w:rsidRPr="00781112" w:rsidRDefault="002B7490" w:rsidP="00A018D4">
            <w:pPr>
              <w:jc w:val="center"/>
              <w:rPr>
                <w:rFonts w:cs="Arial"/>
                <w:color w:val="000000" w:themeColor="text1"/>
                <w:szCs w:val="16"/>
              </w:rPr>
            </w:pPr>
            <w:r w:rsidRPr="00781112">
              <w:rPr>
                <w:rFonts w:cs="Arial"/>
                <w:color w:val="000000" w:themeColor="text1"/>
                <w:szCs w:val="16"/>
              </w:rPr>
              <w:t>3.51%</w:t>
            </w:r>
          </w:p>
        </w:tc>
        <w:tc>
          <w:tcPr>
            <w:tcW w:w="833" w:type="pct"/>
            <w:vAlign w:val="center"/>
          </w:tcPr>
          <w:p w14:paraId="494E8C82" w14:textId="77777777" w:rsidR="00BB7BC9" w:rsidRPr="00781112" w:rsidRDefault="002B7490" w:rsidP="00A018D4">
            <w:pPr>
              <w:jc w:val="center"/>
              <w:rPr>
                <w:rFonts w:cs="Arial"/>
                <w:color w:val="000000" w:themeColor="text1"/>
                <w:szCs w:val="16"/>
              </w:rPr>
            </w:pPr>
            <w:r w:rsidRPr="00781112">
              <w:rPr>
                <w:rFonts w:cs="Arial"/>
                <w:color w:val="000000" w:themeColor="text1"/>
                <w:szCs w:val="16"/>
              </w:rPr>
              <w:t>1.75%</w:t>
            </w:r>
          </w:p>
        </w:tc>
        <w:tc>
          <w:tcPr>
            <w:tcW w:w="833" w:type="pct"/>
            <w:tcBorders>
              <w:bottom w:val="single" w:sz="4" w:space="0" w:color="auto"/>
            </w:tcBorders>
            <w:vAlign w:val="center"/>
          </w:tcPr>
          <w:p w14:paraId="65712ED1" w14:textId="77777777"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vAlign w:val="center"/>
          </w:tcPr>
          <w:p w14:paraId="421DEEBA" w14:textId="77777777" w:rsidR="00BB7BC9" w:rsidRPr="00781112" w:rsidRDefault="002B7490" w:rsidP="00A018D4">
            <w:pPr>
              <w:jc w:val="center"/>
              <w:rPr>
                <w:rFonts w:cs="Arial"/>
                <w:color w:val="000000" w:themeColor="text1"/>
                <w:szCs w:val="16"/>
              </w:rPr>
            </w:pPr>
            <w:r w:rsidRPr="00781112">
              <w:rPr>
                <w:rFonts w:cs="Arial"/>
                <w:color w:val="000000" w:themeColor="text1"/>
                <w:szCs w:val="16"/>
              </w:rPr>
              <w:t>8.33%</w:t>
            </w:r>
          </w:p>
        </w:tc>
        <w:tc>
          <w:tcPr>
            <w:tcW w:w="834" w:type="pct"/>
            <w:tcBorders>
              <w:bottom w:val="single" w:sz="4" w:space="0" w:color="auto"/>
            </w:tcBorders>
            <w:vAlign w:val="center"/>
          </w:tcPr>
          <w:p w14:paraId="115C3781" w14:textId="77777777"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r>
    </w:tbl>
    <w:p w14:paraId="7841F781" w14:textId="77777777" w:rsidR="006478FC" w:rsidRPr="00781112" w:rsidRDefault="006478FC" w:rsidP="004369B2">
      <w:pPr>
        <w:rPr>
          <w:color w:val="000000" w:themeColor="text1"/>
        </w:rPr>
      </w:pPr>
    </w:p>
    <w:p w14:paraId="15C1068D" w14:textId="77777777" w:rsidR="00ED5FCE" w:rsidRPr="00781112" w:rsidRDefault="00ED5FCE" w:rsidP="004369B2">
      <w:pPr>
        <w:rPr>
          <w:color w:val="000000" w:themeColor="text1"/>
        </w:rPr>
      </w:pPr>
      <w:r w:rsidRPr="00781112">
        <w:rPr>
          <w:b/>
          <w:color w:val="000000" w:themeColor="text1"/>
        </w:rPr>
        <w:t>Targets</w:t>
      </w:r>
    </w:p>
    <w:tbl>
      <w:tblPr>
        <w:tblW w:w="28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ATARGETS"/>
      </w:tblPr>
      <w:tblGrid>
        <w:gridCol w:w="679"/>
        <w:gridCol w:w="2608"/>
        <w:gridCol w:w="2786"/>
      </w:tblGrid>
      <w:tr w:rsidR="00A80E97" w:rsidRPr="00781112" w14:paraId="693E6BB6" w14:textId="77777777" w:rsidTr="00924AD9">
        <w:trPr>
          <w:trHeight w:val="350"/>
        </w:trPr>
        <w:tc>
          <w:tcPr>
            <w:tcW w:w="559" w:type="pct"/>
            <w:tcBorders>
              <w:bottom w:val="single" w:sz="4" w:space="0" w:color="auto"/>
            </w:tcBorders>
          </w:tcPr>
          <w:p w14:paraId="29251E46" w14:textId="77777777" w:rsidR="00A80E97" w:rsidRPr="00781112" w:rsidRDefault="00A80E97" w:rsidP="00373F78">
            <w:pPr>
              <w:jc w:val="center"/>
              <w:rPr>
                <w:b/>
                <w:color w:val="000000" w:themeColor="text1"/>
              </w:rPr>
            </w:pPr>
            <w:r w:rsidRPr="00781112">
              <w:rPr>
                <w:b/>
                <w:color w:val="000000" w:themeColor="text1"/>
              </w:rPr>
              <w:t>FFY</w:t>
            </w:r>
          </w:p>
        </w:tc>
        <w:tc>
          <w:tcPr>
            <w:tcW w:w="2147" w:type="pct"/>
          </w:tcPr>
          <w:p w14:paraId="10072F1C" w14:textId="77777777" w:rsidR="00A80E97" w:rsidRPr="00781112" w:rsidRDefault="00A80E97" w:rsidP="00373F78">
            <w:pPr>
              <w:jc w:val="center"/>
              <w:rPr>
                <w:b/>
                <w:color w:val="000000" w:themeColor="text1"/>
              </w:rPr>
            </w:pPr>
            <w:r w:rsidRPr="00781112">
              <w:rPr>
                <w:b/>
                <w:color w:val="000000" w:themeColor="text1"/>
              </w:rPr>
              <w:t>2024</w:t>
            </w:r>
          </w:p>
        </w:tc>
        <w:tc>
          <w:tcPr>
            <w:tcW w:w="2294" w:type="pct"/>
          </w:tcPr>
          <w:p w14:paraId="7EA70A2D" w14:textId="77777777" w:rsidR="00A80E97" w:rsidRPr="00781112" w:rsidRDefault="00A80E97" w:rsidP="00373F78">
            <w:pPr>
              <w:jc w:val="center"/>
              <w:rPr>
                <w:b/>
                <w:color w:val="000000" w:themeColor="text1"/>
              </w:rPr>
            </w:pPr>
            <w:r w:rsidRPr="00781112">
              <w:rPr>
                <w:rFonts w:cs="Arial"/>
                <w:b/>
                <w:color w:val="000000" w:themeColor="text1"/>
                <w:szCs w:val="16"/>
              </w:rPr>
              <w:t>2025</w:t>
            </w:r>
          </w:p>
        </w:tc>
      </w:tr>
      <w:tr w:rsidR="00A80E97" w:rsidRPr="00781112" w14:paraId="10D736DF" w14:textId="77777777" w:rsidTr="00924AD9">
        <w:trPr>
          <w:trHeight w:val="357"/>
        </w:trPr>
        <w:tc>
          <w:tcPr>
            <w:tcW w:w="559" w:type="pct"/>
            <w:vAlign w:val="center"/>
          </w:tcPr>
          <w:p w14:paraId="1AB71FA1" w14:textId="77777777" w:rsidR="00A80E97" w:rsidRPr="00781112" w:rsidRDefault="00A80E97" w:rsidP="00BA3DBE">
            <w:pPr>
              <w:jc w:val="center"/>
              <w:rPr>
                <w:rFonts w:cs="Arial"/>
                <w:color w:val="000000" w:themeColor="text1"/>
                <w:szCs w:val="16"/>
              </w:rPr>
            </w:pPr>
            <w:r w:rsidRPr="00781112">
              <w:rPr>
                <w:rFonts w:cs="Arial"/>
                <w:color w:val="000000" w:themeColor="text1"/>
                <w:szCs w:val="16"/>
              </w:rPr>
              <w:t xml:space="preserve">Target </w:t>
            </w:r>
            <w:r w:rsidRPr="00781112">
              <w:rPr>
                <w:rFonts w:cs="Arial"/>
                <w:color w:val="000000" w:themeColor="text1"/>
                <w:szCs w:val="16"/>
                <w:shd w:val="clear" w:color="auto" w:fill="FFFFFF"/>
              </w:rPr>
              <w:t>&lt;=</w:t>
            </w:r>
          </w:p>
        </w:tc>
        <w:tc>
          <w:tcPr>
            <w:tcW w:w="2147" w:type="pct"/>
            <w:vAlign w:val="center"/>
          </w:tcPr>
          <w:p w14:paraId="7E451649" w14:textId="77777777" w:rsidR="00A80E97" w:rsidRPr="00781112" w:rsidRDefault="00A80E97" w:rsidP="00373F78">
            <w:pPr>
              <w:jc w:val="center"/>
              <w:rPr>
                <w:rFonts w:cs="Arial"/>
                <w:color w:val="000000" w:themeColor="text1"/>
                <w:szCs w:val="16"/>
              </w:rPr>
            </w:pPr>
            <w:r w:rsidRPr="00781112">
              <w:rPr>
                <w:rFonts w:cs="Arial"/>
                <w:color w:val="000000" w:themeColor="text1"/>
                <w:szCs w:val="16"/>
              </w:rPr>
              <w:t>0.00%</w:t>
            </w:r>
          </w:p>
        </w:tc>
        <w:tc>
          <w:tcPr>
            <w:tcW w:w="2294" w:type="pct"/>
          </w:tcPr>
          <w:p w14:paraId="3B74F491" w14:textId="77777777" w:rsidR="00A80E97" w:rsidRPr="00781112" w:rsidRDefault="00A80E97" w:rsidP="00373F78">
            <w:pPr>
              <w:jc w:val="center"/>
              <w:rPr>
                <w:rFonts w:cs="Arial"/>
                <w:color w:val="000000" w:themeColor="text1"/>
                <w:szCs w:val="16"/>
              </w:rPr>
            </w:pPr>
            <w:r w:rsidRPr="00781112">
              <w:rPr>
                <w:color w:val="000000" w:themeColor="text1"/>
                <w:szCs w:val="16"/>
              </w:rPr>
              <w:t>0.00%</w:t>
            </w:r>
          </w:p>
        </w:tc>
      </w:tr>
    </w:tbl>
    <w:p w14:paraId="2B60B479" w14:textId="77777777" w:rsidR="002D145D" w:rsidRPr="00781112" w:rsidRDefault="002D145D" w:rsidP="004369B2">
      <w:pPr>
        <w:rPr>
          <w:b/>
          <w:color w:val="000000" w:themeColor="text1"/>
        </w:rPr>
      </w:pPr>
      <w:r w:rsidRPr="00781112">
        <w:rPr>
          <w:b/>
          <w:color w:val="000000" w:themeColor="text1"/>
        </w:rPr>
        <w:t xml:space="preserve">Targets: Description of Stakeholder Input </w:t>
      </w:r>
    </w:p>
    <w:p w14:paraId="37F846EC" w14:textId="77777777" w:rsidR="002D145D" w:rsidRPr="00781112" w:rsidRDefault="002B7490" w:rsidP="002D145D">
      <w:pPr>
        <w:rPr>
          <w:rFonts w:cs="Arial"/>
          <w:color w:val="000000" w:themeColor="text1"/>
          <w:szCs w:val="16"/>
        </w:rPr>
      </w:pPr>
      <w:r w:rsidRPr="00781112">
        <w:rPr>
          <w:rFonts w:cs="Arial"/>
          <w:color w:val="000000" w:themeColor="text1"/>
          <w:szCs w:val="16"/>
        </w:rPr>
        <w:t>WVDE/OSE maintains robust stakeholder engagement through multiple communication and collaboration channels:</w:t>
      </w:r>
    </w:p>
    <w:p w14:paraId="4AC591B8" w14:textId="77777777" w:rsidR="00CA787A" w:rsidRDefault="003169E9">
      <w:r>
        <w:rPr>
          <w:color w:val="000000"/>
        </w:rPr>
        <w:t>*DIRECT COMMUNICATION/CONSULTATION*</w:t>
      </w:r>
    </w:p>
    <w:p w14:paraId="18740C59" w14:textId="77777777" w:rsidR="00CA787A" w:rsidRDefault="003169E9">
      <w:r>
        <w:rPr>
          <w:color w:val="000000"/>
        </w:rPr>
        <w:t>—Engaging in one-on-one calls with parents, advocates, educators, and community stakeholders.</w:t>
      </w:r>
    </w:p>
    <w:p w14:paraId="370A7744" w14:textId="77777777" w:rsidR="00CA787A" w:rsidRDefault="003169E9">
      <w:r>
        <w:rPr>
          <w:color w:val="000000"/>
        </w:rPr>
        <w:t>—Distributing emails and surveys to solicit input from diverse stakeholder groups.</w:t>
      </w:r>
    </w:p>
    <w:p w14:paraId="278E49BD" w14:textId="77777777" w:rsidR="00CA787A" w:rsidRDefault="003169E9">
      <w:r>
        <w:rPr>
          <w:color w:val="000000"/>
        </w:rPr>
        <w:t>—Hosting bi-monthly secondary transition office hours to address Indicator 13 compliance and results, and to provide technical assistance for IEP development.</w:t>
      </w:r>
    </w:p>
    <w:p w14:paraId="18AFAFEE" w14:textId="77777777" w:rsidR="00CA787A" w:rsidRDefault="003169E9">
      <w:r>
        <w:rPr>
          <w:color w:val="000000"/>
        </w:rPr>
        <w:t>—Monthly virtual meetings with stakeholders to identify and troubleshoot areas of concern throughout the state.</w:t>
      </w:r>
    </w:p>
    <w:p w14:paraId="26FCEFE4" w14:textId="77777777" w:rsidR="00CA787A" w:rsidRDefault="003169E9">
      <w:r>
        <w:rPr>
          <w:color w:val="000000"/>
        </w:rPr>
        <w:t>*INFORMATION SHARING*</w:t>
      </w:r>
    </w:p>
    <w:p w14:paraId="508BBAAB" w14:textId="77777777" w:rsidR="00CA787A" w:rsidRDefault="003169E9">
      <w:r>
        <w:rPr>
          <w:color w:val="000000"/>
        </w:rPr>
        <w:t>—Utilizing a dedicated Microsoft Teams platform for communication with LEAs.</w:t>
      </w:r>
    </w:p>
    <w:p w14:paraId="1B851ED8" w14:textId="77777777" w:rsidR="00CA787A" w:rsidRDefault="003169E9">
      <w:r>
        <w:rPr>
          <w:color w:val="000000"/>
        </w:rPr>
        <w:t>—Maintaining a public input form on the WVDE website specifically for SSIP feedback.</w:t>
      </w:r>
    </w:p>
    <w:p w14:paraId="5CFD0D73" w14:textId="77777777" w:rsidR="00CA787A" w:rsidRDefault="003169E9">
      <w:r>
        <w:rPr>
          <w:color w:val="000000"/>
        </w:rPr>
        <w:t xml:space="preserve">—Collecting input from parents, students, and school personnel as required components of monitoring activities. </w:t>
      </w:r>
    </w:p>
    <w:p w14:paraId="72F9CB77" w14:textId="77777777" w:rsidR="00CA787A" w:rsidRDefault="003169E9">
      <w:r>
        <w:rPr>
          <w:color w:val="000000"/>
        </w:rPr>
        <w:t>—Facilitating cross-office communication and coordination on general and special education initiatives.</w:t>
      </w:r>
    </w:p>
    <w:p w14:paraId="73FF9A80" w14:textId="77777777" w:rsidR="00CA787A" w:rsidRDefault="003169E9">
      <w:r>
        <w:rPr>
          <w:color w:val="000000"/>
        </w:rPr>
        <w:t>*COLLABORATIVE PARTNERSHIPS*</w:t>
      </w:r>
    </w:p>
    <w:p w14:paraId="2FD70D86" w14:textId="77777777" w:rsidR="00CA787A" w:rsidRDefault="003169E9">
      <w:r>
        <w:rPr>
          <w:color w:val="000000"/>
        </w:rPr>
        <w:t>—Engaging in ongoing meetings and interagency teams dedicated to enhancing outcomes for individuals with disabilities.</w:t>
      </w:r>
    </w:p>
    <w:p w14:paraId="682E8C3E" w14:textId="77777777" w:rsidR="00CA787A" w:rsidRDefault="003169E9">
      <w:r>
        <w:rPr>
          <w:color w:val="000000"/>
        </w:rPr>
        <w:t>—Ensuring the state director's active participation in all WVACEEC meetings, including involvement in sessions, capacity-building efforts, and feedback collection from LEAs, parents, and community organizations.</w:t>
      </w:r>
    </w:p>
    <w:p w14:paraId="5CC71A10" w14:textId="77777777" w:rsidR="00CA787A" w:rsidRDefault="003169E9">
      <w:r>
        <w:rPr>
          <w:color w:val="000000"/>
        </w:rPr>
        <w:t>—Maintaining regular meetings and collaborative relationships with legislators, advocacy organizations, educator associations, and other stakeholders to strengthen stakeholder knowledge of IDEA procedures, improve SEA-stakeholder dialogue, and collaboratively develop strategies for ongoing improvement toward special education goals (e.g., the Developmental Disability Council (DD Council), Statewide Independent Living Council (SILC), State Rehabilitation Council (SRC), Employment First Task Force, Olmstead Council).</w:t>
      </w:r>
    </w:p>
    <w:p w14:paraId="5D3FB519" w14:textId="77777777" w:rsidR="002D145D" w:rsidRPr="00781112" w:rsidRDefault="002B7490" w:rsidP="002D145D">
      <w:pPr>
        <w:rPr>
          <w:rFonts w:cs="Arial"/>
          <w:color w:val="000000" w:themeColor="text1"/>
          <w:szCs w:val="16"/>
        </w:rPr>
      </w:pPr>
      <w:r w:rsidRPr="00781112">
        <w:rPr>
          <w:rFonts w:cs="Arial"/>
          <w:color w:val="000000" w:themeColor="text1"/>
          <w:szCs w:val="16"/>
        </w:rPr>
        <w:t>FFY 2024</w:t>
      </w:r>
    </w:p>
    <w:p w14:paraId="70135F63" w14:textId="77777777" w:rsidR="00CA787A" w:rsidRDefault="003169E9">
      <w:r>
        <w:rPr>
          <w:color w:val="000000"/>
        </w:rPr>
        <w:t>Given that the Suspension/Expulsion targets are already set at 0%, there is no basis for further revision. Stakeholders did not raise concerns about these targets during meetings held throughout the reporting period. WVDE/OSE remains open to stakeholder feedback on this indicator.</w:t>
      </w:r>
    </w:p>
    <w:p w14:paraId="323F5AF7" w14:textId="77777777" w:rsidR="00CA787A" w:rsidRDefault="00CA787A"/>
    <w:p w14:paraId="43919544" w14:textId="77777777" w:rsidR="00CA787A" w:rsidRDefault="003169E9">
      <w:r>
        <w:rPr>
          <w:color w:val="000000"/>
        </w:rPr>
        <w:t>METHODOLOGY REVISION (AS REPORTED IN WV's FFY 2023 SPP/APR)</w:t>
      </w:r>
    </w:p>
    <w:p w14:paraId="43181BE2" w14:textId="77777777" w:rsidR="00CA787A" w:rsidRDefault="003169E9">
      <w:r>
        <w:rPr>
          <w:color w:val="000000"/>
        </w:rPr>
        <w:t>In November 2023, WVDE/OSE initiated a comprehensive stakeholder engagement process to gather feedback on potential changes to the methodology used for SPP/APR Indicator 4A. This initiative was driven by the Office of Special Education Programs' (OSEP) increased emphasis on the rigor states apply to this indicator.</w:t>
      </w:r>
    </w:p>
    <w:p w14:paraId="0EF28033" w14:textId="77777777" w:rsidR="00CA787A" w:rsidRDefault="00CA787A"/>
    <w:p w14:paraId="082CE8DE" w14:textId="77777777" w:rsidR="00CA787A" w:rsidRDefault="003169E9">
      <w:r>
        <w:rPr>
          <w:color w:val="000000"/>
        </w:rPr>
        <w:t>The process began with informing stakeholders about the current methodology and its limitations, particularly highlighting the impact of COVID-19 on discipline data. Stakeholders were presented with two options: maintaining the current methodology or exploring alternative methodologies with different inclusion criteria and thresholds to represent a significant discrepancy.</w:t>
      </w:r>
    </w:p>
    <w:p w14:paraId="3DEE32F0" w14:textId="77777777" w:rsidR="00CA787A" w:rsidRDefault="00CA787A"/>
    <w:p w14:paraId="7624F40E" w14:textId="77777777" w:rsidR="00CA787A" w:rsidRDefault="003169E9">
      <w:r>
        <w:rPr>
          <w:color w:val="000000"/>
        </w:rPr>
        <w:t>Feedback on the methodology revisions was solicited from a diverse group of stakeholders, including WV directors of special education from small, medium, and large LEAs, including a public charter school, as well as representatives from the following groups:</w:t>
      </w:r>
    </w:p>
    <w:p w14:paraId="02B3B93F" w14:textId="77777777" w:rsidR="00CA787A" w:rsidRDefault="003169E9">
      <w:r>
        <w:rPr>
          <w:color w:val="000000"/>
        </w:rPr>
        <w:t>— The West Virginia Parent Training and Information, Inc.</w:t>
      </w:r>
    </w:p>
    <w:p w14:paraId="43D6589D" w14:textId="77777777" w:rsidR="00CA787A" w:rsidRDefault="003169E9">
      <w:r>
        <w:rPr>
          <w:color w:val="000000"/>
        </w:rPr>
        <w:lastRenderedPageBreak/>
        <w:t>— The West Virginia Advisory Council for the Education of Exceptional Children (WVACEEC)</w:t>
      </w:r>
    </w:p>
    <w:p w14:paraId="111257C1" w14:textId="77777777" w:rsidR="00CA787A" w:rsidRDefault="003169E9">
      <w:r>
        <w:rPr>
          <w:color w:val="000000"/>
        </w:rPr>
        <w:t>— WVDE Office of School Improvement</w:t>
      </w:r>
    </w:p>
    <w:p w14:paraId="07BD53FE" w14:textId="77777777" w:rsidR="00CA787A" w:rsidRDefault="003169E9">
      <w:r>
        <w:rPr>
          <w:color w:val="000000"/>
        </w:rPr>
        <w:t>— WVDE Office of Student Support and Well-Being</w:t>
      </w:r>
    </w:p>
    <w:p w14:paraId="054BF8B1" w14:textId="77777777" w:rsidR="00CA787A" w:rsidRDefault="003169E9">
      <w:r>
        <w:rPr>
          <w:color w:val="000000"/>
        </w:rPr>
        <w:t>— WVDE Office of Special Education</w:t>
      </w:r>
    </w:p>
    <w:p w14:paraId="4E90415E" w14:textId="77777777" w:rsidR="00CA787A" w:rsidRDefault="00CA787A"/>
    <w:p w14:paraId="0F288D4A" w14:textId="77777777" w:rsidR="00CA787A" w:rsidRDefault="003169E9">
      <w:r>
        <w:rPr>
          <w:color w:val="000000"/>
        </w:rPr>
        <w:t xml:space="preserve">Stakeholders were asked to provide their opinions on the appropriateness of the current methodology and the potential changes. The feedback received was insightful. The majority of stakeholders supported exploring changes to increase the number of LEAs included in the analysis each year and to better capture disparities is discipline. However, concerns were raised about the impact on small LEAs and the implementation timeline. </w:t>
      </w:r>
    </w:p>
    <w:p w14:paraId="21C11711" w14:textId="77777777" w:rsidR="00CA787A" w:rsidRDefault="00CA787A"/>
    <w:p w14:paraId="079EB016" w14:textId="77777777" w:rsidR="00CA787A" w:rsidRDefault="003169E9">
      <w:r>
        <w:rPr>
          <w:color w:val="000000"/>
        </w:rPr>
        <w:t>In response to this feedback, WVDE/OSE proposed a refined methodology. This included a new rate ratio calculation and the elimination of the minimum cell size requirement. The threshold for significant discrepancy was adjusted to a rate ratio of 3.00. Additionally, a two-year rolling review was proposed for Indicator 4A to provide LEAs time to implement improvements.</w:t>
      </w:r>
    </w:p>
    <w:p w14:paraId="6DD5E55A" w14:textId="77777777" w:rsidR="00CA787A" w:rsidRDefault="00CA787A"/>
    <w:p w14:paraId="41CC91BA" w14:textId="77777777" w:rsidR="00CA787A" w:rsidRDefault="003169E9">
      <w:r>
        <w:rPr>
          <w:color w:val="000000"/>
        </w:rPr>
        <w:t>The stakeholder feedback received was overwhelmingly positive, with stakeholders expressing strong support for the proposed changes. They appreciated the clarity and thoroughness of the explanations provided, found the new methodology easy to understand, and believed it would offer a clearer and more comprehensive picture statewide. Overall, there was a consensus that the changes would be beneficial for West Virginia.</w:t>
      </w:r>
    </w:p>
    <w:p w14:paraId="5FFF52ED" w14:textId="77777777" w:rsidR="00CA787A" w:rsidRDefault="00CA787A"/>
    <w:p w14:paraId="611D3D70" w14:textId="77777777" w:rsidR="00CA787A" w:rsidRDefault="003169E9">
      <w:r>
        <w:rPr>
          <w:color w:val="000000"/>
        </w:rPr>
        <w:t>Following these developments, WVDE/OSE shared the new methodology with OSEP for review. OSEP confirmed that the methodology was well-explained and had no further questions. Subsequently, an update was communicated to all directors of special education, detailing the changes in methodology that would take effect for SY 2023-24. This communication included a simplified explanation to ensure clarity.</w:t>
      </w:r>
    </w:p>
    <w:p w14:paraId="39CAEEBE" w14:textId="77777777" w:rsidR="00CA787A" w:rsidRDefault="00CA787A"/>
    <w:p w14:paraId="3935CEEF" w14:textId="77777777" w:rsidR="00CA787A" w:rsidRDefault="003169E9">
      <w:r>
        <w:rPr>
          <w:color w:val="000000"/>
        </w:rPr>
        <w:t>TARGET SETTING (AS REPORTED IN WV's FFY 2023 SPP/APR)</w:t>
      </w:r>
    </w:p>
    <w:p w14:paraId="60506D7B" w14:textId="77777777" w:rsidR="00CA787A" w:rsidRDefault="003169E9">
      <w:r>
        <w:rPr>
          <w:color w:val="000000"/>
        </w:rPr>
        <w:t>With the change in methodology, WVDE/OSE also needed to revise the baseline and targets for this indicator to ensure that comparisons are accurate and meaningful. For Indicator 4A, the baseline for FFY 2023 was established using discipline data from SY 2021-22 and SY 2022-23. Zero (0) LEAs exceeded a rate ratio of 3.00 for two consecutive years, resulting in a baseline of 0.00%. Consequently, the targets for FFY 2023 through FFY 2025 were set at 0.00%.</w:t>
      </w:r>
    </w:p>
    <w:p w14:paraId="0884EC8A" w14:textId="77777777" w:rsidR="00CA787A" w:rsidRDefault="00CA787A"/>
    <w:p w14:paraId="6E733057" w14:textId="77777777" w:rsidR="00CA787A" w:rsidRDefault="003169E9">
      <w:r>
        <w:rPr>
          <w:color w:val="000000"/>
        </w:rPr>
        <w:t>This engagement process ensured that stakeholder input was integral in refining the methodology to better identify and address significant discrepancies in disciplinary practices for students with disabilities (SWD).</w:t>
      </w:r>
    </w:p>
    <w:p w14:paraId="54125B03" w14:textId="77777777" w:rsidR="007E6F97" w:rsidRPr="00781112" w:rsidRDefault="007E6F97" w:rsidP="004369B2">
      <w:pPr>
        <w:rPr>
          <w:color w:val="000000" w:themeColor="text1"/>
        </w:rPr>
      </w:pPr>
    </w:p>
    <w:bookmarkEnd w:id="23"/>
    <w:bookmarkEnd w:id="24"/>
    <w:p w14:paraId="5F3A6106" w14:textId="77777777" w:rsidR="00D03701" w:rsidRPr="00781112" w:rsidRDefault="0047313F">
      <w:pPr>
        <w:rPr>
          <w:b/>
          <w:color w:val="000000" w:themeColor="text1"/>
        </w:rPr>
      </w:pPr>
      <w:r>
        <w:rPr>
          <w:b/>
          <w:color w:val="000000" w:themeColor="text1"/>
        </w:rPr>
        <w:t>FFY 2024 SPP/APR Data</w:t>
      </w:r>
    </w:p>
    <w:p w14:paraId="5DA90256" w14:textId="77777777" w:rsidR="009B02BC" w:rsidRPr="00781112" w:rsidRDefault="009B02BC">
      <w:pPr>
        <w:rPr>
          <w:rFonts w:cs="Arial"/>
          <w:b/>
          <w:color w:val="000000" w:themeColor="text1"/>
          <w:szCs w:val="16"/>
        </w:rPr>
      </w:pPr>
      <w:r w:rsidRPr="00781112">
        <w:rPr>
          <w:rFonts w:cs="Arial"/>
          <w:b/>
          <w:color w:val="000000" w:themeColor="text1"/>
          <w:szCs w:val="16"/>
        </w:rPr>
        <w:t>Has the state established a minimum n/cell-size requirement? (yes/no)</w:t>
      </w:r>
    </w:p>
    <w:p w14:paraId="37CB914F" w14:textId="77777777" w:rsidR="009B02BC" w:rsidRPr="00781112" w:rsidRDefault="009B02BC">
      <w:pPr>
        <w:rPr>
          <w:rFonts w:cs="Arial"/>
          <w:color w:val="000000" w:themeColor="text1"/>
          <w:szCs w:val="16"/>
        </w:rPr>
      </w:pPr>
      <w:r w:rsidRPr="00781112">
        <w:rPr>
          <w:rFonts w:cs="Arial"/>
          <w:color w:val="000000" w:themeColor="text1"/>
          <w:szCs w:val="16"/>
        </w:rPr>
        <w:t>YES</w:t>
      </w:r>
    </w:p>
    <w:p w14:paraId="1792450A" w14:textId="77777777" w:rsidR="00E52C16" w:rsidRPr="00FE4611" w:rsidRDefault="00E52C16" w:rsidP="00E52C16">
      <w:pPr>
        <w:rPr>
          <w:rFonts w:cs="Arial"/>
          <w:b/>
          <w:bCs/>
          <w:szCs w:val="16"/>
        </w:rPr>
      </w:pPr>
      <w:r w:rsidRPr="00FE4611">
        <w:rPr>
          <w:rFonts w:cs="Arial"/>
          <w:b/>
          <w:bCs/>
          <w:szCs w:val="16"/>
        </w:rPr>
        <w:t>If yes, the State must provide a definition of its minimum n and/or cell size itself and a description thereof (e.g., a State’s n size of 15 represents the number of children with disabilities enrolled in an LEA, and a State’s cell size of 5 represents the number of children with disabilities who have received out-of-school suspensions and expulsions of more than 10 days within the LEA).</w:t>
      </w:r>
    </w:p>
    <w:p w14:paraId="616F5318" w14:textId="77777777" w:rsidR="00E52C16" w:rsidRDefault="00E52C16" w:rsidP="00E52C16">
      <w:pPr>
        <w:rPr>
          <w:rFonts w:cs="Arial"/>
          <w:szCs w:val="16"/>
        </w:rPr>
      </w:pPr>
      <w:r>
        <w:rPr>
          <w:rFonts w:cs="Arial"/>
          <w:szCs w:val="16"/>
        </w:rPr>
        <w:t xml:space="preserve">WVDE/OSE’s n-size of 20 represents the minimum number of students with disabilities (SWD) enrolled in an LEA to be used as the denominator in significant discrepancy calculations. </w:t>
      </w:r>
    </w:p>
    <w:p w14:paraId="06D39DFB" w14:textId="77777777" w:rsidR="00CA787A" w:rsidRDefault="00CA787A"/>
    <w:p w14:paraId="7F606CFD" w14:textId="77777777" w:rsidR="00CA787A" w:rsidRDefault="003169E9">
      <w:r>
        <w:t>As reported in FFY 2023, the minimum cell size (i.e., the minimum number of SWDs enrolled in an LEA who received out-of-school suspensions and expulsions of more than 10 days to be used as the numerator in significant discrepancy calculations) was removed from the updated methodology.</w:t>
      </w:r>
    </w:p>
    <w:p w14:paraId="314218B4" w14:textId="77777777" w:rsidR="00E52C16" w:rsidRPr="00E52C16" w:rsidRDefault="00E52C16" w:rsidP="00E52C16">
      <w:pPr>
        <w:rPr>
          <w:b/>
          <w:bCs/>
        </w:rPr>
      </w:pPr>
      <w:r w:rsidRPr="00FE4611">
        <w:rPr>
          <w:rFonts w:cs="Arial"/>
          <w:b/>
          <w:bCs/>
          <w:szCs w:val="16"/>
        </w:rPr>
        <w:t>If yes, the State must also provide rationales for its minimum n and/or cell size, including why the definitions chosen are reasonable and based on stakeholder input, and how the definitions ensure that the State is appropriately analyzing and identifying LEAs with significant discrepancy.</w:t>
      </w:r>
    </w:p>
    <w:p w14:paraId="4FBA6F5B" w14:textId="77777777" w:rsidR="00E52C16" w:rsidRPr="00FE4611" w:rsidRDefault="00E52C16" w:rsidP="00E52C16">
      <w:pPr>
        <w:rPr>
          <w:bCs/>
        </w:rPr>
      </w:pPr>
      <w:r w:rsidRPr="00FE4611">
        <w:rPr>
          <w:bCs/>
        </w:rPr>
        <w:t>The n-size (denominator) of 20 is consistent with WVDE’s minimum n-size for ESEA accountability reporting for subgroups. This ensures that the analysis includes a sufficient number of students to provide reliable data while maintaining consistency with other WV reporting requirements.</w:t>
      </w:r>
    </w:p>
    <w:p w14:paraId="3E4ED837" w14:textId="77777777" w:rsidR="00CA787A" w:rsidRDefault="00CA787A"/>
    <w:p w14:paraId="71C98DDE" w14:textId="77777777" w:rsidR="00CA787A" w:rsidRDefault="003169E9">
      <w:r>
        <w:t>WVDE/OSE’s significant discrepancy methodology does not include a minimum cell size.</w:t>
      </w:r>
    </w:p>
    <w:p w14:paraId="5C548052" w14:textId="77777777" w:rsidR="00E52C16" w:rsidRPr="00FE4611" w:rsidRDefault="00E52C16" w:rsidP="00E52C16">
      <w:pPr>
        <w:rPr>
          <w:rFonts w:cs="Arial"/>
          <w:b/>
          <w:bCs/>
          <w:szCs w:val="16"/>
        </w:rPr>
      </w:pPr>
      <w:r w:rsidRPr="00FE4611">
        <w:rPr>
          <w:rFonts w:cs="Arial"/>
          <w:b/>
          <w:bCs/>
          <w:szCs w:val="16"/>
        </w:rPr>
        <w:t xml:space="preserve">If yes, the State must also indicate whether the minimum n and/or cell size represents a change from the prior SPP/APR reporting period. </w:t>
      </w:r>
    </w:p>
    <w:p w14:paraId="30CBC19A" w14:textId="77777777" w:rsidR="00E52C16" w:rsidRPr="00FE4611" w:rsidRDefault="00E52C16" w:rsidP="00E52C16">
      <w:r w:rsidRPr="00FE4611">
        <w:t>The minimum n-size of 20 does not represent a change from the prior SPP/APR reporting period (i.e., FFY 2023).</w:t>
      </w:r>
    </w:p>
    <w:p w14:paraId="13CEF56F" w14:textId="77777777" w:rsidR="00E52C16" w:rsidRPr="00E52C16" w:rsidRDefault="00E52C16" w:rsidP="007F76DD">
      <w:pPr>
        <w:rPr>
          <w:b/>
          <w:bCs/>
        </w:rPr>
      </w:pPr>
      <w:r w:rsidRPr="00FE4611">
        <w:rPr>
          <w:rFonts w:cs="Arial"/>
          <w:b/>
          <w:bCs/>
          <w:szCs w:val="16"/>
        </w:rPr>
        <w:t>If yes, the State must provide an explanation why the minimum n and/or cell size was changed.</w:t>
      </w:r>
    </w:p>
    <w:p w14:paraId="05AA578E" w14:textId="77777777" w:rsidR="00E52C16" w:rsidRPr="00FE4611" w:rsidRDefault="00E52C16" w:rsidP="00E52C16">
      <w:pPr>
        <w:rPr>
          <w:bCs/>
        </w:rPr>
      </w:pPr>
      <w:r w:rsidRPr="00FE4611">
        <w:rPr>
          <w:bCs/>
        </w:rPr>
        <w:t>The minimum n-size of 20 was not changed from the prior SPP/APR reporting period (i.e., FFY 2023).</w:t>
      </w:r>
    </w:p>
    <w:p w14:paraId="72ED86D9" w14:textId="77777777" w:rsidR="009B02BC" w:rsidRPr="00781112" w:rsidRDefault="009B02BC">
      <w:pPr>
        <w:rPr>
          <w:rFonts w:cs="Arial"/>
          <w:b/>
          <w:color w:val="000000" w:themeColor="text1"/>
          <w:szCs w:val="16"/>
        </w:rPr>
      </w:pPr>
      <w:r w:rsidRPr="00781112">
        <w:rPr>
          <w:rFonts w:cs="Arial"/>
          <w:b/>
          <w:color w:val="000000" w:themeColor="text1"/>
          <w:szCs w:val="16"/>
        </w:rPr>
        <w:t>If yes, the State may only include, in both the numerator and the denominator, LEAs that met that State-established n/cell size</w:t>
      </w:r>
      <w:r w:rsidRPr="00FE4611">
        <w:rPr>
          <w:rFonts w:cs="Arial"/>
          <w:bCs/>
          <w:color w:val="000000" w:themeColor="text1"/>
          <w:szCs w:val="16"/>
        </w:rPr>
        <w:t xml:space="preserve">. </w:t>
      </w:r>
      <w:r w:rsidR="00E52C16" w:rsidRPr="00FE4611">
        <w:rPr>
          <w:rFonts w:cs="Arial"/>
          <w:b/>
          <w:szCs w:val="16"/>
        </w:rPr>
        <w:t>If the State used a minimum n and/or cell size requirement, report the number of LEAs totally excluded from the calculation as a result of this requirement.</w:t>
      </w:r>
    </w:p>
    <w:p w14:paraId="1D5B2FBD" w14:textId="77777777" w:rsidR="009B02BC" w:rsidRPr="00781112" w:rsidRDefault="009B02BC" w:rsidP="004369B2">
      <w:pPr>
        <w:rPr>
          <w:rFonts w:cs="Arial"/>
          <w:color w:val="000000" w:themeColor="text1"/>
          <w:szCs w:val="16"/>
        </w:rPr>
      </w:pPr>
      <w:r w:rsidRPr="00781112">
        <w:rPr>
          <w:rFonts w:cs="Arial"/>
          <w:color w:val="000000" w:themeColor="text1"/>
          <w:szCs w:val="16"/>
        </w:rPr>
        <w:t>1</w:t>
      </w:r>
    </w:p>
    <w:p w14:paraId="4E4337B5" w14:textId="77777777" w:rsidR="00A14B5D" w:rsidRPr="00781112" w:rsidRDefault="00A14B5D" w:rsidP="004369B2">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ACFFYAPRDATA"/>
      </w:tblPr>
      <w:tblGrid>
        <w:gridCol w:w="1410"/>
        <w:gridCol w:w="1897"/>
        <w:gridCol w:w="1368"/>
        <w:gridCol w:w="1890"/>
        <w:gridCol w:w="1260"/>
        <w:gridCol w:w="1439"/>
        <w:gridCol w:w="1526"/>
      </w:tblGrid>
      <w:tr w:rsidR="00450F98" w:rsidRPr="00781112" w14:paraId="06308747" w14:textId="77777777" w:rsidTr="00E95FBF">
        <w:trPr>
          <w:trHeight w:val="994"/>
          <w:jc w:val="center"/>
        </w:trPr>
        <w:tc>
          <w:tcPr>
            <w:tcW w:w="653" w:type="pct"/>
            <w:vAlign w:val="bottom"/>
          </w:tcPr>
          <w:p w14:paraId="03BCF0A0" w14:textId="77777777" w:rsidR="00450F98" w:rsidRPr="00781112" w:rsidRDefault="00450F98" w:rsidP="00450F98">
            <w:pPr>
              <w:jc w:val="center"/>
              <w:rPr>
                <w:rFonts w:cs="Arial"/>
                <w:b/>
                <w:color w:val="000000" w:themeColor="text1"/>
                <w:szCs w:val="16"/>
              </w:rPr>
            </w:pPr>
            <w:r w:rsidRPr="00781112">
              <w:rPr>
                <w:rFonts w:cs="Arial"/>
                <w:b/>
                <w:color w:val="000000" w:themeColor="text1"/>
                <w:szCs w:val="16"/>
              </w:rPr>
              <w:t>Number of LEAs that have a significant discrepancy</w:t>
            </w:r>
          </w:p>
        </w:tc>
        <w:tc>
          <w:tcPr>
            <w:tcW w:w="879" w:type="pct"/>
            <w:vAlign w:val="bottom"/>
          </w:tcPr>
          <w:p w14:paraId="0267E3C0" w14:textId="77777777" w:rsidR="00450F98" w:rsidRPr="00781112" w:rsidRDefault="00450F98" w:rsidP="00450F98">
            <w:pPr>
              <w:jc w:val="center"/>
              <w:rPr>
                <w:rFonts w:cs="Arial"/>
                <w:b/>
                <w:color w:val="000000" w:themeColor="text1"/>
                <w:szCs w:val="16"/>
              </w:rPr>
            </w:pPr>
            <w:r w:rsidRPr="00781112">
              <w:rPr>
                <w:rFonts w:cs="Arial"/>
                <w:b/>
                <w:color w:val="000000" w:themeColor="text1"/>
                <w:szCs w:val="16"/>
              </w:rPr>
              <w:t>Number of LEAs that met the State's minimum n/cell-size</w:t>
            </w:r>
          </w:p>
        </w:tc>
        <w:tc>
          <w:tcPr>
            <w:tcW w:w="634" w:type="pct"/>
            <w:vAlign w:val="bottom"/>
          </w:tcPr>
          <w:p w14:paraId="6698E403" w14:textId="77777777" w:rsidR="00450F98" w:rsidRPr="00073BD7" w:rsidRDefault="00450F98" w:rsidP="00450F98">
            <w:pPr>
              <w:jc w:val="center"/>
              <w:rPr>
                <w:rFonts w:cs="Arial"/>
                <w:b/>
                <w:bCs/>
                <w:color w:val="000000" w:themeColor="text1"/>
                <w:szCs w:val="16"/>
              </w:rPr>
            </w:pPr>
            <w:r w:rsidRPr="00073BD7">
              <w:rPr>
                <w:b/>
                <w:bCs/>
              </w:rPr>
              <w:t>FFY 2023 Data</w:t>
            </w:r>
          </w:p>
        </w:tc>
        <w:tc>
          <w:tcPr>
            <w:tcW w:w="876" w:type="pct"/>
            <w:vAlign w:val="bottom"/>
          </w:tcPr>
          <w:p w14:paraId="127027D4" w14:textId="77777777" w:rsidR="00450F98" w:rsidRPr="00073BD7" w:rsidRDefault="00450F98" w:rsidP="00450F98">
            <w:pPr>
              <w:jc w:val="center"/>
              <w:rPr>
                <w:rFonts w:cs="Arial"/>
                <w:b/>
                <w:bCs/>
                <w:color w:val="000000" w:themeColor="text1"/>
                <w:szCs w:val="16"/>
              </w:rPr>
            </w:pPr>
            <w:r w:rsidRPr="00073BD7">
              <w:rPr>
                <w:b/>
                <w:bCs/>
              </w:rPr>
              <w:t>FFY 2024 Target</w:t>
            </w:r>
          </w:p>
        </w:tc>
        <w:tc>
          <w:tcPr>
            <w:tcW w:w="584" w:type="pct"/>
            <w:vAlign w:val="bottom"/>
          </w:tcPr>
          <w:p w14:paraId="73B4A73C" w14:textId="77777777" w:rsidR="00450F98" w:rsidRPr="00073BD7" w:rsidRDefault="00450F98" w:rsidP="00450F98">
            <w:pPr>
              <w:jc w:val="center"/>
              <w:rPr>
                <w:rFonts w:cs="Arial"/>
                <w:b/>
                <w:bCs/>
                <w:color w:val="000000" w:themeColor="text1"/>
                <w:szCs w:val="16"/>
              </w:rPr>
            </w:pPr>
            <w:r w:rsidRPr="00073BD7">
              <w:rPr>
                <w:b/>
                <w:bCs/>
              </w:rPr>
              <w:t>FFY 2024 Data</w:t>
            </w:r>
          </w:p>
        </w:tc>
        <w:tc>
          <w:tcPr>
            <w:tcW w:w="667" w:type="pct"/>
            <w:vAlign w:val="bottom"/>
          </w:tcPr>
          <w:p w14:paraId="7480A3FA" w14:textId="77777777" w:rsidR="00450F98" w:rsidRPr="00781112" w:rsidRDefault="00450F98" w:rsidP="00450F98">
            <w:pPr>
              <w:jc w:val="center"/>
              <w:rPr>
                <w:rFonts w:cs="Arial"/>
                <w:b/>
                <w:color w:val="000000" w:themeColor="text1"/>
                <w:szCs w:val="16"/>
              </w:rPr>
            </w:pPr>
            <w:r w:rsidRPr="00781112">
              <w:rPr>
                <w:rFonts w:cs="Arial"/>
                <w:b/>
                <w:color w:val="000000" w:themeColor="text1"/>
                <w:szCs w:val="16"/>
              </w:rPr>
              <w:t>Status</w:t>
            </w:r>
          </w:p>
        </w:tc>
        <w:tc>
          <w:tcPr>
            <w:tcW w:w="707" w:type="pct"/>
            <w:vAlign w:val="bottom"/>
          </w:tcPr>
          <w:p w14:paraId="061F9F57" w14:textId="77777777" w:rsidR="00450F98" w:rsidRPr="00781112" w:rsidRDefault="00450F98" w:rsidP="00450F98">
            <w:pPr>
              <w:jc w:val="center"/>
              <w:rPr>
                <w:rFonts w:cs="Arial"/>
                <w:b/>
                <w:color w:val="000000" w:themeColor="text1"/>
                <w:szCs w:val="16"/>
              </w:rPr>
            </w:pPr>
            <w:r w:rsidRPr="00781112">
              <w:rPr>
                <w:rFonts w:cs="Arial"/>
                <w:b/>
                <w:color w:val="000000" w:themeColor="text1"/>
                <w:szCs w:val="16"/>
              </w:rPr>
              <w:t>Slippage</w:t>
            </w:r>
          </w:p>
        </w:tc>
      </w:tr>
      <w:tr w:rsidR="005C29F8" w:rsidRPr="00781112" w14:paraId="73C03638" w14:textId="77777777" w:rsidTr="00E95FBF">
        <w:trPr>
          <w:trHeight w:val="233"/>
          <w:jc w:val="center"/>
        </w:trPr>
        <w:tc>
          <w:tcPr>
            <w:tcW w:w="653" w:type="pct"/>
            <w:vAlign w:val="center"/>
          </w:tcPr>
          <w:p w14:paraId="0EC26AE4" w14:textId="77777777" w:rsidR="00A862C3"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879" w:type="pct"/>
          </w:tcPr>
          <w:p w14:paraId="538B53DD" w14:textId="77777777" w:rsidR="00A862C3" w:rsidRPr="00781112" w:rsidRDefault="002B7490" w:rsidP="00A018D4">
            <w:pPr>
              <w:jc w:val="center"/>
              <w:rPr>
                <w:rFonts w:cs="Arial"/>
                <w:color w:val="000000" w:themeColor="text1"/>
                <w:szCs w:val="16"/>
              </w:rPr>
            </w:pPr>
            <w:r w:rsidRPr="00781112">
              <w:rPr>
                <w:rFonts w:cs="Arial"/>
                <w:color w:val="000000" w:themeColor="text1"/>
                <w:szCs w:val="16"/>
              </w:rPr>
              <w:t>61</w:t>
            </w:r>
          </w:p>
        </w:tc>
        <w:tc>
          <w:tcPr>
            <w:tcW w:w="634" w:type="pct"/>
          </w:tcPr>
          <w:p w14:paraId="231D377A" w14:textId="77777777" w:rsidR="00A862C3"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76" w:type="pct"/>
          </w:tcPr>
          <w:p w14:paraId="32E61644" w14:textId="77777777" w:rsidR="00A862C3"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584" w:type="pct"/>
          </w:tcPr>
          <w:p w14:paraId="3FF10B77" w14:textId="77777777" w:rsidR="00A862C3"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667" w:type="pct"/>
          </w:tcPr>
          <w:p w14:paraId="1D51A920" w14:textId="77777777" w:rsidR="00A862C3"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707" w:type="pct"/>
          </w:tcPr>
          <w:p w14:paraId="60D202BF" w14:textId="77777777" w:rsidR="00A862C3"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2FED0492" w14:textId="77777777" w:rsidR="006D741F" w:rsidRPr="00781112" w:rsidRDefault="00082667" w:rsidP="00286BDF">
      <w:pPr>
        <w:rPr>
          <w:rFonts w:cs="Arial"/>
          <w:b/>
          <w:color w:val="000000" w:themeColor="text1"/>
          <w:szCs w:val="16"/>
        </w:rPr>
      </w:pPr>
      <w:r w:rsidRPr="00781112">
        <w:rPr>
          <w:rFonts w:cs="Arial"/>
          <w:b/>
          <w:color w:val="000000" w:themeColor="text1"/>
          <w:szCs w:val="16"/>
        </w:rPr>
        <w:t xml:space="preserve">Choose one of the following comparison methodologies to determine whether significant discrepancies are occurring (34 CFR §300.170(a)) </w:t>
      </w:r>
    </w:p>
    <w:p w14:paraId="32D52331" w14:textId="77777777" w:rsidR="002C705B" w:rsidRPr="00781112" w:rsidRDefault="002B7490" w:rsidP="00286BDF">
      <w:pPr>
        <w:rPr>
          <w:rFonts w:cs="Arial"/>
          <w:color w:val="000000" w:themeColor="text1"/>
          <w:szCs w:val="16"/>
        </w:rPr>
      </w:pPr>
      <w:r w:rsidRPr="00781112">
        <w:rPr>
          <w:rFonts w:cs="Arial"/>
          <w:color w:val="000000" w:themeColor="text1"/>
          <w:szCs w:val="16"/>
        </w:rPr>
        <w:lastRenderedPageBreak/>
        <w:t>Compare the rates of suspensions and expulsions of greater than 10 days in a school year for children with IEPs among LEAs in the State</w:t>
      </w:r>
    </w:p>
    <w:p w14:paraId="35B3D396" w14:textId="77777777" w:rsidR="00082667" w:rsidRPr="00781112" w:rsidRDefault="00082667" w:rsidP="00286BDF">
      <w:pPr>
        <w:rPr>
          <w:rFonts w:cs="Arial"/>
          <w:b/>
          <w:color w:val="000000" w:themeColor="text1"/>
          <w:szCs w:val="16"/>
        </w:rPr>
      </w:pPr>
      <w:r w:rsidRPr="00781112">
        <w:rPr>
          <w:rFonts w:cs="Arial"/>
          <w:b/>
          <w:color w:val="000000" w:themeColor="text1"/>
          <w:szCs w:val="16"/>
        </w:rPr>
        <w:t>State’s definition of “significant discrepancy” and methodology</w:t>
      </w:r>
    </w:p>
    <w:p w14:paraId="4EC8F197" w14:textId="77777777" w:rsidR="00A869E9" w:rsidRPr="00781112" w:rsidRDefault="002B7490" w:rsidP="0085119E">
      <w:pPr>
        <w:rPr>
          <w:rFonts w:cs="Arial"/>
          <w:color w:val="000000" w:themeColor="text1"/>
          <w:szCs w:val="16"/>
        </w:rPr>
      </w:pPr>
      <w:r w:rsidRPr="00781112">
        <w:rPr>
          <w:rFonts w:cs="Arial"/>
          <w:color w:val="000000" w:themeColor="text1"/>
          <w:szCs w:val="16"/>
        </w:rPr>
        <w:t>DEFINITION OF “SIGNIFICANT DISCREPANCY”</w:t>
      </w:r>
    </w:p>
    <w:p w14:paraId="0DE90E5E" w14:textId="77777777" w:rsidR="00CA787A" w:rsidRDefault="003169E9">
      <w:r>
        <w:rPr>
          <w:color w:val="000000"/>
        </w:rPr>
        <w:t xml:space="preserve">—A “significant discrepancy” is identified when an LEA's rate ratio of suspensions/expulsions of more than 10 days for students with disabilities (SWD) is 3.00 or higher for two consecutive years. A rate ratio of 3.00 or higher means the LEA's rate of suspensions/expulsions of more than 10 days for SWDs is three or more times the state rate of suspensions/expulsions of more than 10 days for SWDs for two years in a row. The two-year rolling review allows LEAs time to implement systemic improvements before being identified for further review. </w:t>
      </w:r>
    </w:p>
    <w:p w14:paraId="40D8DDD4" w14:textId="77777777" w:rsidR="00CA787A" w:rsidRDefault="00CA787A"/>
    <w:p w14:paraId="5AC2D1E6" w14:textId="77777777" w:rsidR="00CA787A" w:rsidRDefault="003169E9">
      <w:r>
        <w:rPr>
          <w:color w:val="000000"/>
        </w:rPr>
        <w:t>RATE RATIO CALCULATION</w:t>
      </w:r>
    </w:p>
    <w:p w14:paraId="7EFB541F" w14:textId="77777777" w:rsidR="00CA787A" w:rsidRDefault="003169E9">
      <w:r>
        <w:rPr>
          <w:color w:val="000000"/>
        </w:rPr>
        <w:t>—The calculation includes the number of SWDs suspended/expelled greater than 10 days in an LEA as the numerator, and the number of SWDs in an LEA as the denominator, multiplied by 100. The rate ratio is then calculated by dividing each LEA's rate of suspensions/expulsions of more than 10 days for SWDs by the state's overall rate.</w:t>
      </w:r>
    </w:p>
    <w:p w14:paraId="0AD714DD" w14:textId="77777777" w:rsidR="00CA787A" w:rsidRDefault="003169E9">
      <w:r>
        <w:rPr>
          <w:color w:val="000000"/>
        </w:rPr>
        <w:t>—The state-level long-term suspension and expulsion rates for SWDs are variable and calculated annually. Each year, the state-level long-term suspension and expulsion rate is used dynamically in the methodology to determine whether an LEA's rate ratio is 3.00 or higher. This annual update ensures that the comparison reflects the most current data and accurately captures any changes in trends over time. Using a variable state-level long-term suspension and expulsion rate accounts for shifts in suspension and expulsion trends, ensuring that the methodology remains responsive to changes in policies, practices, and student populations. This approach promotes fairness by comparing LEAs to the most recent state-level data available each year.</w:t>
      </w:r>
    </w:p>
    <w:p w14:paraId="78480F77" w14:textId="77777777" w:rsidR="00CA787A" w:rsidRDefault="003169E9">
      <w:r>
        <w:rPr>
          <w:color w:val="000000"/>
        </w:rPr>
        <w:t xml:space="preserve">—For this reporting period (i.e., for the FFY 2024 SPP/APR, using data from SY 2023–24), the state-level long-term suspension and expulsion rate was 1.83%, representing a 0.04 percentage point increase from the prior reporting period (i.e., FFY 2023). </w:t>
      </w:r>
    </w:p>
    <w:p w14:paraId="7F86365F" w14:textId="77777777" w:rsidR="00CA787A" w:rsidRDefault="00CA787A"/>
    <w:p w14:paraId="5AE0DB50" w14:textId="77777777" w:rsidR="00CA787A" w:rsidRDefault="003169E9">
      <w:r>
        <w:rPr>
          <w:color w:val="000000"/>
        </w:rPr>
        <w:t>RATE RATIO INTERPRETATION</w:t>
      </w:r>
    </w:p>
    <w:p w14:paraId="7F4A6F30" w14:textId="77777777" w:rsidR="00CA787A" w:rsidRDefault="003169E9">
      <w:r>
        <w:rPr>
          <w:color w:val="000000"/>
        </w:rPr>
        <w:t>— A rate ratio of 1.00 means the LEA rate is the same as the state rate.</w:t>
      </w:r>
    </w:p>
    <w:p w14:paraId="6598908D" w14:textId="77777777" w:rsidR="00CA787A" w:rsidRDefault="003169E9">
      <w:r>
        <w:rPr>
          <w:color w:val="000000"/>
        </w:rPr>
        <w:t>— A rate ratio above 1.00 means the LEA rate is higher than the state rate. For example, a rate ratio of 2.00 means the LEA rate is twice as high as the state rate.</w:t>
      </w:r>
    </w:p>
    <w:p w14:paraId="28EE64D7" w14:textId="77777777" w:rsidR="00CA787A" w:rsidRDefault="003169E9">
      <w:r>
        <w:rPr>
          <w:color w:val="000000"/>
        </w:rPr>
        <w:t>— A rate ratio below 1.00 means the LEA rate is lower than the state rate. For example, a rate ratio of 0.50 means the LEA rate is half as high as the state rate.</w:t>
      </w:r>
    </w:p>
    <w:p w14:paraId="5C9F49FF" w14:textId="77777777" w:rsidR="00CA787A" w:rsidRDefault="00CA787A"/>
    <w:p w14:paraId="65E696D3" w14:textId="77777777" w:rsidR="00CA787A" w:rsidRDefault="003169E9">
      <w:r>
        <w:rPr>
          <w:color w:val="000000"/>
        </w:rPr>
        <w:t>INCLUSION CRITERIA</w:t>
      </w:r>
    </w:p>
    <w:p w14:paraId="5A34F8AA" w14:textId="77777777" w:rsidR="00CA787A" w:rsidRDefault="003169E9">
      <w:r>
        <w:rPr>
          <w:color w:val="000000"/>
        </w:rPr>
        <w:t>—The analysis includes all LEAs with a minimum n-size (denominator) of 20 SWDs.</w:t>
      </w:r>
    </w:p>
    <w:p w14:paraId="3D346DB2" w14:textId="77777777" w:rsidR="00BB504D" w:rsidRPr="00781112" w:rsidRDefault="00BB504D" w:rsidP="004369B2">
      <w:pPr>
        <w:rPr>
          <w:b/>
          <w:color w:val="000000" w:themeColor="text1"/>
        </w:rPr>
      </w:pPr>
      <w:bookmarkStart w:id="25" w:name="_Toc384383334"/>
      <w:bookmarkStart w:id="26" w:name="_Toc392159286"/>
      <w:r w:rsidRPr="00781112">
        <w:rPr>
          <w:b/>
          <w:color w:val="000000" w:themeColor="text1"/>
        </w:rPr>
        <w:t>Provide additional information about this indicator (optional)</w:t>
      </w:r>
    </w:p>
    <w:p w14:paraId="1F611AA3" w14:textId="77777777" w:rsidR="00A869E9" w:rsidRPr="00781112" w:rsidRDefault="002B7490" w:rsidP="000E33D0">
      <w:pPr>
        <w:rPr>
          <w:rFonts w:cs="Arial"/>
          <w:color w:val="000000" w:themeColor="text1"/>
          <w:szCs w:val="16"/>
        </w:rPr>
      </w:pPr>
      <w:r w:rsidRPr="00781112">
        <w:rPr>
          <w:rFonts w:cs="Arial"/>
          <w:color w:val="000000" w:themeColor="text1"/>
          <w:szCs w:val="16"/>
        </w:rPr>
        <w:t>Although 63 LEAs are reflected in the total number of LEAs in the FFY 2024 SPP/APR Introduction, this indicator is based on data from the 62 LEAs in operation during SY 2023-24.</w:t>
      </w:r>
    </w:p>
    <w:bookmarkEnd w:id="25"/>
    <w:bookmarkEnd w:id="26"/>
    <w:p w14:paraId="6B4791F0" w14:textId="77777777" w:rsidR="007E6F97" w:rsidRPr="00781112" w:rsidRDefault="007E6F97" w:rsidP="004369B2">
      <w:pPr>
        <w:rPr>
          <w:color w:val="000000" w:themeColor="text1"/>
        </w:rPr>
      </w:pPr>
    </w:p>
    <w:p w14:paraId="33B6A344" w14:textId="77777777" w:rsidR="00082667" w:rsidRPr="00781112" w:rsidRDefault="00082667" w:rsidP="004369B2">
      <w:pPr>
        <w:rPr>
          <w:color w:val="000000" w:themeColor="text1"/>
        </w:rPr>
      </w:pPr>
      <w:r w:rsidRPr="00781112">
        <w:rPr>
          <w:b/>
          <w:color w:val="000000" w:themeColor="text1"/>
        </w:rPr>
        <w:t>Review of Policies, Procedures, and Practices (completed in FFY 2024 using 2023-2024 data)</w:t>
      </w:r>
    </w:p>
    <w:p w14:paraId="00A243F2" w14:textId="77777777" w:rsidR="00082667" w:rsidRPr="00781112" w:rsidRDefault="00571EAB" w:rsidP="00162F4A">
      <w:pPr>
        <w:rPr>
          <w:b/>
          <w:color w:val="000000" w:themeColor="text1"/>
        </w:rPr>
      </w:pPr>
      <w:r w:rsidRPr="00781112">
        <w:rPr>
          <w:b/>
          <w:color w:val="000000" w:themeColor="text1"/>
        </w:rPr>
        <w:t>Provide a description of the review of policies, procedures, and practices relating to the development and implementation of IEPs, the use of positive behavioral interventions and supports, and procedural safeguards.</w:t>
      </w:r>
    </w:p>
    <w:p w14:paraId="6C153F07" w14:textId="77777777" w:rsidR="002D57DA" w:rsidRPr="00781112" w:rsidRDefault="002B7490" w:rsidP="00082667">
      <w:pPr>
        <w:rPr>
          <w:rFonts w:cs="Arial"/>
          <w:color w:val="000000" w:themeColor="text1"/>
          <w:szCs w:val="16"/>
        </w:rPr>
      </w:pPr>
      <w:r w:rsidRPr="00781112">
        <w:rPr>
          <w:rFonts w:cs="Arial"/>
          <w:color w:val="000000" w:themeColor="text1"/>
          <w:szCs w:val="16"/>
        </w:rPr>
        <w:t>For both SY 2022–23 and SY 2023–24, each LEA had a rate ratio below 3.00 for suspensions/expulsions of more than 10 days for SWDs.</w:t>
      </w:r>
    </w:p>
    <w:p w14:paraId="061FDE84" w14:textId="77777777" w:rsidR="00CA787A" w:rsidRDefault="00CA787A"/>
    <w:p w14:paraId="0FA82D6C" w14:textId="77777777" w:rsidR="00CA787A" w:rsidRDefault="003169E9">
      <w:r>
        <w:rPr>
          <w:color w:val="000000"/>
        </w:rPr>
        <w:t>This second year of implementing the two-year rolling review methodology resulted in zero (0) LEAs being identified with a significant discrepancy. Consequently, a review of policies, procedures, and practices relating to the development and implementation of IEPs, the use of positive behavioral interventions and supports, and procedural safeguards was not required, consistent with 34 CFR §300.170(b).</w:t>
      </w:r>
    </w:p>
    <w:p w14:paraId="41E335F1" w14:textId="77777777" w:rsidR="003B64C0" w:rsidRPr="00781112" w:rsidRDefault="003B64C0" w:rsidP="00082667">
      <w:pPr>
        <w:rPr>
          <w:rFonts w:cs="Arial"/>
          <w:color w:val="000000" w:themeColor="text1"/>
          <w:szCs w:val="16"/>
        </w:rPr>
      </w:pPr>
    </w:p>
    <w:p w14:paraId="449930BF" w14:textId="77777777" w:rsidR="003B64C0" w:rsidRPr="00781112" w:rsidRDefault="003B64C0" w:rsidP="00082667">
      <w:pPr>
        <w:rPr>
          <w:rFonts w:cs="Arial"/>
          <w:color w:val="000000" w:themeColor="text1"/>
          <w:szCs w:val="16"/>
        </w:rPr>
      </w:pPr>
      <w:r w:rsidRPr="00781112">
        <w:rPr>
          <w:rFonts w:cs="Arial"/>
          <w:color w:val="000000" w:themeColor="text1"/>
          <w:szCs w:val="16"/>
        </w:rPr>
        <w:t>The State DID NOT identify noncompliance with Part B requirements as a result of the review required by 34 CFR §300.170(b)</w:t>
      </w:r>
    </w:p>
    <w:p w14:paraId="43EFF331" w14:textId="77777777" w:rsidR="007E6F97" w:rsidRPr="00781112" w:rsidRDefault="007E6F97" w:rsidP="004369B2">
      <w:pPr>
        <w:rPr>
          <w:color w:val="000000" w:themeColor="text1"/>
        </w:rPr>
      </w:pPr>
      <w:bookmarkStart w:id="27" w:name="_Toc381956335"/>
      <w:bookmarkStart w:id="28" w:name="_Toc384383336"/>
      <w:bookmarkStart w:id="29" w:name="_Toc392159288"/>
    </w:p>
    <w:p w14:paraId="6751768A" w14:textId="77777777" w:rsidR="00B9048A" w:rsidRPr="00781112" w:rsidRDefault="00450F98" w:rsidP="004369B2">
      <w:pPr>
        <w:rPr>
          <w:color w:val="000000" w:themeColor="text1"/>
        </w:rPr>
      </w:pPr>
      <w:r>
        <w:rPr>
          <w:b/>
          <w:color w:val="000000" w:themeColor="text1"/>
        </w:rPr>
        <w:t>Correction of Findings of Noncompliance Identified in FFY 2023</w:t>
      </w:r>
    </w:p>
    <w:tbl>
      <w:tblPr>
        <w:tblStyle w:val="TableGrid"/>
        <w:tblW w:w="5000" w:type="pct"/>
        <w:tblLook w:val="04A0" w:firstRow="1" w:lastRow="0" w:firstColumn="1" w:lastColumn="0" w:noHBand="0" w:noVBand="1"/>
        <w:tblCaption w:val="PFFYNCFINDINGS"/>
      </w:tblPr>
      <w:tblGrid>
        <w:gridCol w:w="2613"/>
        <w:gridCol w:w="2743"/>
        <w:gridCol w:w="2620"/>
        <w:gridCol w:w="2814"/>
      </w:tblGrid>
      <w:tr w:rsidR="005C29F8" w:rsidRPr="00781112" w14:paraId="10A9C375" w14:textId="77777777" w:rsidTr="000D3273">
        <w:trPr>
          <w:trHeight w:val="389"/>
          <w:tblHeader/>
        </w:trPr>
        <w:tc>
          <w:tcPr>
            <w:tcW w:w="1211" w:type="pct"/>
            <w:vAlign w:val="bottom"/>
          </w:tcPr>
          <w:p w14:paraId="3B3D80DF"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Identified</w:t>
            </w:r>
          </w:p>
        </w:tc>
        <w:tc>
          <w:tcPr>
            <w:tcW w:w="1271" w:type="pct"/>
            <w:vAlign w:val="bottom"/>
          </w:tcPr>
          <w:p w14:paraId="4185C4B3"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14" w:type="pct"/>
            <w:vAlign w:val="bottom"/>
          </w:tcPr>
          <w:p w14:paraId="43D7F120"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304" w:type="pct"/>
            <w:vAlign w:val="bottom"/>
          </w:tcPr>
          <w:p w14:paraId="4E4A3A42"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2653B5EF" w14:textId="77777777" w:rsidTr="000D3273">
        <w:tc>
          <w:tcPr>
            <w:tcW w:w="1211" w:type="pct"/>
          </w:tcPr>
          <w:p w14:paraId="5BBC0BEF" w14:textId="77777777"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71" w:type="pct"/>
          </w:tcPr>
          <w:p w14:paraId="5822C503" w14:textId="77777777"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14" w:type="pct"/>
          </w:tcPr>
          <w:p w14:paraId="48ECE13A" w14:textId="77777777"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304" w:type="pct"/>
          </w:tcPr>
          <w:p w14:paraId="42893F71" w14:textId="77777777"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74774A2B" w14:textId="77777777" w:rsidR="00C76E75" w:rsidRPr="002E2B1D" w:rsidRDefault="00C76E75" w:rsidP="00C76E75">
      <w:pPr>
        <w:keepNext/>
        <w:spacing w:after="0"/>
        <w:rPr>
          <w:rFonts w:eastAsia="Times New Roman" w:cs="Arial"/>
          <w:b/>
          <w:szCs w:val="16"/>
        </w:rPr>
      </w:pPr>
      <w:r w:rsidRPr="002E2B1D">
        <w:rPr>
          <w:rFonts w:eastAsia="Times New Roman" w:cs="Arial"/>
          <w:b/>
          <w:szCs w:val="16"/>
        </w:rPr>
        <w:t xml:space="preserve">If procedures have been adopted that permit LEAs to correct noncompliance prior to the State’s issuance of a finding (i.e., pre-finding correction), describe how, for instances of noncompliance discovered in FFY 2023, the State verified: (1) that the source of noncompliance is correctly implementing the regulatory requirements; </w:t>
      </w:r>
      <w:proofErr w:type="gramStart"/>
      <w:r w:rsidRPr="002E2B1D">
        <w:rPr>
          <w:rFonts w:eastAsia="Times New Roman" w:cs="Arial"/>
          <w:b/>
          <w:szCs w:val="16"/>
        </w:rPr>
        <w:t>and,</w:t>
      </w:r>
      <w:proofErr w:type="gramEnd"/>
      <w:r w:rsidRPr="002E2B1D">
        <w:rPr>
          <w:rFonts w:eastAsia="Times New Roman" w:cs="Arial"/>
          <w:b/>
          <w:szCs w:val="16"/>
        </w:rPr>
        <w:t xml:space="preserve"> (2) each individual case of noncompliance was corrected. </w:t>
      </w:r>
    </w:p>
    <w:p w14:paraId="1F65443E" w14:textId="77777777" w:rsidR="00C76E75" w:rsidRPr="008C215C" w:rsidRDefault="00C76E75" w:rsidP="00C76E75">
      <w:pPr>
        <w:rPr>
          <w:bCs/>
        </w:rPr>
      </w:pPr>
      <w:r w:rsidRPr="008C215C">
        <w:t>WVDE/OSE has not adopted procedures that permit LEAs to correct identified noncompliance prior to the issuance of a finding.</w:t>
      </w:r>
      <w:r w:rsidRPr="008C215C">
        <w:rPr>
          <w:bCs/>
        </w:rPr>
        <w:t xml:space="preserve"> </w:t>
      </w:r>
    </w:p>
    <w:p w14:paraId="0AF7B24D" w14:textId="77777777" w:rsidR="00B9048A" w:rsidRPr="00781112" w:rsidRDefault="00450F98" w:rsidP="00C76E75">
      <w:pPr>
        <w:rPr>
          <w:color w:val="000000" w:themeColor="text1"/>
        </w:rPr>
      </w:pPr>
      <w:r>
        <w:rPr>
          <w:b/>
          <w:color w:val="000000" w:themeColor="text1"/>
        </w:rPr>
        <w:t>Correction of Findings of Noncompliance Identified Prior to FFY 2023</w:t>
      </w:r>
    </w:p>
    <w:tbl>
      <w:tblPr>
        <w:tblStyle w:val="TableGrid"/>
        <w:tblW w:w="5000" w:type="pct"/>
        <w:tblLook w:val="04A0" w:firstRow="1" w:lastRow="0" w:firstColumn="1" w:lastColumn="0" w:noHBand="0" w:noVBand="1"/>
        <w:tblCaption w:val="PPFFYNCFINDINGS"/>
      </w:tblPr>
      <w:tblGrid>
        <w:gridCol w:w="2216"/>
        <w:gridCol w:w="2922"/>
        <w:gridCol w:w="2913"/>
        <w:gridCol w:w="2739"/>
      </w:tblGrid>
      <w:tr w:rsidR="005C29F8" w:rsidRPr="00781112" w14:paraId="08FCCAA2" w14:textId="77777777" w:rsidTr="00AB0D6A">
        <w:trPr>
          <w:tblHeader/>
        </w:trPr>
        <w:tc>
          <w:tcPr>
            <w:tcW w:w="1027" w:type="pct"/>
            <w:vAlign w:val="bottom"/>
          </w:tcPr>
          <w:p w14:paraId="5B7FFB27" w14:textId="77777777" w:rsidR="00B9048A" w:rsidRPr="00781112" w:rsidRDefault="0016730D" w:rsidP="001F692C">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54" w:type="pct"/>
            <w:vAlign w:val="bottom"/>
          </w:tcPr>
          <w:p w14:paraId="57D2F66F" w14:textId="77777777" w:rsidR="00B9048A" w:rsidRPr="00781112" w:rsidRDefault="00450F98" w:rsidP="001F692C">
            <w:pPr>
              <w:jc w:val="center"/>
              <w:rPr>
                <w:rFonts w:cs="Arial"/>
                <w:b/>
                <w:color w:val="000000" w:themeColor="text1"/>
                <w:szCs w:val="16"/>
              </w:rPr>
            </w:pPr>
            <w:r>
              <w:rPr>
                <w:rFonts w:cs="Arial"/>
                <w:b/>
                <w:color w:val="000000" w:themeColor="text1"/>
                <w:szCs w:val="16"/>
              </w:rPr>
              <w:t>Findings of Noncompliance Not Yet Verified as Corrected as of FFY 2023 APR</w:t>
            </w:r>
          </w:p>
        </w:tc>
        <w:tc>
          <w:tcPr>
            <w:tcW w:w="1350" w:type="pct"/>
            <w:vAlign w:val="bottom"/>
          </w:tcPr>
          <w:p w14:paraId="5344F669"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69" w:type="pct"/>
            <w:vAlign w:val="bottom"/>
          </w:tcPr>
          <w:p w14:paraId="17ADFE2D"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46FEB0DC" w14:textId="77777777" w:rsidTr="00AB0D6A">
        <w:tc>
          <w:tcPr>
            <w:tcW w:w="1027" w:type="pct"/>
          </w:tcPr>
          <w:p w14:paraId="64F66ADD" w14:textId="77777777" w:rsidR="000C7B90" w:rsidRPr="00781112" w:rsidRDefault="000C7B90" w:rsidP="00A018D4">
            <w:pPr>
              <w:jc w:val="center"/>
              <w:rPr>
                <w:rFonts w:cs="Arial"/>
                <w:color w:val="000000" w:themeColor="text1"/>
                <w:szCs w:val="16"/>
              </w:rPr>
            </w:pPr>
          </w:p>
        </w:tc>
        <w:tc>
          <w:tcPr>
            <w:tcW w:w="1354" w:type="pct"/>
          </w:tcPr>
          <w:p w14:paraId="5C6E7B19" w14:textId="77777777" w:rsidR="000C7B90" w:rsidRPr="00781112" w:rsidRDefault="000C7B90">
            <w:pPr>
              <w:jc w:val="center"/>
              <w:rPr>
                <w:rFonts w:cs="Arial"/>
                <w:noProof/>
                <w:color w:val="000000" w:themeColor="text1"/>
                <w:szCs w:val="16"/>
              </w:rPr>
            </w:pPr>
          </w:p>
        </w:tc>
        <w:tc>
          <w:tcPr>
            <w:tcW w:w="1350" w:type="pct"/>
          </w:tcPr>
          <w:p w14:paraId="15754D9E" w14:textId="77777777" w:rsidR="000C7B90" w:rsidRPr="00781112" w:rsidRDefault="000C7B90">
            <w:pPr>
              <w:jc w:val="center"/>
              <w:rPr>
                <w:rFonts w:cs="Arial"/>
                <w:noProof/>
                <w:color w:val="000000" w:themeColor="text1"/>
                <w:szCs w:val="16"/>
              </w:rPr>
            </w:pPr>
          </w:p>
        </w:tc>
        <w:tc>
          <w:tcPr>
            <w:tcW w:w="1269" w:type="pct"/>
          </w:tcPr>
          <w:p w14:paraId="502F7094" w14:textId="77777777" w:rsidR="000C7B90" w:rsidRPr="00781112" w:rsidRDefault="000C7B90">
            <w:pPr>
              <w:jc w:val="center"/>
              <w:rPr>
                <w:rFonts w:cs="Arial"/>
                <w:noProof/>
                <w:color w:val="000000" w:themeColor="text1"/>
                <w:szCs w:val="16"/>
              </w:rPr>
            </w:pPr>
          </w:p>
        </w:tc>
      </w:tr>
      <w:tr w:rsidR="005C29F8" w:rsidRPr="00781112" w14:paraId="58683DEB" w14:textId="77777777" w:rsidTr="00AB0D6A">
        <w:tc>
          <w:tcPr>
            <w:tcW w:w="1027" w:type="pct"/>
          </w:tcPr>
          <w:p w14:paraId="33D3D29F" w14:textId="77777777" w:rsidR="000C7B90" w:rsidRPr="00781112" w:rsidRDefault="000C7B90" w:rsidP="00A018D4">
            <w:pPr>
              <w:jc w:val="center"/>
              <w:rPr>
                <w:rFonts w:cs="Arial"/>
                <w:color w:val="000000" w:themeColor="text1"/>
                <w:szCs w:val="16"/>
              </w:rPr>
            </w:pPr>
          </w:p>
        </w:tc>
        <w:tc>
          <w:tcPr>
            <w:tcW w:w="1354" w:type="pct"/>
          </w:tcPr>
          <w:p w14:paraId="6043EA69" w14:textId="77777777" w:rsidR="000C7B90" w:rsidRPr="00781112" w:rsidRDefault="000C7B90">
            <w:pPr>
              <w:jc w:val="center"/>
              <w:rPr>
                <w:rFonts w:cs="Arial"/>
                <w:noProof/>
                <w:color w:val="000000" w:themeColor="text1"/>
                <w:szCs w:val="16"/>
              </w:rPr>
            </w:pPr>
          </w:p>
        </w:tc>
        <w:tc>
          <w:tcPr>
            <w:tcW w:w="1350" w:type="pct"/>
          </w:tcPr>
          <w:p w14:paraId="2884B761" w14:textId="77777777" w:rsidR="000C7B90" w:rsidRPr="00781112" w:rsidRDefault="000C7B90">
            <w:pPr>
              <w:jc w:val="center"/>
              <w:rPr>
                <w:rFonts w:cs="Arial"/>
                <w:noProof/>
                <w:color w:val="000000" w:themeColor="text1"/>
                <w:szCs w:val="16"/>
              </w:rPr>
            </w:pPr>
          </w:p>
        </w:tc>
        <w:tc>
          <w:tcPr>
            <w:tcW w:w="1269" w:type="pct"/>
          </w:tcPr>
          <w:p w14:paraId="067BDA09" w14:textId="77777777" w:rsidR="000C7B90" w:rsidRPr="00781112" w:rsidRDefault="000C7B90">
            <w:pPr>
              <w:jc w:val="center"/>
              <w:rPr>
                <w:rFonts w:cs="Arial"/>
                <w:noProof/>
                <w:color w:val="000000" w:themeColor="text1"/>
                <w:szCs w:val="16"/>
              </w:rPr>
            </w:pPr>
          </w:p>
        </w:tc>
      </w:tr>
      <w:tr w:rsidR="005C29F8" w:rsidRPr="00781112" w14:paraId="4C5F6FDC" w14:textId="77777777" w:rsidTr="00AB0D6A">
        <w:tc>
          <w:tcPr>
            <w:tcW w:w="1027" w:type="pct"/>
          </w:tcPr>
          <w:p w14:paraId="321C587B" w14:textId="77777777" w:rsidR="000C7B90" w:rsidRPr="00781112" w:rsidRDefault="000C7B90" w:rsidP="00A018D4">
            <w:pPr>
              <w:jc w:val="center"/>
              <w:rPr>
                <w:rFonts w:cs="Arial"/>
                <w:color w:val="000000" w:themeColor="text1"/>
                <w:szCs w:val="16"/>
              </w:rPr>
            </w:pPr>
          </w:p>
        </w:tc>
        <w:tc>
          <w:tcPr>
            <w:tcW w:w="1354" w:type="pct"/>
          </w:tcPr>
          <w:p w14:paraId="047B470C" w14:textId="77777777" w:rsidR="000C7B90" w:rsidRPr="00781112" w:rsidRDefault="000C7B90">
            <w:pPr>
              <w:jc w:val="center"/>
              <w:rPr>
                <w:rFonts w:cs="Arial"/>
                <w:noProof/>
                <w:color w:val="000000" w:themeColor="text1"/>
                <w:szCs w:val="16"/>
              </w:rPr>
            </w:pPr>
          </w:p>
        </w:tc>
        <w:tc>
          <w:tcPr>
            <w:tcW w:w="1350" w:type="pct"/>
          </w:tcPr>
          <w:p w14:paraId="08613B1B" w14:textId="77777777" w:rsidR="000C7B90" w:rsidRPr="00781112" w:rsidRDefault="000C7B90">
            <w:pPr>
              <w:jc w:val="center"/>
              <w:rPr>
                <w:rFonts w:cs="Arial"/>
                <w:noProof/>
                <w:color w:val="000000" w:themeColor="text1"/>
                <w:szCs w:val="16"/>
              </w:rPr>
            </w:pPr>
          </w:p>
        </w:tc>
        <w:tc>
          <w:tcPr>
            <w:tcW w:w="1269" w:type="pct"/>
          </w:tcPr>
          <w:p w14:paraId="15252093" w14:textId="77777777" w:rsidR="000C7B90" w:rsidRPr="00781112" w:rsidRDefault="000C7B90">
            <w:pPr>
              <w:jc w:val="center"/>
              <w:rPr>
                <w:rFonts w:cs="Arial"/>
                <w:noProof/>
                <w:color w:val="000000" w:themeColor="text1"/>
                <w:szCs w:val="16"/>
              </w:rPr>
            </w:pPr>
          </w:p>
        </w:tc>
      </w:tr>
      <w:tr w:rsidR="004C5DF4" w:rsidRPr="00781112" w14:paraId="2E27981D" w14:textId="77777777" w:rsidTr="00AB0D6A">
        <w:tc>
          <w:tcPr>
            <w:tcW w:w="1027" w:type="pct"/>
          </w:tcPr>
          <w:p w14:paraId="04531734" w14:textId="77777777" w:rsidR="004C5DF4" w:rsidRPr="00781112" w:rsidRDefault="004C5DF4" w:rsidP="004C5DF4">
            <w:pPr>
              <w:jc w:val="center"/>
              <w:rPr>
                <w:rFonts w:cs="Arial"/>
                <w:color w:val="000000" w:themeColor="text1"/>
                <w:szCs w:val="16"/>
              </w:rPr>
            </w:pPr>
          </w:p>
        </w:tc>
        <w:tc>
          <w:tcPr>
            <w:tcW w:w="1354" w:type="pct"/>
          </w:tcPr>
          <w:p w14:paraId="02ADD5EC" w14:textId="77777777" w:rsidR="004C5DF4" w:rsidRPr="00781112" w:rsidRDefault="004C5DF4" w:rsidP="004C5DF4">
            <w:pPr>
              <w:jc w:val="center"/>
              <w:rPr>
                <w:rFonts w:cs="Arial"/>
                <w:color w:val="000000" w:themeColor="text1"/>
                <w:szCs w:val="16"/>
              </w:rPr>
            </w:pPr>
          </w:p>
        </w:tc>
        <w:tc>
          <w:tcPr>
            <w:tcW w:w="1350" w:type="pct"/>
          </w:tcPr>
          <w:p w14:paraId="61F482C4" w14:textId="77777777" w:rsidR="004C5DF4" w:rsidRPr="00781112" w:rsidRDefault="004C5DF4" w:rsidP="004C5DF4">
            <w:pPr>
              <w:jc w:val="center"/>
              <w:rPr>
                <w:rFonts w:cs="Arial"/>
                <w:color w:val="000000" w:themeColor="text1"/>
                <w:szCs w:val="16"/>
              </w:rPr>
            </w:pPr>
          </w:p>
        </w:tc>
        <w:tc>
          <w:tcPr>
            <w:tcW w:w="1269" w:type="pct"/>
          </w:tcPr>
          <w:p w14:paraId="7C4996B5" w14:textId="77777777" w:rsidR="004C5DF4" w:rsidRPr="00781112" w:rsidRDefault="004C5DF4" w:rsidP="004C5DF4">
            <w:pPr>
              <w:jc w:val="center"/>
              <w:rPr>
                <w:rFonts w:cs="Arial"/>
                <w:color w:val="000000" w:themeColor="text1"/>
                <w:szCs w:val="16"/>
              </w:rPr>
            </w:pPr>
          </w:p>
        </w:tc>
      </w:tr>
      <w:tr w:rsidR="004C5DF4" w:rsidRPr="00781112" w14:paraId="3907917D" w14:textId="77777777" w:rsidTr="00AB0D6A">
        <w:tc>
          <w:tcPr>
            <w:tcW w:w="1027" w:type="pct"/>
          </w:tcPr>
          <w:p w14:paraId="40035BD7" w14:textId="77777777" w:rsidR="004C5DF4" w:rsidRPr="00781112" w:rsidRDefault="004C5DF4" w:rsidP="004C5DF4">
            <w:pPr>
              <w:jc w:val="center"/>
              <w:rPr>
                <w:rFonts w:cs="Arial"/>
                <w:color w:val="000000" w:themeColor="text1"/>
                <w:szCs w:val="16"/>
              </w:rPr>
            </w:pPr>
          </w:p>
        </w:tc>
        <w:tc>
          <w:tcPr>
            <w:tcW w:w="1354" w:type="pct"/>
          </w:tcPr>
          <w:p w14:paraId="5BE70FA2" w14:textId="77777777" w:rsidR="004C5DF4" w:rsidRPr="00781112" w:rsidRDefault="004C5DF4" w:rsidP="004C5DF4">
            <w:pPr>
              <w:jc w:val="center"/>
              <w:rPr>
                <w:rFonts w:cs="Arial"/>
                <w:color w:val="000000" w:themeColor="text1"/>
                <w:szCs w:val="16"/>
              </w:rPr>
            </w:pPr>
          </w:p>
        </w:tc>
        <w:tc>
          <w:tcPr>
            <w:tcW w:w="1350" w:type="pct"/>
          </w:tcPr>
          <w:p w14:paraId="4A4FB376" w14:textId="77777777" w:rsidR="004C5DF4" w:rsidRPr="00781112" w:rsidRDefault="004C5DF4" w:rsidP="004C5DF4">
            <w:pPr>
              <w:jc w:val="center"/>
              <w:rPr>
                <w:rFonts w:cs="Arial"/>
                <w:color w:val="000000" w:themeColor="text1"/>
                <w:szCs w:val="16"/>
              </w:rPr>
            </w:pPr>
          </w:p>
        </w:tc>
        <w:tc>
          <w:tcPr>
            <w:tcW w:w="1269" w:type="pct"/>
          </w:tcPr>
          <w:p w14:paraId="6EA48823" w14:textId="77777777" w:rsidR="004C5DF4" w:rsidRPr="00781112" w:rsidRDefault="004C5DF4" w:rsidP="004C5DF4">
            <w:pPr>
              <w:jc w:val="center"/>
              <w:rPr>
                <w:rFonts w:cs="Arial"/>
                <w:color w:val="000000" w:themeColor="text1"/>
                <w:szCs w:val="16"/>
              </w:rPr>
            </w:pPr>
          </w:p>
        </w:tc>
      </w:tr>
    </w:tbl>
    <w:p w14:paraId="72653C1A" w14:textId="77777777" w:rsidR="00685C73" w:rsidRPr="00781112" w:rsidRDefault="00685C73" w:rsidP="000C7B90">
      <w:pPr>
        <w:rPr>
          <w:rFonts w:cs="Arial"/>
          <w:color w:val="000000" w:themeColor="text1"/>
          <w:szCs w:val="16"/>
        </w:rPr>
      </w:pPr>
    </w:p>
    <w:p w14:paraId="30BFAD87" w14:textId="77777777" w:rsidR="004E2151" w:rsidRPr="00781112" w:rsidRDefault="00697434" w:rsidP="008645AD">
      <w:pPr>
        <w:pStyle w:val="Heading2"/>
      </w:pPr>
      <w:r w:rsidRPr="00781112">
        <w:t>4A</w:t>
      </w:r>
      <w:r w:rsidR="00DA3C7A" w:rsidRPr="00781112">
        <w:t xml:space="preserve"> </w:t>
      </w:r>
      <w:r w:rsidRPr="00781112">
        <w:t xml:space="preserve">- </w:t>
      </w:r>
      <w:r w:rsidR="004E2151" w:rsidRPr="00781112">
        <w:t>Prior FFY Required Actions</w:t>
      </w:r>
    </w:p>
    <w:p w14:paraId="4470E617" w14:textId="77777777" w:rsidR="004E2151" w:rsidRPr="00781112" w:rsidRDefault="002B7490" w:rsidP="004E2151">
      <w:pPr>
        <w:rPr>
          <w:rFonts w:cs="Arial"/>
          <w:color w:val="000000" w:themeColor="text1"/>
          <w:szCs w:val="16"/>
        </w:rPr>
      </w:pPr>
      <w:r w:rsidRPr="00781112">
        <w:rPr>
          <w:rFonts w:cs="Arial"/>
          <w:color w:val="000000" w:themeColor="text1"/>
          <w:szCs w:val="16"/>
        </w:rPr>
        <w:t>None</w:t>
      </w:r>
    </w:p>
    <w:p w14:paraId="3A37D639" w14:textId="77777777" w:rsidR="009B02BC" w:rsidRPr="00781112" w:rsidRDefault="009B02BC" w:rsidP="004E2151">
      <w:pPr>
        <w:rPr>
          <w:rFonts w:cs="Arial"/>
          <w:color w:val="000000" w:themeColor="text1"/>
          <w:szCs w:val="16"/>
        </w:rPr>
      </w:pPr>
    </w:p>
    <w:p w14:paraId="0B2228B2" w14:textId="77777777" w:rsidR="009B02BC" w:rsidRPr="00781112" w:rsidRDefault="009B02BC" w:rsidP="004E2151">
      <w:pPr>
        <w:rPr>
          <w:rFonts w:cs="Arial"/>
          <w:color w:val="000000" w:themeColor="text1"/>
          <w:szCs w:val="16"/>
        </w:rPr>
      </w:pPr>
    </w:p>
    <w:p w14:paraId="387FDBED" w14:textId="77777777" w:rsidR="005115D6" w:rsidRPr="00781112" w:rsidRDefault="001E2193" w:rsidP="008645AD">
      <w:pPr>
        <w:pStyle w:val="Heading2"/>
      </w:pPr>
      <w:r w:rsidRPr="00781112">
        <w:t>4A - OSEP Response</w:t>
      </w:r>
    </w:p>
    <w:p w14:paraId="1C24F3D5" w14:textId="77777777" w:rsidR="002D57DA" w:rsidRPr="00781112" w:rsidRDefault="002D57DA" w:rsidP="00212954">
      <w:pPr>
        <w:rPr>
          <w:rFonts w:cs="Arial"/>
          <w:color w:val="000000" w:themeColor="text1"/>
          <w:szCs w:val="16"/>
        </w:rPr>
      </w:pPr>
    </w:p>
    <w:p w14:paraId="50AAF8F6" w14:textId="77777777" w:rsidR="005115D6" w:rsidRPr="00781112" w:rsidRDefault="00697434" w:rsidP="008645AD">
      <w:pPr>
        <w:pStyle w:val="Heading2"/>
      </w:pPr>
      <w:r w:rsidRPr="00781112">
        <w:t>4A - Required Actions</w:t>
      </w:r>
    </w:p>
    <w:p w14:paraId="4A1DD341" w14:textId="77777777" w:rsidR="002D57DA" w:rsidRPr="00781112" w:rsidRDefault="002D57DA" w:rsidP="00212954">
      <w:pPr>
        <w:rPr>
          <w:rFonts w:cs="Arial"/>
          <w:color w:val="000000" w:themeColor="text1"/>
          <w:szCs w:val="16"/>
        </w:rPr>
      </w:pPr>
    </w:p>
    <w:p w14:paraId="753E2EF0"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6D9BB495" w14:textId="77777777" w:rsidR="00D03701" w:rsidRPr="00781112" w:rsidRDefault="00D03701" w:rsidP="000444E2">
      <w:pPr>
        <w:pStyle w:val="Heading1"/>
        <w:rPr>
          <w:color w:val="000000" w:themeColor="text1"/>
          <w:sz w:val="22"/>
        </w:rPr>
      </w:pPr>
      <w:r w:rsidRPr="00781112">
        <w:rPr>
          <w:color w:val="000000" w:themeColor="text1"/>
          <w:sz w:val="22"/>
        </w:rPr>
        <w:lastRenderedPageBreak/>
        <w:t>Indicator 4B: Suspension/Expulsion</w:t>
      </w:r>
      <w:bookmarkEnd w:id="27"/>
      <w:bookmarkEnd w:id="28"/>
      <w:bookmarkEnd w:id="29"/>
    </w:p>
    <w:p w14:paraId="096B9AAA" w14:textId="77777777" w:rsidR="008637F8" w:rsidRPr="002C274F" w:rsidRDefault="008637F8" w:rsidP="002C274F">
      <w:pPr>
        <w:rPr>
          <w:b/>
          <w:bCs/>
          <w:sz w:val="20"/>
          <w:szCs w:val="20"/>
        </w:rPr>
      </w:pPr>
      <w:bookmarkStart w:id="30" w:name="_Toc384383338"/>
      <w:bookmarkStart w:id="31" w:name="_Toc392159290"/>
      <w:r w:rsidRPr="002C274F">
        <w:rPr>
          <w:b/>
          <w:bCs/>
          <w:sz w:val="20"/>
          <w:szCs w:val="20"/>
        </w:rPr>
        <w:t xml:space="preserve">Instructions and Measurement </w:t>
      </w:r>
    </w:p>
    <w:p w14:paraId="001919D8" w14:textId="77777777" w:rsidR="00413366" w:rsidRPr="00781112" w:rsidRDefault="00413366"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5E011BC7" w14:textId="77777777" w:rsidR="00413366" w:rsidRPr="00781112" w:rsidRDefault="00C56D79" w:rsidP="009A755E">
      <w:pPr>
        <w:rPr>
          <w:rFonts w:cs="Arial"/>
          <w:color w:val="000000" w:themeColor="text1"/>
          <w:szCs w:val="16"/>
        </w:rPr>
      </w:pPr>
      <w:r w:rsidRPr="00781112">
        <w:rPr>
          <w:rFonts w:cs="Arial"/>
          <w:b/>
          <w:color w:val="000000" w:themeColor="text1"/>
          <w:szCs w:val="16"/>
        </w:rPr>
        <w:t>Compliance Indicator:</w:t>
      </w:r>
      <w:r w:rsidR="009A755E" w:rsidRPr="00781112">
        <w:rPr>
          <w:rFonts w:cs="Arial"/>
          <w:color w:val="000000" w:themeColor="text1"/>
          <w:szCs w:val="16"/>
        </w:rPr>
        <w:t xml:space="preserve"> </w:t>
      </w:r>
      <w:r w:rsidR="00413366" w:rsidRPr="00781112">
        <w:rPr>
          <w:rFonts w:cs="Arial"/>
          <w:color w:val="000000" w:themeColor="text1"/>
          <w:szCs w:val="16"/>
        </w:rPr>
        <w:t>Rates of suspension and expulsion:</w:t>
      </w:r>
    </w:p>
    <w:p w14:paraId="6B9396DB" w14:textId="77777777" w:rsidR="00B01978" w:rsidRPr="00781112" w:rsidRDefault="00B01978" w:rsidP="00360DD6">
      <w:pPr>
        <w:ind w:left="360"/>
        <w:rPr>
          <w:rFonts w:cs="Arial"/>
          <w:szCs w:val="16"/>
        </w:rPr>
      </w:pPr>
      <w:r w:rsidRPr="00781112">
        <w:rPr>
          <w:rFonts w:cs="Arial"/>
          <w:color w:val="000000" w:themeColor="text1"/>
          <w:szCs w:val="16"/>
        </w:rPr>
        <w:tab/>
        <w:t xml:space="preserve">A. </w:t>
      </w:r>
      <w:r w:rsidRPr="00741A36">
        <w:rPr>
          <w:rFonts w:cs="Arial"/>
          <w:szCs w:val="16"/>
        </w:rPr>
        <w:t>Percent of local educational</w:t>
      </w:r>
      <w:r w:rsidRPr="00781112">
        <w:rPr>
          <w:rFonts w:cs="Arial"/>
          <w:szCs w:val="16"/>
        </w:rPr>
        <w:t xml:space="preserve"> agencies (LEA) that have a significant discrepancy, as defined by the State, in the rate of suspensions and </w:t>
      </w:r>
      <w:r w:rsidR="002D3270" w:rsidRPr="00781112">
        <w:rPr>
          <w:rFonts w:cs="Arial"/>
          <w:szCs w:val="16"/>
        </w:rPr>
        <w:tab/>
      </w:r>
      <w:r w:rsidRPr="00781112">
        <w:rPr>
          <w:rFonts w:cs="Arial"/>
          <w:szCs w:val="16"/>
        </w:rPr>
        <w:t>expulsions of greater than 10 days in a school year for children with IEPs; and</w:t>
      </w:r>
    </w:p>
    <w:p w14:paraId="180F36D0" w14:textId="77777777" w:rsidR="00413366" w:rsidRPr="00781112" w:rsidRDefault="001D5BAF" w:rsidP="006A01BD">
      <w:pPr>
        <w:ind w:left="720"/>
        <w:rPr>
          <w:rFonts w:cs="Arial"/>
          <w:color w:val="000000" w:themeColor="text1"/>
          <w:szCs w:val="16"/>
        </w:rPr>
      </w:pPr>
      <w:r w:rsidRPr="00781112">
        <w:rPr>
          <w:rFonts w:cs="Arial"/>
          <w:color w:val="000000" w:themeColor="text1"/>
          <w:szCs w:val="16"/>
        </w:rPr>
        <w:t>B. Percent of LEAs that have: (a) a significant discrepancy,</w:t>
      </w:r>
      <w:r w:rsidR="007F1D12" w:rsidRPr="00781112">
        <w:rPr>
          <w:rFonts w:cs="Arial"/>
          <w:szCs w:val="16"/>
        </w:rPr>
        <w:t xml:space="preserve"> as defined by the State, </w:t>
      </w:r>
      <w:r w:rsidRPr="00781112">
        <w:rPr>
          <w:rFonts w:cs="Arial"/>
          <w:color w:val="000000" w:themeColor="text1"/>
          <w:szCs w:val="16"/>
        </w:rPr>
        <w:t>by race or ethnicity</w:t>
      </w:r>
      <w:r w:rsidR="00413366" w:rsidRPr="00781112">
        <w:rPr>
          <w:rFonts w:cs="Arial"/>
          <w:bCs/>
          <w:color w:val="000000" w:themeColor="text1"/>
          <w:szCs w:val="16"/>
          <w:shd w:val="clear" w:color="auto" w:fill="FFFFFF"/>
        </w:rPr>
        <w:t>, in the rate of suspensions and expulsions of greater than 10 days in a school year for children with IEPs; and (b) policies, procedures or practices that contribute to the significant discrepancy</w:t>
      </w:r>
      <w:r w:rsidR="000C0565" w:rsidRPr="00781112">
        <w:rPr>
          <w:rFonts w:cs="Arial"/>
          <w:bCs/>
          <w:color w:val="000000" w:themeColor="text1"/>
          <w:szCs w:val="16"/>
          <w:shd w:val="clear" w:color="auto" w:fill="FFFFFF"/>
        </w:rPr>
        <w:t xml:space="preserve">, </w:t>
      </w:r>
      <w:r w:rsidR="000C0565" w:rsidRPr="00781112">
        <w:rPr>
          <w:rFonts w:cs="Arial"/>
          <w:szCs w:val="16"/>
        </w:rPr>
        <w:t xml:space="preserve">as defined by the State, </w:t>
      </w:r>
      <w:r w:rsidR="00413366" w:rsidRPr="00781112">
        <w:rPr>
          <w:rFonts w:cs="Arial"/>
          <w:bCs/>
          <w:color w:val="000000" w:themeColor="text1"/>
          <w:szCs w:val="16"/>
          <w:shd w:val="clear" w:color="auto" w:fill="FFFFFF"/>
        </w:rPr>
        <w:t>and do not comply with requirements relating to the development and implementation of IEPs, the use of positive behavioral interventions and supports, and procedural safeguards.</w:t>
      </w:r>
    </w:p>
    <w:p w14:paraId="1AB688BB" w14:textId="77777777" w:rsidR="0011074D" w:rsidRPr="00781112" w:rsidRDefault="0011074D" w:rsidP="0011074D">
      <w:pPr>
        <w:rPr>
          <w:rFonts w:cs="Arial"/>
          <w:color w:val="000000" w:themeColor="text1"/>
          <w:szCs w:val="16"/>
        </w:rPr>
      </w:pPr>
      <w:r w:rsidRPr="00781112">
        <w:rPr>
          <w:rFonts w:cs="Arial"/>
          <w:color w:val="000000" w:themeColor="text1"/>
          <w:szCs w:val="16"/>
        </w:rPr>
        <w:t>(20 U.S.C. 1416(a)(3)(A); 1412(a)(22))</w:t>
      </w:r>
    </w:p>
    <w:p w14:paraId="67A82621" w14:textId="77777777" w:rsidR="00413366" w:rsidRPr="00781112" w:rsidRDefault="00413366" w:rsidP="004369B2">
      <w:pPr>
        <w:rPr>
          <w:color w:val="000000" w:themeColor="text1"/>
        </w:rPr>
      </w:pPr>
      <w:r w:rsidRPr="00781112">
        <w:rPr>
          <w:b/>
          <w:color w:val="000000" w:themeColor="text1"/>
        </w:rPr>
        <w:t>Data Source</w:t>
      </w:r>
    </w:p>
    <w:p w14:paraId="38CBA2AB" w14:textId="77777777" w:rsidR="00413366" w:rsidRPr="00781112" w:rsidRDefault="00413366" w:rsidP="00BB7BC9">
      <w:pPr>
        <w:rPr>
          <w:rFonts w:cs="Arial"/>
          <w:color w:val="000000" w:themeColor="text1"/>
          <w:szCs w:val="16"/>
        </w:rPr>
      </w:pPr>
      <w:r w:rsidRPr="00781112">
        <w:rPr>
          <w:rFonts w:cs="Arial"/>
          <w:color w:val="000000" w:themeColor="text1"/>
          <w:szCs w:val="16"/>
        </w:rPr>
        <w:t xml:space="preserve">State </w:t>
      </w:r>
      <w:r w:rsidRPr="00781112">
        <w:rPr>
          <w:rFonts w:cs="Arial"/>
          <w:color w:val="000000" w:themeColor="text1"/>
          <w:szCs w:val="16"/>
          <w:shd w:val="clear" w:color="auto" w:fill="FFFFFF"/>
        </w:rPr>
        <w:t>discipline data, including State’s analysis of State’s Discipline data collected under IDEA Section 618, where applicable. Discrepancy can be computed by either comparing the rates of suspensions and expulsions for children with IEPs to rates for nondisabled children within the LEA or by comparing the rates of suspensions and expulsions for children with IEPs among LEAs within the State.</w:t>
      </w:r>
    </w:p>
    <w:p w14:paraId="772C5C6D" w14:textId="77777777" w:rsidR="00413366" w:rsidRPr="00781112" w:rsidRDefault="00413366" w:rsidP="004369B2">
      <w:pPr>
        <w:rPr>
          <w:color w:val="000000" w:themeColor="text1"/>
        </w:rPr>
      </w:pPr>
      <w:r w:rsidRPr="00781112">
        <w:rPr>
          <w:b/>
          <w:color w:val="000000" w:themeColor="text1"/>
        </w:rPr>
        <w:t>Measurement</w:t>
      </w:r>
    </w:p>
    <w:p w14:paraId="7BE2A76C" w14:textId="77777777" w:rsidR="00413366" w:rsidRPr="00781112" w:rsidRDefault="00413366" w:rsidP="00286BDF">
      <w:pPr>
        <w:rPr>
          <w:rFonts w:cs="Arial"/>
          <w:color w:val="000000" w:themeColor="text1"/>
          <w:szCs w:val="16"/>
        </w:rPr>
      </w:pPr>
      <w:r w:rsidRPr="00781112">
        <w:rPr>
          <w:rFonts w:cs="Arial"/>
          <w:color w:val="000000" w:themeColor="text1"/>
          <w:szCs w:val="16"/>
        </w:rPr>
        <w:t xml:space="preserve">Percent </w:t>
      </w:r>
      <w:r w:rsidRPr="00781112">
        <w:rPr>
          <w:rFonts w:cs="Arial"/>
          <w:color w:val="000000" w:themeColor="text1"/>
          <w:szCs w:val="16"/>
          <w:shd w:val="clear" w:color="auto" w:fill="FFFFFF"/>
        </w:rPr>
        <w:t xml:space="preserve">= </w:t>
      </w:r>
      <w:r w:rsidR="00E726E2" w:rsidRPr="00781112">
        <w:rPr>
          <w:rFonts w:cs="Arial"/>
          <w:color w:val="000000" w:themeColor="text1"/>
          <w:szCs w:val="16"/>
          <w:shd w:val="clear" w:color="auto" w:fill="FFFFFF"/>
        </w:rPr>
        <w:t xml:space="preserve">[(# </w:t>
      </w:r>
      <w:r w:rsidRPr="00781112">
        <w:rPr>
          <w:rFonts w:cs="Arial"/>
          <w:color w:val="000000" w:themeColor="text1"/>
          <w:szCs w:val="16"/>
          <w:shd w:val="clear" w:color="auto" w:fill="FFFFFF"/>
        </w:rPr>
        <w:t xml:space="preserve">of </w:t>
      </w:r>
      <w:r w:rsidR="000C0565"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 xml:space="preserve">that meet the State-established n </w:t>
      </w:r>
      <w:r w:rsidR="000C0565" w:rsidRPr="00781112">
        <w:rPr>
          <w:rFonts w:cs="Arial"/>
          <w:color w:val="000000" w:themeColor="text1"/>
          <w:szCs w:val="16"/>
          <w:shd w:val="clear" w:color="auto" w:fill="FFFFFF"/>
        </w:rPr>
        <w:t xml:space="preserve">and/or cell </w:t>
      </w:r>
      <w:r w:rsidRPr="00781112">
        <w:rPr>
          <w:rFonts w:cs="Arial"/>
          <w:color w:val="000000" w:themeColor="text1"/>
          <w:szCs w:val="16"/>
          <w:shd w:val="clear" w:color="auto" w:fill="FFFFFF"/>
        </w:rPr>
        <w:t xml:space="preserve">size (if applicable) for one or more racial/ethnic groups that have: (a) a significant discrepancy, </w:t>
      </w:r>
      <w:r w:rsidR="000C0565" w:rsidRPr="00781112">
        <w:rPr>
          <w:rFonts w:cs="Arial"/>
          <w:szCs w:val="16"/>
        </w:rPr>
        <w:t xml:space="preserve">as defined by the State, </w:t>
      </w:r>
      <w:r w:rsidRPr="00781112">
        <w:rPr>
          <w:rFonts w:cs="Arial"/>
          <w:color w:val="000000" w:themeColor="text1"/>
          <w:szCs w:val="16"/>
          <w:shd w:val="clear" w:color="auto" w:fill="FFFFFF"/>
        </w:rPr>
        <w:t xml:space="preserve">by race or ethnicity, in the rates of suspensions and expulsions of </w:t>
      </w:r>
      <w:r w:rsidR="00D124AA" w:rsidRPr="00781112">
        <w:rPr>
          <w:rFonts w:cs="Arial"/>
          <w:color w:val="000000" w:themeColor="text1"/>
          <w:szCs w:val="16"/>
          <w:shd w:val="clear" w:color="auto" w:fill="FFFFFF"/>
        </w:rPr>
        <w:t xml:space="preserve">more </w:t>
      </w:r>
      <w:r w:rsidRPr="00781112">
        <w:rPr>
          <w:rFonts w:cs="Arial"/>
          <w:color w:val="000000" w:themeColor="text1"/>
          <w:szCs w:val="16"/>
          <w:shd w:val="clear" w:color="auto" w:fill="FFFFFF"/>
        </w:rPr>
        <w:t xml:space="preserve">than 10 days </w:t>
      </w:r>
      <w:r w:rsidR="00D124AA" w:rsidRPr="00781112">
        <w:rPr>
          <w:rFonts w:cs="Arial"/>
          <w:color w:val="000000" w:themeColor="text1"/>
          <w:szCs w:val="16"/>
          <w:shd w:val="clear" w:color="auto" w:fill="FFFFFF"/>
        </w:rPr>
        <w:t xml:space="preserve">during the </w:t>
      </w:r>
      <w:r w:rsidRPr="00781112">
        <w:rPr>
          <w:rFonts w:cs="Arial"/>
          <w:color w:val="000000" w:themeColor="text1"/>
          <w:szCs w:val="16"/>
          <w:shd w:val="clear" w:color="auto" w:fill="FFFFFF"/>
        </w:rPr>
        <w:t>school year of children with IEPs; and (b) policies, procedures or practices that contribute to the significant discrepancy</w:t>
      </w:r>
      <w:r w:rsidR="0024349E" w:rsidRPr="00781112">
        <w:rPr>
          <w:rFonts w:cs="Arial"/>
          <w:color w:val="000000" w:themeColor="text1"/>
          <w:szCs w:val="16"/>
          <w:shd w:val="clear" w:color="auto" w:fill="FFFFFF"/>
        </w:rPr>
        <w:t xml:space="preserve">, as defined by the State, </w:t>
      </w:r>
      <w:r w:rsidRPr="00781112">
        <w:rPr>
          <w:rFonts w:cs="Arial"/>
          <w:color w:val="000000" w:themeColor="text1"/>
          <w:szCs w:val="16"/>
          <w:shd w:val="clear" w:color="auto" w:fill="FFFFFF"/>
        </w:rPr>
        <w:t xml:space="preserve">and do not comply with requirements relating to the development and implementation of IEPs, the use of positive behavioral interventions and supports, and procedural safeguards) divided by the (# of </w:t>
      </w:r>
      <w:r w:rsidR="003929E1"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 xml:space="preserve">in the State that meet the State-established n </w:t>
      </w:r>
      <w:r w:rsidR="003929E1" w:rsidRPr="00781112">
        <w:rPr>
          <w:rFonts w:cs="Arial"/>
          <w:color w:val="000000" w:themeColor="text1"/>
          <w:szCs w:val="16"/>
          <w:shd w:val="clear" w:color="auto" w:fill="FFFFFF"/>
        </w:rPr>
        <w:t xml:space="preserve">and/or cell </w:t>
      </w:r>
      <w:r w:rsidRPr="00781112">
        <w:rPr>
          <w:rFonts w:cs="Arial"/>
          <w:color w:val="000000" w:themeColor="text1"/>
          <w:szCs w:val="16"/>
          <w:shd w:val="clear" w:color="auto" w:fill="FFFFFF"/>
        </w:rPr>
        <w:t>size (if applicable) for one or more racial/ethnic groups</w:t>
      </w:r>
      <w:r w:rsidR="00E726E2" w:rsidRPr="00781112">
        <w:rPr>
          <w:rFonts w:cs="Arial"/>
          <w:color w:val="000000" w:themeColor="text1"/>
          <w:szCs w:val="16"/>
          <w:shd w:val="clear" w:color="auto" w:fill="FFFFFF"/>
        </w:rPr>
        <w:t xml:space="preserve">)] </w:t>
      </w:r>
      <w:r w:rsidRPr="00781112">
        <w:rPr>
          <w:rFonts w:cs="Arial"/>
          <w:color w:val="000000" w:themeColor="text1"/>
          <w:szCs w:val="16"/>
          <w:shd w:val="clear" w:color="auto" w:fill="FFFFFF"/>
        </w:rPr>
        <w:t>times 100.</w:t>
      </w:r>
    </w:p>
    <w:p w14:paraId="413DD4BE" w14:textId="77777777" w:rsidR="00413366" w:rsidRPr="00781112" w:rsidRDefault="00413366" w:rsidP="00286BDF">
      <w:pPr>
        <w:rPr>
          <w:rFonts w:cs="Arial"/>
          <w:color w:val="000000" w:themeColor="text1"/>
          <w:szCs w:val="16"/>
        </w:rPr>
      </w:pPr>
      <w:r w:rsidRPr="00781112">
        <w:rPr>
          <w:rFonts w:cs="Arial"/>
          <w:color w:val="000000" w:themeColor="text1"/>
          <w:szCs w:val="16"/>
          <w:shd w:val="clear" w:color="auto" w:fill="FFFFFF"/>
        </w:rPr>
        <w:t>Include State’s definition of “significant discrepancy.”</w:t>
      </w:r>
    </w:p>
    <w:p w14:paraId="7C175642" w14:textId="77777777" w:rsidR="00413366" w:rsidRPr="00781112" w:rsidRDefault="00413366" w:rsidP="004369B2">
      <w:pPr>
        <w:rPr>
          <w:color w:val="000000" w:themeColor="text1"/>
        </w:rPr>
      </w:pPr>
      <w:r w:rsidRPr="00781112">
        <w:rPr>
          <w:b/>
          <w:color w:val="000000" w:themeColor="text1"/>
        </w:rPr>
        <w:t>Instructions</w:t>
      </w:r>
    </w:p>
    <w:p w14:paraId="26552EFE" w14:textId="77777777" w:rsidR="00E52C16" w:rsidRDefault="00413366" w:rsidP="00E52C16">
      <w:pPr>
        <w:rPr>
          <w:rFonts w:cs="Arial"/>
          <w:szCs w:val="16"/>
        </w:rPr>
      </w:pPr>
      <w:r w:rsidRPr="00781112">
        <w:rPr>
          <w:rFonts w:cs="Arial"/>
          <w:color w:val="000000" w:themeColor="text1"/>
          <w:szCs w:val="16"/>
        </w:rPr>
        <w:t xml:space="preserve">If the State has established a minimum n and/or cell size requirement, the State </w:t>
      </w:r>
      <w:r w:rsidR="00E52C16">
        <w:rPr>
          <w:rFonts w:cs="Arial"/>
          <w:szCs w:val="16"/>
        </w:rPr>
        <w:t xml:space="preserve">must provide a definition of its minimum n and/or cell size itself and a description thereof </w:t>
      </w:r>
      <w:r w:rsidR="00E52C16" w:rsidRPr="00814333">
        <w:rPr>
          <w:rFonts w:cs="Arial"/>
          <w:szCs w:val="16"/>
        </w:rPr>
        <w:t>(e.g., a State’s n size of 15 represents the number of children with disabilities enrolled in an LEA</w:t>
      </w:r>
      <w:r w:rsidR="00E52C16">
        <w:rPr>
          <w:rFonts w:cs="Arial"/>
          <w:szCs w:val="16"/>
        </w:rPr>
        <w:t>, by race and ethnicity</w:t>
      </w:r>
      <w:r w:rsidR="00E52C16" w:rsidRPr="00814333">
        <w:rPr>
          <w:rFonts w:cs="Arial"/>
          <w:szCs w:val="16"/>
        </w:rPr>
        <w:t xml:space="preserve">, and a State’s cell size of 5 </w:t>
      </w:r>
      <w:r w:rsidR="00E52C16">
        <w:rPr>
          <w:rFonts w:cs="Arial"/>
          <w:szCs w:val="16"/>
        </w:rPr>
        <w:t>r</w:t>
      </w:r>
      <w:r w:rsidR="00E52C16" w:rsidRPr="00814333">
        <w:rPr>
          <w:rFonts w:cs="Arial"/>
          <w:szCs w:val="16"/>
        </w:rPr>
        <w:t>epresents the number of children with disabilities who have received out-of-school suspensions and expulsions of more than 10 days within the LEA</w:t>
      </w:r>
      <w:r w:rsidR="00E52C16">
        <w:rPr>
          <w:rFonts w:cs="Arial"/>
          <w:szCs w:val="16"/>
        </w:rPr>
        <w:t>, by race and ethnicity</w:t>
      </w:r>
      <w:r w:rsidR="00E52C16" w:rsidRPr="00814333">
        <w:rPr>
          <w:rFonts w:cs="Arial"/>
          <w:szCs w:val="16"/>
        </w:rPr>
        <w:t xml:space="preserve">). </w:t>
      </w:r>
    </w:p>
    <w:p w14:paraId="2CF89A6B" w14:textId="77777777" w:rsidR="00E52C16" w:rsidRPr="00A70EDD" w:rsidRDefault="00E52C16" w:rsidP="00E52C16">
      <w:pPr>
        <w:rPr>
          <w:rFonts w:cs="Arial"/>
          <w:szCs w:val="16"/>
        </w:rPr>
      </w:pPr>
      <w:r w:rsidRPr="007743F7">
        <w:rPr>
          <w:rFonts w:cs="Arial"/>
          <w:szCs w:val="16"/>
        </w:rPr>
        <w:t>The State must also provide rationales for its minimum n and/or cell size, including why the definitions chosen are reasonable and based on stakeholder input, and how the definitions ensure that the State is appropriately analyzing and identifying LEAs with significant discrepancy, by race and ethnicity. The State must also indicate whether the minimum n and/or cell size represents a change from the prior SPP/APR reporting period. If so, the State must provide an explanation why the minimum n and/or cell size was changed.</w:t>
      </w:r>
    </w:p>
    <w:p w14:paraId="5848D409" w14:textId="77777777" w:rsidR="00413366" w:rsidRPr="00FE4611" w:rsidRDefault="00E52C16" w:rsidP="00BB7BC9">
      <w:pPr>
        <w:rPr>
          <w:rFonts w:cs="Arial"/>
          <w:szCs w:val="16"/>
        </w:rPr>
      </w:pPr>
      <w:r>
        <w:rPr>
          <w:rFonts w:cs="Arial"/>
          <w:szCs w:val="16"/>
        </w:rPr>
        <w:t>The State may only include, in both the numerator and the denominator, LEAs that met that State established n and/or cell size. If the State used a minimum n and/or cell size requirement, report the number of LEAs totally excluded from the calculation as a result of this requirement.</w:t>
      </w:r>
    </w:p>
    <w:p w14:paraId="7CFB3CF3" w14:textId="77777777" w:rsidR="00413366" w:rsidRPr="00781112" w:rsidRDefault="0016730D" w:rsidP="00BB7BC9">
      <w:pPr>
        <w:rPr>
          <w:rFonts w:cs="Arial"/>
          <w:color w:val="000000" w:themeColor="text1"/>
          <w:szCs w:val="16"/>
        </w:rPr>
      </w:pPr>
      <w:r w:rsidRPr="00781112">
        <w:rPr>
          <w:rFonts w:cs="Arial"/>
          <w:color w:val="000000" w:themeColor="text1"/>
          <w:szCs w:val="16"/>
        </w:rPr>
        <w:t xml:space="preserve">Describe the results of the State’s examination of the data for the year before the reporting year (e.g., for the FFY 2024 SPP/APR, use data from 2023-2024), including data disaggregated by race and ethnicity to determine if significant discrepancies, as defined by the State, are occurring in the rates of long-term suspensions and expulsions </w:t>
      </w:r>
      <w:r w:rsidR="00B315F0" w:rsidRPr="00781112">
        <w:rPr>
          <w:rFonts w:cs="Arial"/>
          <w:szCs w:val="16"/>
        </w:rPr>
        <w:t xml:space="preserve">(more than 10 days during the school year) </w:t>
      </w:r>
      <w:r w:rsidRPr="00781112">
        <w:rPr>
          <w:rFonts w:cs="Arial"/>
          <w:color w:val="000000" w:themeColor="text1"/>
          <w:szCs w:val="16"/>
        </w:rPr>
        <w:t>of children with IEPs, as required at 20 U.S.C. 1412(a)(22). The State’s examination must include one of the following comparisons</w:t>
      </w:r>
      <w:r w:rsidR="007D116C" w:rsidRPr="00781112">
        <w:rPr>
          <w:rFonts w:cs="Arial"/>
          <w:color w:val="000000" w:themeColor="text1"/>
          <w:szCs w:val="16"/>
        </w:rPr>
        <w:t>:</w:t>
      </w:r>
    </w:p>
    <w:p w14:paraId="4D5E34C1" w14:textId="77777777" w:rsidR="00413366" w:rsidRPr="00781112" w:rsidRDefault="00515E61" w:rsidP="006A01BD">
      <w:pPr>
        <w:ind w:firstLine="720"/>
        <w:rPr>
          <w:rFonts w:cs="Arial"/>
          <w:color w:val="000000" w:themeColor="text1"/>
          <w:szCs w:val="16"/>
        </w:rPr>
      </w:pPr>
      <w:r w:rsidRPr="00781112">
        <w:rPr>
          <w:rFonts w:cs="Arial"/>
          <w:color w:val="000000" w:themeColor="text1"/>
          <w:szCs w:val="16"/>
        </w:rPr>
        <w:t>-- Option 1: The rates of suspensions and expulsions for children with IEPs among LEAs within the State; or</w:t>
      </w:r>
    </w:p>
    <w:p w14:paraId="321AC155" w14:textId="77777777" w:rsidR="00413366" w:rsidRPr="00781112" w:rsidRDefault="00515E61" w:rsidP="00BA3DBE">
      <w:pPr>
        <w:ind w:left="720"/>
        <w:rPr>
          <w:rFonts w:cs="Arial"/>
          <w:color w:val="000000" w:themeColor="text1"/>
          <w:szCs w:val="16"/>
        </w:rPr>
      </w:pPr>
      <w:r w:rsidRPr="00781112">
        <w:rPr>
          <w:rFonts w:cs="Arial"/>
          <w:color w:val="000000" w:themeColor="text1"/>
          <w:szCs w:val="16"/>
        </w:rPr>
        <w:t xml:space="preserve">-- Option 2: The rates of suspensions and expulsions for children with IEPs to </w:t>
      </w:r>
      <w:bookmarkStart w:id="32" w:name="_Hlk150863741"/>
      <w:r w:rsidR="00FC69E3">
        <w:rPr>
          <w:rFonts w:cs="Arial"/>
          <w:color w:val="000000" w:themeColor="text1"/>
          <w:szCs w:val="16"/>
        </w:rPr>
        <w:t xml:space="preserve">the rates of suspensions and expulsions for </w:t>
      </w:r>
      <w:bookmarkEnd w:id="32"/>
      <w:r w:rsidRPr="00781112">
        <w:rPr>
          <w:rFonts w:cs="Arial"/>
          <w:color w:val="000000" w:themeColor="text1"/>
          <w:szCs w:val="16"/>
        </w:rPr>
        <w:t>nondisabled children within the LEAs</w:t>
      </w:r>
    </w:p>
    <w:p w14:paraId="47779EF6" w14:textId="77777777" w:rsidR="00413366" w:rsidRPr="00781112" w:rsidRDefault="00413366" w:rsidP="00BB7BC9">
      <w:pPr>
        <w:rPr>
          <w:rFonts w:cs="Arial"/>
          <w:color w:val="000000" w:themeColor="text1"/>
          <w:szCs w:val="16"/>
        </w:rPr>
      </w:pPr>
      <w:r w:rsidRPr="00781112">
        <w:rPr>
          <w:rFonts w:cs="Arial"/>
          <w:color w:val="000000" w:themeColor="text1"/>
          <w:szCs w:val="16"/>
        </w:rPr>
        <w:t>In the description, specify which method the State used to determine possible discrepancies and explain what constitutes those discrepancies.</w:t>
      </w:r>
    </w:p>
    <w:p w14:paraId="531A2F57" w14:textId="77777777" w:rsidR="00E52C16" w:rsidRPr="00CF3FE6" w:rsidRDefault="00E52C16" w:rsidP="00E52C16">
      <w:pPr>
        <w:rPr>
          <w:rFonts w:cs="Arial"/>
          <w:szCs w:val="16"/>
        </w:rPr>
      </w:pPr>
      <w:r>
        <w:rPr>
          <w:rFonts w:cs="Arial"/>
          <w:szCs w:val="16"/>
        </w:rPr>
        <w:t xml:space="preserve">If, under Option 1, the State uses a State-level long-term suspension and expulsion rate for children with disabilities to compare to LEA-level long-term suspension and expulsion rates for the purpose of determining whether an LEA has a significant discrepancy, by race and ethnicity, the State must provide the State-level long-term suspension and expulsion rate used in its methodology (e.g., if a State has defined significant discrepancy to exist for an LEA whose long-term suspension/expulsion rate exceeds 2 percentage points above the State-level rate of 0.7%, the State must provide OSEP with the State-level rate of 0.7%). </w:t>
      </w:r>
    </w:p>
    <w:p w14:paraId="2E96ECA1" w14:textId="77777777" w:rsidR="00C82B08" w:rsidRDefault="00E52C16" w:rsidP="00474DB4">
      <w:pPr>
        <w:rPr>
          <w:rFonts w:cs="Arial"/>
          <w:szCs w:val="16"/>
        </w:rPr>
      </w:pPr>
      <w:r w:rsidRPr="00CF3FE6">
        <w:rPr>
          <w:rFonts w:cs="Arial"/>
          <w:szCs w:val="16"/>
        </w:rPr>
        <w:t>If, under Option 2, the State uses a rate difference to compare the rates of long-term suspensions and expulsions for children with IEPs, by race and ethnicity, to the rates of long-term suspensions and expulsions for nondisabled children within the LEA, the State must provide the State-selected rate difference used in its methodology (e.g., if a State has defined significant discrepancy to exist for an LEA whose rate of long-term suspensions and expulsions for children with IEPs, by race and ethnicity, is 4 percentage points above the long-term suspension/expulsion rate for nondisabled children, the State must provide OSEP with the rate difference of 4 percentage points). Similarly, if, under Option 2, the State uses a rate ratio to compare the rates of long-term suspensions and expulsions for children with IEPs, by race and ethnicity, to the rates of long-term suspensions and expulsions for nondisabled children within the LEA, the State must provide the State-selected rate ratio used in its methodology (e.g., if a State has defined significant discrepancy to exist for an LEA whose ratio of its long-term suspensions and expulsions rate for children with IEPs, by race and ethnicity, to long-term suspensions and expulsions rate for nondisabled children is greater than 3.0, the State must provide OSEP with the rate ratio of 3.0).</w:t>
      </w:r>
    </w:p>
    <w:p w14:paraId="6F00B606" w14:textId="77777777" w:rsidR="00474DB4" w:rsidRPr="00781112" w:rsidRDefault="00474DB4" w:rsidP="00474DB4">
      <w:pPr>
        <w:rPr>
          <w:rFonts w:cs="Arial"/>
          <w:szCs w:val="16"/>
        </w:rPr>
      </w:pPr>
      <w:r w:rsidRPr="00781112">
        <w:rPr>
          <w:rFonts w:cs="Arial"/>
          <w:szCs w:val="16"/>
        </w:rPr>
        <w:t>Because the Measurement Table requires that the data examined for this indicator are lag year data, States should examine the section 618 data that was submitted by LEAs that were in operation during the school year before the reporting year. For example, if a State has 100 LEAs operating in the 2023-2024 school year, those 100 LEAs would have reported section 618 data in 2023-2024 on the number of children suspended/expelled. If the State then opens 15 new LEAs in 2024-2025, suspension/expulsion data from those 15 new LEAs would not be in the 2023-2024 section 618 data set, and therefore, those 15 new LEAs should not be included in the denominator of the calculation. States must use the number of LEAs from the year before the reporting year in its calculation for this indicator. For the FFY 2023 SPP/APR submission, States must use the number of LEAs reported in 2023-2024 (which can be found in the FFY 2023 SPP/APR introduction).</w:t>
      </w:r>
    </w:p>
    <w:p w14:paraId="095406B5" w14:textId="77777777" w:rsidR="00413366" w:rsidRPr="00781112" w:rsidRDefault="00413366" w:rsidP="00BB7BC9">
      <w:pPr>
        <w:rPr>
          <w:rFonts w:cs="Arial"/>
          <w:color w:val="000000" w:themeColor="text1"/>
          <w:szCs w:val="16"/>
        </w:rPr>
      </w:pPr>
      <w:r w:rsidRPr="00781112">
        <w:rPr>
          <w:rFonts w:cs="Arial"/>
          <w:color w:val="000000" w:themeColor="text1"/>
          <w:szCs w:val="16"/>
        </w:rPr>
        <w:t>Indicator 4B: Provide the following: (a) the number of LEAs that met the State-established n and/or cell size (if applicable) for one or more racial/ethnic groups that have a significant discrepancy, as defined by the State, by race or ethnicity, in the rates of long-term suspensions and expulsions (more than 10 days during the school year) for children with IEPs; and (b) the number of those LEAs in which policies, procedures or practices contribute to the significant discrepancy, as defined by the State, and do not comply with requirements relating to the development and implementation of IEPs, the use of positive behavioral interventions and supports, and procedural safeguards.</w:t>
      </w:r>
    </w:p>
    <w:p w14:paraId="77921169" w14:textId="77777777" w:rsidR="00413366" w:rsidRPr="00781112" w:rsidRDefault="00413366" w:rsidP="00BB7BC9">
      <w:pPr>
        <w:rPr>
          <w:rFonts w:cs="Arial"/>
          <w:color w:val="000000" w:themeColor="text1"/>
          <w:szCs w:val="16"/>
        </w:rPr>
      </w:pPr>
      <w:r w:rsidRPr="00781112">
        <w:rPr>
          <w:rFonts w:cs="Arial"/>
          <w:color w:val="000000" w:themeColor="text1"/>
          <w:szCs w:val="16"/>
        </w:rPr>
        <w:lastRenderedPageBreak/>
        <w:t xml:space="preserve">Provide detailed information about the timely correction of noncompliance as noted in OSEP’s response for the previous SPP/APR. If discrepancies occurred and the LEA with discrepancies had policies, procedures or practices that contributed to the significant discrepancy, </w:t>
      </w:r>
      <w:r w:rsidR="00844FD2" w:rsidRPr="00781112">
        <w:rPr>
          <w:rFonts w:cs="Arial"/>
          <w:szCs w:val="16"/>
        </w:rPr>
        <w:t>as defined by the State,</w:t>
      </w:r>
      <w:r w:rsidR="005440A4" w:rsidRPr="00781112">
        <w:rPr>
          <w:rFonts w:cs="Arial"/>
          <w:szCs w:val="16"/>
        </w:rPr>
        <w:t xml:space="preserve"> </w:t>
      </w:r>
      <w:r w:rsidRPr="00781112">
        <w:rPr>
          <w:rFonts w:cs="Arial"/>
          <w:color w:val="000000" w:themeColor="text1"/>
          <w:szCs w:val="16"/>
        </w:rPr>
        <w:t>and that do not comply with requirements relating to the development and implementation of IEPs, the use of positive behavioral interventions and supports, and procedural safeguards, describe how the State ensured that such policies, procedures, and practices were revised to comply with applicable requirements consistent with OSEP</w:t>
      </w:r>
      <w:r w:rsidR="004D1797">
        <w:rPr>
          <w:rFonts w:cs="Arial"/>
          <w:color w:val="000000" w:themeColor="text1"/>
          <w:szCs w:val="16"/>
        </w:rPr>
        <w:t xml:space="preserve"> </w:t>
      </w:r>
      <w:r w:rsidR="00E52C16">
        <w:rPr>
          <w:rFonts w:cs="Arial"/>
          <w:bCs/>
          <w:color w:val="000000" w:themeColor="text1"/>
          <w:szCs w:val="16"/>
        </w:rPr>
        <w:t>Memorandum</w:t>
      </w:r>
      <w:r w:rsidR="00E52C16" w:rsidRPr="00BA3DBE">
        <w:rPr>
          <w:rFonts w:cs="Arial"/>
          <w:bCs/>
          <w:color w:val="000000" w:themeColor="text1"/>
          <w:szCs w:val="16"/>
        </w:rPr>
        <w:t xml:space="preserve"> </w:t>
      </w:r>
      <w:r w:rsidR="004D1797" w:rsidRPr="00BA3DBE">
        <w:rPr>
          <w:rFonts w:cs="Arial"/>
          <w:bCs/>
          <w:color w:val="000000" w:themeColor="text1"/>
          <w:szCs w:val="16"/>
        </w:rPr>
        <w:t>23-01, dated July</w:t>
      </w:r>
      <w:r w:rsidR="00CB1DB3">
        <w:rPr>
          <w:rFonts w:cs="Arial"/>
          <w:bCs/>
          <w:color w:val="000000" w:themeColor="text1"/>
          <w:szCs w:val="16"/>
        </w:rPr>
        <w:t xml:space="preserve"> 24, 2023</w:t>
      </w:r>
      <w:r w:rsidRPr="00781112">
        <w:rPr>
          <w:rFonts w:cs="Arial"/>
          <w:color w:val="000000" w:themeColor="text1"/>
          <w:szCs w:val="16"/>
        </w:rPr>
        <w:t>.</w:t>
      </w:r>
    </w:p>
    <w:p w14:paraId="39B2EA2C" w14:textId="77777777" w:rsidR="00413366" w:rsidRPr="00781112" w:rsidRDefault="00413366" w:rsidP="00BB7BC9">
      <w:pPr>
        <w:rPr>
          <w:rFonts w:cs="Arial"/>
          <w:color w:val="000000" w:themeColor="text1"/>
          <w:szCs w:val="16"/>
        </w:rPr>
      </w:pPr>
      <w:r w:rsidRPr="00781112">
        <w:rPr>
          <w:rFonts w:cs="Arial"/>
          <w:color w:val="000000" w:themeColor="text1"/>
          <w:szCs w:val="16"/>
        </w:rPr>
        <w:t>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1FCE6BBC" w14:textId="77777777" w:rsidR="00413366" w:rsidRDefault="0016730D" w:rsidP="00BB7BC9">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2024 SPP/APR, the data for FFY 2023), and the State did not identify any findings of noncompliance, provide an explanation of why the State did not identify any findings of noncompliance.</w:t>
      </w:r>
    </w:p>
    <w:p w14:paraId="4D07C54A" w14:textId="77777777" w:rsidR="00655489" w:rsidRPr="00FE4611" w:rsidRDefault="006C66B1" w:rsidP="00655489">
      <w:pPr>
        <w:rPr>
          <w:rFonts w:cs="Arial"/>
          <w:szCs w:val="16"/>
        </w:rPr>
      </w:pPr>
      <w:r>
        <w:rPr>
          <w:rFonts w:cs="Arial"/>
          <w:szCs w:val="16"/>
        </w:rPr>
        <w:t>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3E28985A" w14:textId="77777777" w:rsidR="00413366" w:rsidRPr="00781112" w:rsidRDefault="00413366" w:rsidP="00BB7BC9">
      <w:pPr>
        <w:rPr>
          <w:rFonts w:cs="Arial"/>
          <w:color w:val="000000" w:themeColor="text1"/>
          <w:szCs w:val="16"/>
        </w:rPr>
      </w:pPr>
      <w:r w:rsidRPr="00781112">
        <w:rPr>
          <w:rFonts w:cs="Arial"/>
          <w:color w:val="000000" w:themeColor="text1"/>
          <w:szCs w:val="16"/>
        </w:rPr>
        <w:t>Targets must be 0% for 4B.</w:t>
      </w:r>
    </w:p>
    <w:p w14:paraId="366980D3" w14:textId="77777777" w:rsidR="00D90B7C" w:rsidRPr="00781112" w:rsidRDefault="00D11730" w:rsidP="008645AD">
      <w:pPr>
        <w:pStyle w:val="Heading2"/>
      </w:pPr>
      <w:r w:rsidRPr="00781112">
        <w:t>4B</w:t>
      </w:r>
      <w:r w:rsidR="00E90DE9" w:rsidRPr="00781112">
        <w:t xml:space="preserve"> </w:t>
      </w:r>
      <w:r w:rsidRPr="00781112">
        <w:t xml:space="preserve">- </w:t>
      </w:r>
      <w:r w:rsidR="00D90B7C" w:rsidRPr="00781112">
        <w:t>Indicator Data</w:t>
      </w:r>
    </w:p>
    <w:p w14:paraId="087FE71D" w14:textId="77777777" w:rsidR="0091098C" w:rsidRPr="00781112" w:rsidRDefault="0091098C" w:rsidP="004369B2">
      <w:pPr>
        <w:rPr>
          <w:color w:val="000000" w:themeColor="text1"/>
        </w:rPr>
      </w:pPr>
    </w:p>
    <w:p w14:paraId="2DD1E973" w14:textId="77777777" w:rsidR="00CA0009" w:rsidRPr="00781112" w:rsidRDefault="0091098C" w:rsidP="004369B2">
      <w:pPr>
        <w:rPr>
          <w:color w:val="000000" w:themeColor="text1"/>
        </w:rPr>
      </w:pPr>
      <w:r w:rsidRPr="00781112">
        <w:rPr>
          <w:b/>
          <w:color w:val="000000" w:themeColor="text1"/>
        </w:rPr>
        <w:t>Not Applicable</w:t>
      </w:r>
    </w:p>
    <w:p w14:paraId="68F5B72B" w14:textId="77777777" w:rsidR="00F9524E" w:rsidRPr="00781112" w:rsidRDefault="00C144E3" w:rsidP="004369B2">
      <w:pPr>
        <w:rPr>
          <w:b/>
          <w:color w:val="000000" w:themeColor="text1"/>
        </w:rPr>
      </w:pPr>
      <w:r w:rsidRPr="00781112">
        <w:rPr>
          <w:b/>
          <w:color w:val="000000" w:themeColor="text1"/>
        </w:rPr>
        <w:t>Select yes if this indicator is not applicable.</w:t>
      </w:r>
    </w:p>
    <w:p w14:paraId="3580D705" w14:textId="77777777" w:rsidR="00F85593" w:rsidRPr="00781112" w:rsidRDefault="00F85593" w:rsidP="004369B2">
      <w:pPr>
        <w:rPr>
          <w:rFonts w:cs="Arial"/>
          <w:color w:val="000000" w:themeColor="text1"/>
          <w:szCs w:val="16"/>
        </w:rPr>
      </w:pPr>
      <w:r w:rsidRPr="00781112">
        <w:rPr>
          <w:rFonts w:cs="Arial"/>
          <w:color w:val="000000" w:themeColor="text1"/>
          <w:szCs w:val="16"/>
        </w:rPr>
        <w:t>NO</w:t>
      </w:r>
    </w:p>
    <w:p w14:paraId="2AC5B1F6" w14:textId="77777777" w:rsidR="00CF0A73" w:rsidRPr="00781112" w:rsidRDefault="00CF0A73" w:rsidP="004369B2">
      <w:pPr>
        <w:rPr>
          <w:color w:val="000000" w:themeColor="text1"/>
        </w:rPr>
      </w:pPr>
    </w:p>
    <w:p w14:paraId="7D48E75B" w14:textId="77777777" w:rsidR="00BB7BC9" w:rsidRPr="00781112" w:rsidRDefault="00BB7BC9" w:rsidP="004369B2">
      <w:pPr>
        <w:rPr>
          <w:b/>
          <w:color w:val="000000" w:themeColor="text1"/>
        </w:rPr>
      </w:pPr>
      <w:r w:rsidRPr="00781112">
        <w:rPr>
          <w:b/>
          <w:color w:val="000000" w:themeColor="text1"/>
        </w:rPr>
        <w:t>Historical Data</w:t>
      </w:r>
    </w:p>
    <w:tbl>
      <w:tblPr>
        <w:tblStyle w:val="TableGrid"/>
        <w:tblW w:w="0" w:type="auto"/>
        <w:tblLook w:val="04A0" w:firstRow="1" w:lastRow="0" w:firstColumn="1" w:lastColumn="0" w:noHBand="0" w:noVBand="1"/>
        <w:tblCaption w:val="B04BBASELINEDATA"/>
      </w:tblPr>
      <w:tblGrid>
        <w:gridCol w:w="2562"/>
        <w:gridCol w:w="2563"/>
      </w:tblGrid>
      <w:tr w:rsidR="001F64DB" w:rsidRPr="00781112" w14:paraId="51D0FA84" w14:textId="77777777" w:rsidTr="00123D76">
        <w:trPr>
          <w:trHeight w:val="311"/>
          <w:tblHeader/>
        </w:trPr>
        <w:tc>
          <w:tcPr>
            <w:tcW w:w="2562" w:type="dxa"/>
          </w:tcPr>
          <w:p w14:paraId="70E088B7" w14:textId="77777777" w:rsidR="001F64DB" w:rsidRPr="00781112" w:rsidRDefault="001F64DB" w:rsidP="00123D76">
            <w:pPr>
              <w:jc w:val="center"/>
              <w:rPr>
                <w:b/>
                <w:color w:val="000000" w:themeColor="text1"/>
              </w:rPr>
            </w:pPr>
            <w:r w:rsidRPr="00781112">
              <w:rPr>
                <w:rFonts w:cs="Arial"/>
                <w:b/>
                <w:color w:val="000000" w:themeColor="text1"/>
                <w:szCs w:val="16"/>
              </w:rPr>
              <w:t>Baseline Year</w:t>
            </w:r>
          </w:p>
        </w:tc>
        <w:tc>
          <w:tcPr>
            <w:tcW w:w="2563" w:type="dxa"/>
          </w:tcPr>
          <w:p w14:paraId="70E9BBA7" w14:textId="77777777" w:rsidR="001F64DB" w:rsidRPr="00781112" w:rsidRDefault="001F64DB" w:rsidP="00123D76">
            <w:pPr>
              <w:jc w:val="center"/>
              <w:rPr>
                <w:b/>
                <w:color w:val="000000" w:themeColor="text1"/>
              </w:rPr>
            </w:pPr>
            <w:r w:rsidRPr="00781112">
              <w:rPr>
                <w:b/>
                <w:color w:val="000000" w:themeColor="text1"/>
              </w:rPr>
              <w:t>Baseline Data</w:t>
            </w:r>
          </w:p>
        </w:tc>
      </w:tr>
      <w:tr w:rsidR="001F64DB" w:rsidRPr="00781112" w14:paraId="04E7176C" w14:textId="77777777" w:rsidTr="00123D76">
        <w:trPr>
          <w:trHeight w:val="311"/>
        </w:trPr>
        <w:tc>
          <w:tcPr>
            <w:tcW w:w="2562" w:type="dxa"/>
            <w:vAlign w:val="center"/>
          </w:tcPr>
          <w:p w14:paraId="592775BD" w14:textId="77777777" w:rsidR="001F64DB" w:rsidRPr="00781112" w:rsidRDefault="001F64DB" w:rsidP="00123D76">
            <w:pPr>
              <w:jc w:val="center"/>
              <w:rPr>
                <w:b/>
                <w:color w:val="000000" w:themeColor="text1"/>
              </w:rPr>
            </w:pPr>
            <w:r w:rsidRPr="00781112">
              <w:rPr>
                <w:rFonts w:cs="Arial"/>
                <w:color w:val="000000" w:themeColor="text1"/>
                <w:szCs w:val="16"/>
              </w:rPr>
              <w:t>2023</w:t>
            </w:r>
          </w:p>
        </w:tc>
        <w:tc>
          <w:tcPr>
            <w:tcW w:w="2563" w:type="dxa"/>
            <w:vAlign w:val="center"/>
          </w:tcPr>
          <w:p w14:paraId="59DCC10E" w14:textId="77777777" w:rsidR="001F64DB" w:rsidRPr="00781112" w:rsidRDefault="001F64DB" w:rsidP="00123D76">
            <w:pPr>
              <w:jc w:val="center"/>
              <w:rPr>
                <w:b/>
                <w:color w:val="000000" w:themeColor="text1"/>
              </w:rPr>
            </w:pPr>
            <w:r w:rsidRPr="00781112">
              <w:rPr>
                <w:rFonts w:cs="Arial"/>
                <w:color w:val="000000" w:themeColor="text1"/>
                <w:szCs w:val="16"/>
              </w:rPr>
              <w:t>9.84%</w:t>
            </w:r>
          </w:p>
        </w:tc>
      </w:tr>
    </w:tbl>
    <w:p w14:paraId="307A3BD7" w14:textId="77777777" w:rsidR="001F64DB" w:rsidRPr="00781112" w:rsidRDefault="001F64DB"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BHISTDATA"/>
      </w:tblPr>
      <w:tblGrid>
        <w:gridCol w:w="1798"/>
        <w:gridCol w:w="1798"/>
        <w:gridCol w:w="1798"/>
        <w:gridCol w:w="1798"/>
        <w:gridCol w:w="1798"/>
        <w:gridCol w:w="1800"/>
      </w:tblGrid>
      <w:tr w:rsidR="005C29F8" w:rsidRPr="00781112" w14:paraId="3CC6D476" w14:textId="77777777" w:rsidTr="00F90636">
        <w:trPr>
          <w:trHeight w:val="350"/>
        </w:trPr>
        <w:tc>
          <w:tcPr>
            <w:tcW w:w="833" w:type="pct"/>
            <w:tcBorders>
              <w:bottom w:val="single" w:sz="4" w:space="0" w:color="auto"/>
            </w:tcBorders>
          </w:tcPr>
          <w:p w14:paraId="5C566405" w14:textId="77777777" w:rsidR="00BB7BC9" w:rsidRPr="00781112" w:rsidRDefault="00BB7BC9" w:rsidP="004369B2">
            <w:pPr>
              <w:jc w:val="center"/>
              <w:rPr>
                <w:b/>
                <w:color w:val="000000" w:themeColor="text1"/>
              </w:rPr>
            </w:pPr>
            <w:r w:rsidRPr="00781112">
              <w:rPr>
                <w:b/>
                <w:color w:val="000000" w:themeColor="text1"/>
              </w:rPr>
              <w:t>FFY</w:t>
            </w:r>
          </w:p>
        </w:tc>
        <w:tc>
          <w:tcPr>
            <w:tcW w:w="833" w:type="pct"/>
          </w:tcPr>
          <w:p w14:paraId="79480781" w14:textId="77777777" w:rsidR="00BB7BC9" w:rsidRPr="00781112" w:rsidRDefault="002B7490">
            <w:pPr>
              <w:jc w:val="center"/>
              <w:rPr>
                <w:b/>
                <w:color w:val="000000" w:themeColor="text1"/>
              </w:rPr>
            </w:pPr>
            <w:r w:rsidRPr="00781112">
              <w:rPr>
                <w:b/>
                <w:color w:val="000000" w:themeColor="text1"/>
              </w:rPr>
              <w:t>2019</w:t>
            </w:r>
          </w:p>
        </w:tc>
        <w:tc>
          <w:tcPr>
            <w:tcW w:w="833" w:type="pct"/>
          </w:tcPr>
          <w:p w14:paraId="5B54CB16" w14:textId="77777777" w:rsidR="00BB7BC9" w:rsidRPr="00781112" w:rsidRDefault="002B7490">
            <w:pPr>
              <w:jc w:val="center"/>
              <w:rPr>
                <w:b/>
                <w:color w:val="000000" w:themeColor="text1"/>
              </w:rPr>
            </w:pPr>
            <w:r w:rsidRPr="00781112">
              <w:rPr>
                <w:b/>
                <w:color w:val="000000" w:themeColor="text1"/>
              </w:rPr>
              <w:t>2020</w:t>
            </w:r>
          </w:p>
        </w:tc>
        <w:tc>
          <w:tcPr>
            <w:tcW w:w="833" w:type="pct"/>
          </w:tcPr>
          <w:p w14:paraId="5EFFE222" w14:textId="77777777" w:rsidR="00BB7BC9" w:rsidRPr="00781112" w:rsidRDefault="002B7490">
            <w:pPr>
              <w:jc w:val="center"/>
              <w:rPr>
                <w:b/>
                <w:color w:val="000000" w:themeColor="text1"/>
              </w:rPr>
            </w:pPr>
            <w:r w:rsidRPr="00781112">
              <w:rPr>
                <w:b/>
                <w:color w:val="000000" w:themeColor="text1"/>
              </w:rPr>
              <w:t>2021</w:t>
            </w:r>
          </w:p>
        </w:tc>
        <w:tc>
          <w:tcPr>
            <w:tcW w:w="833" w:type="pct"/>
          </w:tcPr>
          <w:p w14:paraId="199315B6" w14:textId="77777777" w:rsidR="00BB7BC9" w:rsidRPr="00781112" w:rsidRDefault="002B7490">
            <w:pPr>
              <w:jc w:val="center"/>
              <w:rPr>
                <w:b/>
                <w:color w:val="000000" w:themeColor="text1"/>
              </w:rPr>
            </w:pPr>
            <w:r w:rsidRPr="00781112">
              <w:rPr>
                <w:b/>
                <w:color w:val="000000" w:themeColor="text1"/>
              </w:rPr>
              <w:t>2022</w:t>
            </w:r>
          </w:p>
        </w:tc>
        <w:tc>
          <w:tcPr>
            <w:tcW w:w="834" w:type="pct"/>
          </w:tcPr>
          <w:p w14:paraId="3AB4950D" w14:textId="77777777" w:rsidR="00BB7BC9" w:rsidRPr="00781112" w:rsidRDefault="002B7490">
            <w:pPr>
              <w:jc w:val="center"/>
              <w:rPr>
                <w:b/>
                <w:color w:val="000000" w:themeColor="text1"/>
              </w:rPr>
            </w:pPr>
            <w:r w:rsidRPr="00781112">
              <w:rPr>
                <w:b/>
                <w:color w:val="000000" w:themeColor="text1"/>
              </w:rPr>
              <w:t>2023</w:t>
            </w:r>
          </w:p>
        </w:tc>
      </w:tr>
      <w:tr w:rsidR="005C29F8" w:rsidRPr="00781112" w14:paraId="580DD0FB" w14:textId="77777777" w:rsidTr="00F90636">
        <w:trPr>
          <w:trHeight w:val="357"/>
        </w:trPr>
        <w:tc>
          <w:tcPr>
            <w:tcW w:w="833" w:type="pct"/>
            <w:vAlign w:val="center"/>
          </w:tcPr>
          <w:p w14:paraId="32D18A4F" w14:textId="77777777" w:rsidR="00BB7BC9" w:rsidRPr="00781112" w:rsidRDefault="00BB7BC9" w:rsidP="00BA3DBE">
            <w:pPr>
              <w:jc w:val="center"/>
              <w:rPr>
                <w:rFonts w:cs="Arial"/>
                <w:color w:val="000000" w:themeColor="text1"/>
                <w:szCs w:val="16"/>
              </w:rPr>
            </w:pPr>
            <w:r w:rsidRPr="00781112">
              <w:rPr>
                <w:rFonts w:cs="Arial"/>
                <w:color w:val="000000" w:themeColor="text1"/>
                <w:szCs w:val="16"/>
              </w:rPr>
              <w:t>Target</w:t>
            </w:r>
          </w:p>
        </w:tc>
        <w:tc>
          <w:tcPr>
            <w:tcW w:w="833" w:type="pct"/>
            <w:vAlign w:val="center"/>
          </w:tcPr>
          <w:p w14:paraId="2BB3D191" w14:textId="77777777"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vAlign w:val="center"/>
          </w:tcPr>
          <w:p w14:paraId="2C7B6B7D" w14:textId="77777777"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vAlign w:val="center"/>
          </w:tcPr>
          <w:p w14:paraId="15D75CA6" w14:textId="77777777"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vAlign w:val="center"/>
          </w:tcPr>
          <w:p w14:paraId="020A15AA" w14:textId="77777777"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4" w:type="pct"/>
            <w:vAlign w:val="center"/>
          </w:tcPr>
          <w:p w14:paraId="57EDC790" w14:textId="77777777" w:rsidR="00BB7BC9" w:rsidRPr="00781112" w:rsidRDefault="00BA56C8">
            <w:pPr>
              <w:jc w:val="center"/>
              <w:rPr>
                <w:rFonts w:cs="Arial"/>
                <w:color w:val="000000" w:themeColor="text1"/>
                <w:szCs w:val="16"/>
              </w:rPr>
            </w:pPr>
            <w:r w:rsidRPr="00781112">
              <w:rPr>
                <w:rFonts w:cs="Arial"/>
                <w:color w:val="000000" w:themeColor="text1"/>
                <w:szCs w:val="16"/>
              </w:rPr>
              <w:t>0%</w:t>
            </w:r>
          </w:p>
        </w:tc>
      </w:tr>
      <w:tr w:rsidR="005C29F8" w:rsidRPr="00781112" w14:paraId="124C741C" w14:textId="77777777" w:rsidTr="00F90636">
        <w:trPr>
          <w:trHeight w:val="85"/>
        </w:trPr>
        <w:tc>
          <w:tcPr>
            <w:tcW w:w="833" w:type="pct"/>
            <w:vAlign w:val="center"/>
          </w:tcPr>
          <w:p w14:paraId="25170CB8" w14:textId="77777777" w:rsidR="00BB7BC9" w:rsidRPr="00781112" w:rsidRDefault="00BB7BC9" w:rsidP="00BA3DBE">
            <w:pPr>
              <w:jc w:val="center"/>
              <w:rPr>
                <w:rFonts w:cs="Arial"/>
                <w:color w:val="000000" w:themeColor="text1"/>
                <w:szCs w:val="16"/>
              </w:rPr>
            </w:pPr>
            <w:r w:rsidRPr="00781112">
              <w:rPr>
                <w:rFonts w:cs="Arial"/>
                <w:color w:val="000000" w:themeColor="text1"/>
                <w:szCs w:val="16"/>
              </w:rPr>
              <w:t>Data</w:t>
            </w:r>
          </w:p>
        </w:tc>
        <w:tc>
          <w:tcPr>
            <w:tcW w:w="833" w:type="pct"/>
            <w:vAlign w:val="center"/>
          </w:tcPr>
          <w:p w14:paraId="004FB907" w14:textId="77777777" w:rsidR="00BB7BC9" w:rsidRPr="00781112" w:rsidRDefault="002B7490" w:rsidP="00A018D4">
            <w:pPr>
              <w:jc w:val="center"/>
              <w:rPr>
                <w:rFonts w:cs="Arial"/>
                <w:color w:val="000000" w:themeColor="text1"/>
                <w:szCs w:val="16"/>
              </w:rPr>
            </w:pPr>
            <w:r w:rsidRPr="00781112">
              <w:rPr>
                <w:rFonts w:cs="Arial"/>
                <w:color w:val="000000" w:themeColor="text1"/>
                <w:szCs w:val="16"/>
              </w:rPr>
              <w:t>3.51%</w:t>
            </w:r>
          </w:p>
        </w:tc>
        <w:tc>
          <w:tcPr>
            <w:tcW w:w="833" w:type="pct"/>
            <w:vAlign w:val="center"/>
          </w:tcPr>
          <w:p w14:paraId="0D79EE47" w14:textId="77777777" w:rsidR="00BB7BC9" w:rsidRPr="00781112" w:rsidRDefault="002B7490" w:rsidP="00A018D4">
            <w:pPr>
              <w:jc w:val="center"/>
              <w:rPr>
                <w:rFonts w:cs="Arial"/>
                <w:color w:val="000000" w:themeColor="text1"/>
                <w:szCs w:val="16"/>
              </w:rPr>
            </w:pPr>
            <w:r w:rsidRPr="00781112">
              <w:rPr>
                <w:rFonts w:cs="Arial"/>
                <w:color w:val="000000" w:themeColor="text1"/>
                <w:szCs w:val="16"/>
              </w:rPr>
              <w:t>5.26%</w:t>
            </w:r>
          </w:p>
        </w:tc>
        <w:tc>
          <w:tcPr>
            <w:tcW w:w="833" w:type="pct"/>
            <w:tcBorders>
              <w:bottom w:val="single" w:sz="4" w:space="0" w:color="auto"/>
            </w:tcBorders>
            <w:vAlign w:val="center"/>
          </w:tcPr>
          <w:p w14:paraId="19B6DE22" w14:textId="77777777"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vAlign w:val="center"/>
          </w:tcPr>
          <w:p w14:paraId="17747303" w14:textId="77777777" w:rsidR="00BB7BC9" w:rsidRPr="00781112" w:rsidRDefault="002B7490" w:rsidP="00A018D4">
            <w:pPr>
              <w:jc w:val="center"/>
              <w:rPr>
                <w:rFonts w:cs="Arial"/>
                <w:color w:val="000000" w:themeColor="text1"/>
                <w:szCs w:val="16"/>
              </w:rPr>
            </w:pPr>
            <w:r w:rsidRPr="00781112">
              <w:rPr>
                <w:rFonts w:cs="Arial"/>
                <w:color w:val="000000" w:themeColor="text1"/>
                <w:szCs w:val="16"/>
              </w:rPr>
              <w:t>5.88%</w:t>
            </w:r>
          </w:p>
        </w:tc>
        <w:tc>
          <w:tcPr>
            <w:tcW w:w="834" w:type="pct"/>
            <w:tcBorders>
              <w:bottom w:val="single" w:sz="4" w:space="0" w:color="auto"/>
            </w:tcBorders>
            <w:vAlign w:val="center"/>
          </w:tcPr>
          <w:p w14:paraId="696CE9A6" w14:textId="77777777" w:rsidR="00BB7BC9" w:rsidRPr="00781112" w:rsidRDefault="002B7490" w:rsidP="00A018D4">
            <w:pPr>
              <w:jc w:val="center"/>
              <w:rPr>
                <w:rFonts w:cs="Arial"/>
                <w:color w:val="000000" w:themeColor="text1"/>
                <w:szCs w:val="16"/>
              </w:rPr>
            </w:pPr>
            <w:r w:rsidRPr="00781112">
              <w:rPr>
                <w:rFonts w:cs="Arial"/>
                <w:color w:val="000000" w:themeColor="text1"/>
                <w:szCs w:val="16"/>
              </w:rPr>
              <w:t>9.84%</w:t>
            </w:r>
          </w:p>
        </w:tc>
      </w:tr>
    </w:tbl>
    <w:p w14:paraId="1A0F03F5" w14:textId="77777777" w:rsidR="00C15355" w:rsidRPr="00781112" w:rsidRDefault="00C15355" w:rsidP="004369B2">
      <w:pPr>
        <w:rPr>
          <w:color w:val="000000" w:themeColor="text1"/>
        </w:rPr>
      </w:pPr>
    </w:p>
    <w:p w14:paraId="4D1780CE" w14:textId="77777777" w:rsidR="0016730D" w:rsidRPr="00781112" w:rsidRDefault="0016730D" w:rsidP="004369B2">
      <w:pPr>
        <w:rPr>
          <w:color w:val="000000" w:themeColor="text1"/>
        </w:rPr>
      </w:pPr>
      <w:r w:rsidRPr="00781112">
        <w:rPr>
          <w:b/>
          <w:color w:val="000000" w:themeColor="text1"/>
        </w:rPr>
        <w:t>Targets</w:t>
      </w:r>
    </w:p>
    <w:tbl>
      <w:tblPr>
        <w:tblW w:w="27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BTARGETS"/>
      </w:tblPr>
      <w:tblGrid>
        <w:gridCol w:w="680"/>
        <w:gridCol w:w="2573"/>
        <w:gridCol w:w="2751"/>
      </w:tblGrid>
      <w:tr w:rsidR="009D1146" w:rsidRPr="00781112" w14:paraId="3ED5EECC" w14:textId="77777777" w:rsidTr="00924AD9">
        <w:trPr>
          <w:trHeight w:val="325"/>
        </w:trPr>
        <w:tc>
          <w:tcPr>
            <w:tcW w:w="566" w:type="pct"/>
            <w:tcBorders>
              <w:bottom w:val="single" w:sz="4" w:space="0" w:color="auto"/>
            </w:tcBorders>
          </w:tcPr>
          <w:p w14:paraId="19B53E86" w14:textId="77777777" w:rsidR="009D1146" w:rsidRPr="00781112" w:rsidRDefault="009D1146" w:rsidP="00D62058">
            <w:pPr>
              <w:jc w:val="center"/>
              <w:rPr>
                <w:b/>
                <w:color w:val="000000" w:themeColor="text1"/>
              </w:rPr>
            </w:pPr>
            <w:r w:rsidRPr="00781112">
              <w:rPr>
                <w:b/>
                <w:color w:val="000000" w:themeColor="text1"/>
              </w:rPr>
              <w:t>FFY</w:t>
            </w:r>
          </w:p>
        </w:tc>
        <w:tc>
          <w:tcPr>
            <w:tcW w:w="2143" w:type="pct"/>
          </w:tcPr>
          <w:p w14:paraId="592C4C6E" w14:textId="77777777" w:rsidR="009D1146" w:rsidRPr="00781112" w:rsidRDefault="009D1146" w:rsidP="00D62058">
            <w:pPr>
              <w:jc w:val="center"/>
              <w:rPr>
                <w:b/>
                <w:color w:val="000000" w:themeColor="text1"/>
              </w:rPr>
            </w:pPr>
            <w:r w:rsidRPr="00781112">
              <w:rPr>
                <w:b/>
                <w:color w:val="000000" w:themeColor="text1"/>
              </w:rPr>
              <w:t>2024</w:t>
            </w:r>
          </w:p>
        </w:tc>
        <w:tc>
          <w:tcPr>
            <w:tcW w:w="2291" w:type="pct"/>
          </w:tcPr>
          <w:p w14:paraId="137D092E" w14:textId="77777777" w:rsidR="009D1146" w:rsidRPr="00781112" w:rsidRDefault="009D1146" w:rsidP="00D62058">
            <w:pPr>
              <w:jc w:val="center"/>
              <w:rPr>
                <w:b/>
                <w:color w:val="000000" w:themeColor="text1"/>
              </w:rPr>
            </w:pPr>
            <w:r w:rsidRPr="00781112">
              <w:rPr>
                <w:rFonts w:cs="Arial"/>
                <w:b/>
                <w:color w:val="000000" w:themeColor="text1"/>
                <w:szCs w:val="16"/>
              </w:rPr>
              <w:t>2025</w:t>
            </w:r>
          </w:p>
        </w:tc>
      </w:tr>
      <w:tr w:rsidR="009D1146" w:rsidRPr="00781112" w14:paraId="4C91E699" w14:textId="77777777" w:rsidTr="00924AD9">
        <w:trPr>
          <w:trHeight w:val="332"/>
        </w:trPr>
        <w:tc>
          <w:tcPr>
            <w:tcW w:w="566" w:type="pct"/>
            <w:vAlign w:val="center"/>
          </w:tcPr>
          <w:p w14:paraId="3036CDB8" w14:textId="77777777" w:rsidR="009D1146" w:rsidRPr="00781112" w:rsidRDefault="009D1146" w:rsidP="00BA3DBE">
            <w:pPr>
              <w:jc w:val="center"/>
              <w:rPr>
                <w:rFonts w:cs="Arial"/>
                <w:color w:val="000000" w:themeColor="text1"/>
                <w:szCs w:val="16"/>
              </w:rPr>
            </w:pPr>
            <w:r w:rsidRPr="00781112">
              <w:rPr>
                <w:rFonts w:cs="Arial"/>
                <w:color w:val="000000" w:themeColor="text1"/>
                <w:szCs w:val="16"/>
              </w:rPr>
              <w:t>Target</w:t>
            </w:r>
          </w:p>
        </w:tc>
        <w:tc>
          <w:tcPr>
            <w:tcW w:w="2143" w:type="pct"/>
            <w:vAlign w:val="center"/>
          </w:tcPr>
          <w:p w14:paraId="417EDBDE" w14:textId="77777777" w:rsidR="009D1146" w:rsidRPr="00781112" w:rsidRDefault="009D1146" w:rsidP="00D62058">
            <w:pPr>
              <w:jc w:val="center"/>
              <w:rPr>
                <w:rFonts w:cs="Arial"/>
                <w:color w:val="000000" w:themeColor="text1"/>
                <w:szCs w:val="16"/>
              </w:rPr>
            </w:pPr>
            <w:r w:rsidRPr="00781112">
              <w:rPr>
                <w:rFonts w:cs="Arial"/>
                <w:color w:val="000000" w:themeColor="text1"/>
                <w:szCs w:val="16"/>
              </w:rPr>
              <w:t>0%</w:t>
            </w:r>
          </w:p>
        </w:tc>
        <w:tc>
          <w:tcPr>
            <w:tcW w:w="2291" w:type="pct"/>
          </w:tcPr>
          <w:p w14:paraId="3AC5AD30" w14:textId="77777777" w:rsidR="009D1146" w:rsidRPr="00781112" w:rsidRDefault="009D1146" w:rsidP="00D62058">
            <w:pPr>
              <w:jc w:val="center"/>
              <w:rPr>
                <w:rFonts w:cs="Arial"/>
                <w:color w:val="000000" w:themeColor="text1"/>
                <w:szCs w:val="16"/>
              </w:rPr>
            </w:pPr>
            <w:r w:rsidRPr="00781112">
              <w:rPr>
                <w:color w:val="000000" w:themeColor="text1"/>
                <w:szCs w:val="16"/>
              </w:rPr>
              <w:t>0%</w:t>
            </w:r>
          </w:p>
        </w:tc>
      </w:tr>
    </w:tbl>
    <w:p w14:paraId="14486575" w14:textId="77777777" w:rsidR="00C15355" w:rsidRPr="00781112" w:rsidRDefault="00C15355" w:rsidP="004369B2">
      <w:pPr>
        <w:rPr>
          <w:color w:val="000000" w:themeColor="text1"/>
        </w:rPr>
      </w:pPr>
    </w:p>
    <w:bookmarkEnd w:id="30"/>
    <w:bookmarkEnd w:id="31"/>
    <w:p w14:paraId="3869063B" w14:textId="77777777" w:rsidR="00D03701" w:rsidRPr="00781112" w:rsidRDefault="0047313F">
      <w:pPr>
        <w:rPr>
          <w:b/>
          <w:color w:val="000000" w:themeColor="text1"/>
        </w:rPr>
      </w:pPr>
      <w:r>
        <w:rPr>
          <w:b/>
          <w:color w:val="000000" w:themeColor="text1"/>
        </w:rPr>
        <w:t>FFY 2024 SPP/APR Data</w:t>
      </w:r>
    </w:p>
    <w:p w14:paraId="3020DF46" w14:textId="77777777" w:rsidR="00F9524E" w:rsidRPr="00781112" w:rsidRDefault="00F9524E">
      <w:pPr>
        <w:rPr>
          <w:rFonts w:cs="Arial"/>
          <w:b/>
          <w:color w:val="000000" w:themeColor="text1"/>
          <w:szCs w:val="16"/>
        </w:rPr>
      </w:pPr>
      <w:r w:rsidRPr="00781112">
        <w:rPr>
          <w:rFonts w:cs="Arial"/>
          <w:b/>
          <w:color w:val="000000" w:themeColor="text1"/>
          <w:szCs w:val="16"/>
        </w:rPr>
        <w:t>Has the state established a minimum n/cell-size requirement? (yes/no)</w:t>
      </w:r>
    </w:p>
    <w:p w14:paraId="78225219" w14:textId="77777777" w:rsidR="00F9524E" w:rsidRPr="00781112" w:rsidRDefault="00F9524E">
      <w:pPr>
        <w:rPr>
          <w:rFonts w:cs="Arial"/>
          <w:color w:val="000000" w:themeColor="text1"/>
          <w:szCs w:val="16"/>
        </w:rPr>
      </w:pPr>
      <w:r w:rsidRPr="00781112">
        <w:rPr>
          <w:rFonts w:cs="Arial"/>
          <w:color w:val="000000" w:themeColor="text1"/>
          <w:szCs w:val="16"/>
        </w:rPr>
        <w:t>YES</w:t>
      </w:r>
    </w:p>
    <w:p w14:paraId="57B488D5" w14:textId="77777777" w:rsidR="00E52C16" w:rsidRPr="00E52C16" w:rsidRDefault="00E52C16" w:rsidP="00E52C16">
      <w:pPr>
        <w:rPr>
          <w:b/>
          <w:bCs/>
        </w:rPr>
      </w:pPr>
      <w:r w:rsidRPr="00FE4611">
        <w:rPr>
          <w:rFonts w:cs="Arial"/>
          <w:b/>
          <w:bCs/>
          <w:szCs w:val="16"/>
        </w:rPr>
        <w:t>If yes, the State must provide a definition of its minimum n and/or cell size itself and a description thereof (e.g., a State’s n size of 15 represents the number of children with disabilities enrolled in an LEA, and a State’s cell size of 5 represents the number of children with disabilities, by race and ethnicity, who have received out-of-school suspensions and expulsions of more than 10 days within the LEA).</w:t>
      </w:r>
    </w:p>
    <w:p w14:paraId="43F2480B" w14:textId="77777777" w:rsidR="00E52C16" w:rsidRPr="00FE4611" w:rsidRDefault="00E52C16">
      <w:pPr>
        <w:rPr>
          <w:rFonts w:cs="Arial"/>
          <w:color w:val="000000" w:themeColor="text1"/>
          <w:szCs w:val="16"/>
        </w:rPr>
      </w:pPr>
      <w:r w:rsidRPr="00FE4611">
        <w:rPr>
          <w:rFonts w:cs="Arial"/>
          <w:color w:val="000000" w:themeColor="text1"/>
          <w:szCs w:val="16"/>
        </w:rPr>
        <w:t xml:space="preserve">WVDE/OSE’s n-size of 20 represents the minimum number of students with disabilities (SWD) from a given racial/ethnic category enrolled in an LEA to be used as the denominator in significant discrepancy calculations. </w:t>
      </w:r>
    </w:p>
    <w:p w14:paraId="40C2A0B8" w14:textId="77777777" w:rsidR="00CA787A" w:rsidRDefault="00CA787A"/>
    <w:p w14:paraId="059C7AB4" w14:textId="77777777" w:rsidR="00CA787A" w:rsidRDefault="003169E9">
      <w:r>
        <w:rPr>
          <w:color w:val="000000"/>
        </w:rPr>
        <w:t>As reported in FFY 2023, the minimum cell size (i.e., the minimum number of SWDs from a given racial/ethnic category enrolled in an LEA who received out-of-school suspensions/expulsions of more than 10 days to be used as the numerator in significant discrepancy calculations) was removed from the updated methodology.</w:t>
      </w:r>
    </w:p>
    <w:p w14:paraId="5F1C0648" w14:textId="77777777" w:rsidR="00E52C16" w:rsidRPr="00E52C16" w:rsidRDefault="00E52C16" w:rsidP="00E52C16">
      <w:pPr>
        <w:rPr>
          <w:b/>
          <w:bCs/>
        </w:rPr>
      </w:pPr>
      <w:r w:rsidRPr="00FE4611">
        <w:rPr>
          <w:rFonts w:cs="Arial"/>
          <w:b/>
          <w:bCs/>
          <w:szCs w:val="16"/>
        </w:rPr>
        <w:t>If yes, the State must also provide rationales for its minimum n and/or cell size, including why the definitions chosen are reasonable and based on stakeholder input, and how the definitions ensure that the State is appropriately analyzing and identifying LEAs with significant discrepancy.</w:t>
      </w:r>
    </w:p>
    <w:p w14:paraId="5129EF84" w14:textId="77777777" w:rsidR="00F93985" w:rsidRDefault="00E52C16" w:rsidP="00E52C16">
      <w:pPr>
        <w:rPr>
          <w:rFonts w:cs="Arial"/>
          <w:color w:val="000000" w:themeColor="text1"/>
          <w:szCs w:val="16"/>
        </w:rPr>
      </w:pPr>
      <w:r w:rsidRPr="00FE4611">
        <w:rPr>
          <w:rFonts w:cs="Arial"/>
          <w:color w:val="000000" w:themeColor="text1"/>
          <w:szCs w:val="16"/>
        </w:rPr>
        <w:t>The n-size (denominator) of 20 is consistent with WVDE’s minimum n-size for ESEA accountability reporting for subgroups. This ensures that the analysis includes a sufficient number of students to provide reliable data while maintaining consistency with other WV reporting requirements.</w:t>
      </w:r>
    </w:p>
    <w:p w14:paraId="50D6825A" w14:textId="77777777" w:rsidR="00CA787A" w:rsidRDefault="00CA787A"/>
    <w:p w14:paraId="5053AA02" w14:textId="77777777" w:rsidR="00CA787A" w:rsidRDefault="003169E9">
      <w:r>
        <w:rPr>
          <w:color w:val="000000"/>
        </w:rPr>
        <w:t>WVDE/OSE’s significant discrepancy methodology does not include a minimum cell size.</w:t>
      </w:r>
    </w:p>
    <w:p w14:paraId="34ADFD79" w14:textId="77777777" w:rsidR="00E52C16" w:rsidRPr="00FE4611" w:rsidRDefault="00E52C16" w:rsidP="00E52C16">
      <w:pPr>
        <w:rPr>
          <w:rFonts w:cs="Arial"/>
          <w:b/>
          <w:bCs/>
          <w:szCs w:val="16"/>
        </w:rPr>
      </w:pPr>
      <w:r w:rsidRPr="00FE4611">
        <w:rPr>
          <w:rFonts w:cs="Arial"/>
          <w:b/>
          <w:bCs/>
          <w:szCs w:val="16"/>
        </w:rPr>
        <w:t xml:space="preserve">If yes, the State must also indicate whether the minimum n and/or cell size represents a change from the prior SPP/APR reporting period. </w:t>
      </w:r>
    </w:p>
    <w:p w14:paraId="11E1D045" w14:textId="77777777" w:rsidR="00E52C16" w:rsidRPr="00FE4611" w:rsidRDefault="00E52C16">
      <w:pPr>
        <w:rPr>
          <w:rFonts w:cs="Arial"/>
          <w:color w:val="000000" w:themeColor="text1"/>
          <w:szCs w:val="16"/>
        </w:rPr>
      </w:pPr>
      <w:r w:rsidRPr="00FE4611">
        <w:rPr>
          <w:rFonts w:cs="Arial"/>
          <w:color w:val="000000" w:themeColor="text1"/>
          <w:szCs w:val="16"/>
        </w:rPr>
        <w:t>The minimum n-size of 20 does not represent a change from the prior SPP/APR reporting period (i.e., FFY 2023).</w:t>
      </w:r>
    </w:p>
    <w:p w14:paraId="1EFF9B38" w14:textId="77777777" w:rsidR="00E52C16" w:rsidRPr="00E52C16" w:rsidRDefault="00E52C16" w:rsidP="00FE4611">
      <w:pPr>
        <w:rPr>
          <w:b/>
          <w:bCs/>
        </w:rPr>
      </w:pPr>
      <w:r w:rsidRPr="00FE4611">
        <w:rPr>
          <w:rFonts w:cs="Arial"/>
          <w:b/>
          <w:bCs/>
          <w:szCs w:val="16"/>
        </w:rPr>
        <w:t>If yes, the State must provide an explanation why the minimum n and/or cell size was changed.</w:t>
      </w:r>
    </w:p>
    <w:p w14:paraId="4EF27701" w14:textId="77777777" w:rsidR="00E52C16" w:rsidRPr="00FE4611" w:rsidRDefault="00E52C16">
      <w:pPr>
        <w:rPr>
          <w:rFonts w:cs="Arial"/>
          <w:color w:val="000000" w:themeColor="text1"/>
          <w:szCs w:val="16"/>
        </w:rPr>
      </w:pPr>
      <w:r w:rsidRPr="00FE4611">
        <w:rPr>
          <w:rFonts w:cs="Arial"/>
          <w:color w:val="000000" w:themeColor="text1"/>
          <w:szCs w:val="16"/>
        </w:rPr>
        <w:t>The minimum n-size of 20 was not changed from the prior SPP/APR reporting period (i.e., FFY 2023).</w:t>
      </w:r>
    </w:p>
    <w:p w14:paraId="46CC3C07" w14:textId="77777777" w:rsidR="00F9524E" w:rsidRPr="00781112" w:rsidRDefault="00F9524E">
      <w:pPr>
        <w:rPr>
          <w:rFonts w:cs="Arial"/>
          <w:b/>
          <w:color w:val="000000" w:themeColor="text1"/>
          <w:szCs w:val="16"/>
        </w:rPr>
      </w:pPr>
      <w:r w:rsidRPr="00781112">
        <w:rPr>
          <w:rFonts w:cs="Arial"/>
          <w:b/>
          <w:color w:val="000000" w:themeColor="text1"/>
          <w:szCs w:val="16"/>
        </w:rPr>
        <w:t xml:space="preserve">If yes, the State may only include, in both the numerator and the denominator, LEAs that met the State-established n/cell size. </w:t>
      </w:r>
      <w:r w:rsidR="00E52C16" w:rsidRPr="00FE4611">
        <w:rPr>
          <w:rFonts w:cs="Arial"/>
          <w:b/>
          <w:bCs/>
          <w:szCs w:val="16"/>
        </w:rPr>
        <w:t>If the State used a minimum n and/or cell size requirement, report the number of LEAs totally excluded from the calculation as a result of this requirement.</w:t>
      </w:r>
    </w:p>
    <w:p w14:paraId="2427AA24" w14:textId="77777777" w:rsidR="00F9524E" w:rsidRPr="00781112" w:rsidRDefault="00F9524E" w:rsidP="004369B2">
      <w:pPr>
        <w:rPr>
          <w:rFonts w:cs="Arial"/>
          <w:color w:val="000000" w:themeColor="text1"/>
          <w:szCs w:val="16"/>
        </w:rPr>
      </w:pPr>
      <w:r w:rsidRPr="00781112">
        <w:rPr>
          <w:rFonts w:cs="Arial"/>
          <w:color w:val="000000" w:themeColor="text1"/>
          <w:szCs w:val="16"/>
        </w:rPr>
        <w:t>1</w:t>
      </w:r>
    </w:p>
    <w:p w14:paraId="20B6F980" w14:textId="77777777" w:rsidR="0016730D" w:rsidRPr="00781112" w:rsidRDefault="0016730D" w:rsidP="004369B2">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BCFFYAPRDATA"/>
      </w:tblPr>
      <w:tblGrid>
        <w:gridCol w:w="1328"/>
        <w:gridCol w:w="1272"/>
        <w:gridCol w:w="1757"/>
        <w:gridCol w:w="1152"/>
        <w:gridCol w:w="1675"/>
        <w:gridCol w:w="1047"/>
        <w:gridCol w:w="1299"/>
        <w:gridCol w:w="1260"/>
      </w:tblGrid>
      <w:tr w:rsidR="00740CBC" w:rsidRPr="00781112" w14:paraId="3DCF38CA" w14:textId="77777777" w:rsidTr="00EC0EDB">
        <w:trPr>
          <w:trHeight w:val="994"/>
          <w:jc w:val="center"/>
        </w:trPr>
        <w:tc>
          <w:tcPr>
            <w:tcW w:w="615" w:type="pct"/>
            <w:vAlign w:val="bottom"/>
          </w:tcPr>
          <w:p w14:paraId="268E75D9" w14:textId="77777777" w:rsidR="00740CBC" w:rsidRPr="00781112" w:rsidRDefault="00740CBC" w:rsidP="00740CBC">
            <w:pPr>
              <w:jc w:val="center"/>
              <w:rPr>
                <w:rFonts w:cs="Arial"/>
                <w:b/>
                <w:color w:val="000000" w:themeColor="text1"/>
                <w:szCs w:val="16"/>
              </w:rPr>
            </w:pPr>
            <w:r w:rsidRPr="00781112">
              <w:rPr>
                <w:rFonts w:cs="Arial"/>
                <w:b/>
                <w:color w:val="000000" w:themeColor="text1"/>
                <w:szCs w:val="16"/>
              </w:rPr>
              <w:t>Number of LEAs that have a significant discrepancy, by race or ethnicity</w:t>
            </w:r>
          </w:p>
        </w:tc>
        <w:tc>
          <w:tcPr>
            <w:tcW w:w="589" w:type="pct"/>
            <w:vAlign w:val="bottom"/>
          </w:tcPr>
          <w:p w14:paraId="424BD136" w14:textId="77777777" w:rsidR="00740CBC" w:rsidRPr="00781112" w:rsidRDefault="00740CBC" w:rsidP="00740CBC">
            <w:pPr>
              <w:jc w:val="center"/>
              <w:rPr>
                <w:rFonts w:cs="Arial"/>
                <w:b/>
                <w:color w:val="000000" w:themeColor="text1"/>
                <w:szCs w:val="16"/>
              </w:rPr>
            </w:pPr>
            <w:r w:rsidRPr="00781112">
              <w:rPr>
                <w:rFonts w:cs="Arial"/>
                <w:b/>
                <w:color w:val="000000" w:themeColor="text1"/>
                <w:szCs w:val="16"/>
              </w:rPr>
              <w:t>Number of those LEAs that have policies, procedure or practices that contribute to the significant discrepancy and do not comply with requirements</w:t>
            </w:r>
          </w:p>
        </w:tc>
        <w:tc>
          <w:tcPr>
            <w:tcW w:w="814" w:type="pct"/>
            <w:vAlign w:val="bottom"/>
          </w:tcPr>
          <w:p w14:paraId="71A5D41D" w14:textId="77777777" w:rsidR="00740CBC" w:rsidRPr="00781112" w:rsidRDefault="00740CBC" w:rsidP="00740CBC">
            <w:pPr>
              <w:jc w:val="center"/>
              <w:rPr>
                <w:rFonts w:cs="Arial"/>
                <w:b/>
                <w:color w:val="000000" w:themeColor="text1"/>
                <w:szCs w:val="16"/>
              </w:rPr>
            </w:pPr>
            <w:r w:rsidRPr="00781112">
              <w:rPr>
                <w:rFonts w:cs="Arial"/>
                <w:b/>
                <w:color w:val="000000" w:themeColor="text1"/>
                <w:szCs w:val="16"/>
              </w:rPr>
              <w:t>Number of LEAs that met the State's minimum n/cell-size</w:t>
            </w:r>
          </w:p>
        </w:tc>
        <w:tc>
          <w:tcPr>
            <w:tcW w:w="534" w:type="pct"/>
            <w:vAlign w:val="bottom"/>
          </w:tcPr>
          <w:p w14:paraId="01C75207" w14:textId="77777777" w:rsidR="00740CBC" w:rsidRPr="00CC1061" w:rsidRDefault="00740CBC" w:rsidP="00740CBC">
            <w:pPr>
              <w:jc w:val="center"/>
              <w:rPr>
                <w:rFonts w:cs="Arial"/>
                <w:b/>
                <w:bCs/>
                <w:color w:val="000000" w:themeColor="text1"/>
                <w:szCs w:val="16"/>
              </w:rPr>
            </w:pPr>
            <w:r w:rsidRPr="00CC1061">
              <w:rPr>
                <w:b/>
                <w:bCs/>
              </w:rPr>
              <w:t>FFY 2023 Data</w:t>
            </w:r>
          </w:p>
        </w:tc>
        <w:tc>
          <w:tcPr>
            <w:tcW w:w="776" w:type="pct"/>
            <w:vAlign w:val="bottom"/>
          </w:tcPr>
          <w:p w14:paraId="56A282D3" w14:textId="77777777" w:rsidR="00740CBC" w:rsidRPr="00CC1061" w:rsidRDefault="00740CBC" w:rsidP="00740CBC">
            <w:pPr>
              <w:jc w:val="center"/>
              <w:rPr>
                <w:rFonts w:cs="Arial"/>
                <w:b/>
                <w:bCs/>
                <w:color w:val="000000" w:themeColor="text1"/>
                <w:szCs w:val="16"/>
              </w:rPr>
            </w:pPr>
            <w:r w:rsidRPr="00CC1061">
              <w:rPr>
                <w:b/>
                <w:bCs/>
              </w:rPr>
              <w:t>FFY 2024 Target</w:t>
            </w:r>
          </w:p>
        </w:tc>
        <w:tc>
          <w:tcPr>
            <w:tcW w:w="485" w:type="pct"/>
            <w:vAlign w:val="bottom"/>
          </w:tcPr>
          <w:p w14:paraId="3381BFE8" w14:textId="77777777" w:rsidR="00740CBC" w:rsidRPr="00CC1061" w:rsidRDefault="00740CBC" w:rsidP="00740CBC">
            <w:pPr>
              <w:jc w:val="center"/>
              <w:rPr>
                <w:rFonts w:cs="Arial"/>
                <w:b/>
                <w:bCs/>
                <w:color w:val="000000" w:themeColor="text1"/>
                <w:szCs w:val="16"/>
              </w:rPr>
            </w:pPr>
            <w:r w:rsidRPr="00CC1061">
              <w:rPr>
                <w:b/>
                <w:bCs/>
              </w:rPr>
              <w:t>FFY 2024 Data</w:t>
            </w:r>
          </w:p>
        </w:tc>
        <w:tc>
          <w:tcPr>
            <w:tcW w:w="602" w:type="pct"/>
            <w:vAlign w:val="bottom"/>
          </w:tcPr>
          <w:p w14:paraId="13ABFD4D" w14:textId="77777777" w:rsidR="00740CBC" w:rsidRPr="00781112" w:rsidRDefault="00740CBC" w:rsidP="00740CBC">
            <w:pPr>
              <w:jc w:val="center"/>
              <w:rPr>
                <w:rFonts w:cs="Arial"/>
                <w:b/>
                <w:color w:val="000000" w:themeColor="text1"/>
                <w:szCs w:val="16"/>
              </w:rPr>
            </w:pPr>
            <w:r w:rsidRPr="00781112">
              <w:rPr>
                <w:rFonts w:cs="Arial"/>
                <w:b/>
                <w:color w:val="000000" w:themeColor="text1"/>
                <w:szCs w:val="16"/>
              </w:rPr>
              <w:t>Status</w:t>
            </w:r>
          </w:p>
        </w:tc>
        <w:tc>
          <w:tcPr>
            <w:tcW w:w="584" w:type="pct"/>
            <w:vAlign w:val="bottom"/>
          </w:tcPr>
          <w:p w14:paraId="48213A87" w14:textId="77777777" w:rsidR="00740CBC" w:rsidRPr="00781112" w:rsidRDefault="00740CBC" w:rsidP="00740CBC">
            <w:pPr>
              <w:jc w:val="center"/>
              <w:rPr>
                <w:rFonts w:cs="Arial"/>
                <w:b/>
                <w:color w:val="000000" w:themeColor="text1"/>
                <w:szCs w:val="16"/>
              </w:rPr>
            </w:pPr>
            <w:r w:rsidRPr="00781112">
              <w:rPr>
                <w:rFonts w:cs="Arial"/>
                <w:b/>
                <w:color w:val="000000" w:themeColor="text1"/>
                <w:szCs w:val="16"/>
              </w:rPr>
              <w:t>Slippage</w:t>
            </w:r>
          </w:p>
        </w:tc>
      </w:tr>
      <w:tr w:rsidR="005C29F8" w:rsidRPr="00781112" w14:paraId="7CC466A6" w14:textId="77777777" w:rsidTr="00EC0EDB">
        <w:trPr>
          <w:trHeight w:val="233"/>
          <w:jc w:val="center"/>
        </w:trPr>
        <w:tc>
          <w:tcPr>
            <w:tcW w:w="615" w:type="pct"/>
          </w:tcPr>
          <w:p w14:paraId="51C27EDD" w14:textId="77777777" w:rsidR="00DE45AB" w:rsidRPr="00781112" w:rsidRDefault="002B7490" w:rsidP="00A018D4">
            <w:pPr>
              <w:jc w:val="center"/>
              <w:rPr>
                <w:rFonts w:cs="Arial"/>
                <w:color w:val="000000" w:themeColor="text1"/>
                <w:szCs w:val="16"/>
              </w:rPr>
            </w:pPr>
            <w:r w:rsidRPr="00781112">
              <w:rPr>
                <w:rFonts w:cs="Arial"/>
                <w:color w:val="000000" w:themeColor="text1"/>
                <w:szCs w:val="16"/>
              </w:rPr>
              <w:t>7</w:t>
            </w:r>
          </w:p>
        </w:tc>
        <w:tc>
          <w:tcPr>
            <w:tcW w:w="589" w:type="pct"/>
            <w:vAlign w:val="center"/>
          </w:tcPr>
          <w:p w14:paraId="2D89CA30" w14:textId="77777777" w:rsidR="00DE45AB" w:rsidRPr="00781112" w:rsidRDefault="002B7490" w:rsidP="00A018D4">
            <w:pPr>
              <w:jc w:val="center"/>
              <w:rPr>
                <w:rFonts w:cs="Arial"/>
                <w:color w:val="000000" w:themeColor="text1"/>
                <w:szCs w:val="16"/>
              </w:rPr>
            </w:pPr>
            <w:r w:rsidRPr="00781112">
              <w:rPr>
                <w:rFonts w:cs="Arial"/>
                <w:color w:val="000000" w:themeColor="text1"/>
                <w:szCs w:val="16"/>
              </w:rPr>
              <w:t>6</w:t>
            </w:r>
          </w:p>
        </w:tc>
        <w:tc>
          <w:tcPr>
            <w:tcW w:w="814" w:type="pct"/>
          </w:tcPr>
          <w:p w14:paraId="1A1E6E7A" w14:textId="77777777" w:rsidR="00DE45AB" w:rsidRPr="00781112" w:rsidRDefault="002B7490" w:rsidP="00A018D4">
            <w:pPr>
              <w:jc w:val="center"/>
              <w:rPr>
                <w:rFonts w:cs="Arial"/>
                <w:color w:val="000000" w:themeColor="text1"/>
                <w:szCs w:val="16"/>
              </w:rPr>
            </w:pPr>
            <w:r w:rsidRPr="00781112">
              <w:rPr>
                <w:rFonts w:cs="Arial"/>
                <w:color w:val="000000" w:themeColor="text1"/>
                <w:szCs w:val="16"/>
              </w:rPr>
              <w:t>61</w:t>
            </w:r>
          </w:p>
        </w:tc>
        <w:tc>
          <w:tcPr>
            <w:tcW w:w="534" w:type="pct"/>
          </w:tcPr>
          <w:p w14:paraId="1C810C66" w14:textId="77777777" w:rsidR="00DE45AB" w:rsidRPr="00781112" w:rsidRDefault="002B7490" w:rsidP="00A018D4">
            <w:pPr>
              <w:jc w:val="center"/>
              <w:rPr>
                <w:rFonts w:cs="Arial"/>
                <w:color w:val="000000" w:themeColor="text1"/>
                <w:szCs w:val="16"/>
              </w:rPr>
            </w:pPr>
            <w:r w:rsidRPr="00781112">
              <w:rPr>
                <w:rFonts w:cs="Arial"/>
                <w:color w:val="000000" w:themeColor="text1"/>
                <w:szCs w:val="16"/>
              </w:rPr>
              <w:t>9.84%</w:t>
            </w:r>
          </w:p>
        </w:tc>
        <w:tc>
          <w:tcPr>
            <w:tcW w:w="776" w:type="pct"/>
          </w:tcPr>
          <w:p w14:paraId="1DC562DF" w14:textId="77777777" w:rsidR="00DE45AB" w:rsidRPr="00781112" w:rsidRDefault="00BA56C8">
            <w:pPr>
              <w:jc w:val="center"/>
              <w:rPr>
                <w:rFonts w:cs="Arial"/>
                <w:color w:val="000000" w:themeColor="text1"/>
                <w:szCs w:val="16"/>
              </w:rPr>
            </w:pPr>
            <w:r w:rsidRPr="00781112">
              <w:rPr>
                <w:rFonts w:cs="Arial"/>
                <w:color w:val="000000" w:themeColor="text1"/>
                <w:szCs w:val="16"/>
              </w:rPr>
              <w:t>0%</w:t>
            </w:r>
          </w:p>
        </w:tc>
        <w:tc>
          <w:tcPr>
            <w:tcW w:w="485" w:type="pct"/>
          </w:tcPr>
          <w:p w14:paraId="386ED93B" w14:textId="77777777" w:rsidR="00DE45AB" w:rsidRPr="00781112" w:rsidRDefault="002B7490" w:rsidP="00A018D4">
            <w:pPr>
              <w:jc w:val="center"/>
              <w:rPr>
                <w:rFonts w:cs="Arial"/>
                <w:color w:val="000000" w:themeColor="text1"/>
                <w:szCs w:val="16"/>
              </w:rPr>
            </w:pPr>
            <w:r w:rsidRPr="00781112">
              <w:rPr>
                <w:rFonts w:cs="Arial"/>
                <w:color w:val="000000" w:themeColor="text1"/>
                <w:szCs w:val="16"/>
              </w:rPr>
              <w:t>9.84%</w:t>
            </w:r>
          </w:p>
        </w:tc>
        <w:tc>
          <w:tcPr>
            <w:tcW w:w="602" w:type="pct"/>
          </w:tcPr>
          <w:p w14:paraId="0F908C92" w14:textId="77777777" w:rsidR="00DE45AB"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584" w:type="pct"/>
          </w:tcPr>
          <w:p w14:paraId="376D723D" w14:textId="77777777" w:rsidR="00DE45AB"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15A2DC01" w14:textId="77777777" w:rsidR="00A20CC3" w:rsidRPr="00781112" w:rsidRDefault="00A20CC3" w:rsidP="00A20CC3">
      <w:pPr>
        <w:rPr>
          <w:rFonts w:cs="Arial"/>
          <w:b/>
          <w:color w:val="000000" w:themeColor="text1"/>
          <w:szCs w:val="16"/>
        </w:rPr>
      </w:pPr>
      <w:r w:rsidRPr="00781112">
        <w:rPr>
          <w:rFonts w:cs="Arial"/>
          <w:b/>
          <w:color w:val="000000" w:themeColor="text1"/>
          <w:szCs w:val="16"/>
        </w:rPr>
        <w:t xml:space="preserve">Choose one of the following comparison methodologies to determine whether significant discrepancies are occurring (34 CFR §300.170(a)) </w:t>
      </w:r>
    </w:p>
    <w:p w14:paraId="23DEC2D8" w14:textId="77777777" w:rsidR="00A20CC3" w:rsidRPr="00781112" w:rsidRDefault="00A20CC3" w:rsidP="00A20CC3">
      <w:pPr>
        <w:rPr>
          <w:rFonts w:cs="Arial"/>
          <w:color w:val="000000" w:themeColor="text1"/>
          <w:szCs w:val="16"/>
        </w:rPr>
      </w:pPr>
      <w:r w:rsidRPr="00781112">
        <w:rPr>
          <w:rFonts w:cs="Arial"/>
          <w:color w:val="000000" w:themeColor="text1"/>
          <w:szCs w:val="16"/>
        </w:rPr>
        <w:t>Compare the rates of suspensions and expulsions of greater than 10 days in a school year for children with IEPs among LEAs in the State</w:t>
      </w:r>
    </w:p>
    <w:p w14:paraId="33E59FF4" w14:textId="77777777" w:rsidR="00F9524E" w:rsidRPr="00781112" w:rsidRDefault="004B3E74" w:rsidP="000E33D0">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0B36120F" w14:textId="77777777" w:rsidR="00F9524E" w:rsidRPr="00781112" w:rsidRDefault="00F9524E" w:rsidP="000E33D0">
      <w:pPr>
        <w:rPr>
          <w:rFonts w:cs="Arial"/>
          <w:color w:val="000000" w:themeColor="text1"/>
          <w:szCs w:val="16"/>
        </w:rPr>
      </w:pPr>
      <w:r w:rsidRPr="00781112">
        <w:rPr>
          <w:rFonts w:cs="Arial"/>
          <w:color w:val="000000" w:themeColor="text1"/>
          <w:szCs w:val="16"/>
        </w:rPr>
        <w:t>YES</w:t>
      </w:r>
    </w:p>
    <w:p w14:paraId="345F88B1" w14:textId="77777777" w:rsidR="001F6A28" w:rsidRPr="00781112" w:rsidRDefault="001F6A28" w:rsidP="009A755E">
      <w:pPr>
        <w:rPr>
          <w:rFonts w:cs="Arial"/>
          <w:b/>
          <w:color w:val="000000" w:themeColor="text1"/>
          <w:szCs w:val="16"/>
        </w:rPr>
      </w:pPr>
      <w:bookmarkStart w:id="33" w:name="_Toc392159294"/>
      <w:r w:rsidRPr="00781112">
        <w:rPr>
          <w:rFonts w:cs="Arial"/>
          <w:b/>
          <w:color w:val="000000" w:themeColor="text1"/>
          <w:szCs w:val="16"/>
        </w:rPr>
        <w:t>State’s definition of “significant discrepancy” and methodology</w:t>
      </w:r>
    </w:p>
    <w:p w14:paraId="500BAD77" w14:textId="77777777" w:rsidR="002D57DA" w:rsidRPr="00781112" w:rsidRDefault="002B7490" w:rsidP="009C613A">
      <w:pPr>
        <w:rPr>
          <w:rFonts w:cs="Arial"/>
          <w:b/>
          <w:color w:val="000000" w:themeColor="text1"/>
          <w:szCs w:val="16"/>
        </w:rPr>
      </w:pPr>
      <w:r w:rsidRPr="00781112">
        <w:rPr>
          <w:rFonts w:cs="Arial"/>
          <w:color w:val="000000" w:themeColor="text1"/>
          <w:szCs w:val="16"/>
        </w:rPr>
        <w:t>DEFINITION OF “SIGNIFICANT DISCREPANCY”</w:t>
      </w:r>
    </w:p>
    <w:p w14:paraId="6B0A8CCA" w14:textId="77777777" w:rsidR="00CA787A" w:rsidRDefault="003169E9">
      <w:r>
        <w:rPr>
          <w:color w:val="000000"/>
        </w:rPr>
        <w:t>—A “significant discrepancy” is identified when an LEA's rate ratio of suspensions/expulsions of more than 10 days for students with disabilities (SWD) by race/ethnicity is 3.00 or higher in any given school year. A rate ratio of 3.00 or higher means the LEA's rate for a given race/ethnicity category is three or more times the state rate of suspensions/expulsions of more than 10 days for SWDs.</w:t>
      </w:r>
    </w:p>
    <w:p w14:paraId="0EC80411" w14:textId="77777777" w:rsidR="00CA787A" w:rsidRDefault="00CA787A"/>
    <w:p w14:paraId="2A50BC32" w14:textId="77777777" w:rsidR="00CA787A" w:rsidRDefault="003169E9">
      <w:r>
        <w:rPr>
          <w:color w:val="000000"/>
        </w:rPr>
        <w:t>RATE RATIO CALCULATION</w:t>
      </w:r>
    </w:p>
    <w:p w14:paraId="76509098" w14:textId="77777777" w:rsidR="00CA787A" w:rsidRDefault="003169E9">
      <w:r>
        <w:rPr>
          <w:color w:val="000000"/>
        </w:rPr>
        <w:t>—The calculation includes the number of SWDs of a particular race/ethnicity suspended/expelled greater than 10 days in an LEA as the numerator, and the number of SWDs of a particular race/ethnicity enrolled in an LEA as the denominator, multiplied by 100 to express it as a percentage. The rate ratio is then calculated by dividing each LEA's rate of suspensions/expulsions of more than 10 days for SWDs, by race/ethnicity, by the state's overall rate.</w:t>
      </w:r>
    </w:p>
    <w:p w14:paraId="0BC80D89" w14:textId="77777777" w:rsidR="00CA787A" w:rsidRDefault="003169E9">
      <w:r>
        <w:rPr>
          <w:color w:val="000000"/>
        </w:rPr>
        <w:t>—The state-level long-term suspension and expulsion rates for SWDs are variable and calculated annually. Each year, the state-level long-term suspension and expulsion rate is used dynamically in the methodology to determine whether an LEA's rate ratio is 3.00 or higher. This annual update ensures that the comparison reflects the most current data and accurately captures any changes in trends over time. Using a variable state-level long-term suspension and expulsion rate accounts for shifts in suspension and expulsion trends, ensuring that the methodology remains responsive to changes in policies, practices, and student populations. This approach promotes fairness by comparing LEAs to the most recent state-level data available each year.</w:t>
      </w:r>
    </w:p>
    <w:p w14:paraId="14BBED0E" w14:textId="77777777" w:rsidR="00CA787A" w:rsidRDefault="003169E9">
      <w:r>
        <w:rPr>
          <w:color w:val="000000"/>
        </w:rPr>
        <w:t xml:space="preserve">—For this reporting period (i.e., for the FFY 2024 SPP/APR, using data from SY 2023–24), the state-level long-term suspension and expulsion rate was 1.83%, representing a 0.04 percentage point increase from the prior reporting period (i.e., FFY 2023). </w:t>
      </w:r>
    </w:p>
    <w:p w14:paraId="0881F2FA" w14:textId="77777777" w:rsidR="00CA787A" w:rsidRDefault="00CA787A"/>
    <w:p w14:paraId="7C531FD5" w14:textId="77777777" w:rsidR="00CA787A" w:rsidRDefault="003169E9">
      <w:r>
        <w:rPr>
          <w:color w:val="000000"/>
        </w:rPr>
        <w:t>RATE RATIO INTERPRETATION</w:t>
      </w:r>
    </w:p>
    <w:p w14:paraId="1BF9255E" w14:textId="77777777" w:rsidR="00CA787A" w:rsidRDefault="003169E9">
      <w:r>
        <w:rPr>
          <w:color w:val="000000"/>
        </w:rPr>
        <w:t>—A rate ratio of 1.00 means the LEA rate is the same as the state rate.</w:t>
      </w:r>
    </w:p>
    <w:p w14:paraId="401B4BB5" w14:textId="77777777" w:rsidR="00CA787A" w:rsidRDefault="003169E9">
      <w:r>
        <w:rPr>
          <w:color w:val="000000"/>
        </w:rPr>
        <w:t>—A rate ratio above 1.00 means the LEA rate is higher than the state rate. For example, a rate ratio of 2.00 means the LEA rate is twice as high as the state rate.</w:t>
      </w:r>
    </w:p>
    <w:p w14:paraId="7234404F" w14:textId="77777777" w:rsidR="00CA787A" w:rsidRDefault="003169E9">
      <w:r>
        <w:rPr>
          <w:color w:val="000000"/>
        </w:rPr>
        <w:t>—A rate ratio below 1.00 means the LEA rate is lower than the state rate. For example, a rate ratio of 0.50 means the LEA rate is half as high as the state rate.</w:t>
      </w:r>
    </w:p>
    <w:p w14:paraId="59940392" w14:textId="77777777" w:rsidR="00CA787A" w:rsidRDefault="00CA787A"/>
    <w:p w14:paraId="1E59CF08" w14:textId="77777777" w:rsidR="00CA787A" w:rsidRDefault="003169E9">
      <w:r>
        <w:rPr>
          <w:color w:val="000000"/>
        </w:rPr>
        <w:t>INCLUSION CRITERIA</w:t>
      </w:r>
    </w:p>
    <w:p w14:paraId="76683B52" w14:textId="77777777" w:rsidR="00CA787A" w:rsidRDefault="003169E9">
      <w:r>
        <w:rPr>
          <w:color w:val="000000"/>
        </w:rPr>
        <w:t>—The analysis includes all LEAs with a minimum n-size (denominator) of 20 SWDs in one or more racial/ethnic categories.</w:t>
      </w:r>
    </w:p>
    <w:p w14:paraId="17B8BBB1" w14:textId="77777777" w:rsidR="006C575D" w:rsidRPr="00781112" w:rsidRDefault="006C575D" w:rsidP="004369B2">
      <w:pPr>
        <w:rPr>
          <w:b/>
          <w:color w:val="000000" w:themeColor="text1"/>
        </w:rPr>
      </w:pPr>
      <w:r w:rsidRPr="00781112">
        <w:rPr>
          <w:b/>
          <w:color w:val="000000" w:themeColor="text1"/>
        </w:rPr>
        <w:t>Provide additional information about this indicator (optional)</w:t>
      </w:r>
    </w:p>
    <w:p w14:paraId="2505355E" w14:textId="77777777" w:rsidR="002D57DA" w:rsidRPr="00781112" w:rsidRDefault="002B7490" w:rsidP="000E33D0">
      <w:pPr>
        <w:rPr>
          <w:rFonts w:cs="Arial"/>
          <w:color w:val="000000" w:themeColor="text1"/>
          <w:szCs w:val="16"/>
        </w:rPr>
      </w:pPr>
      <w:r w:rsidRPr="00781112">
        <w:rPr>
          <w:rFonts w:cs="Arial"/>
          <w:color w:val="000000" w:themeColor="text1"/>
          <w:szCs w:val="16"/>
        </w:rPr>
        <w:t>FFY 2024</w:t>
      </w:r>
    </w:p>
    <w:p w14:paraId="53DD163D" w14:textId="77777777" w:rsidR="00CA787A" w:rsidRDefault="003169E9">
      <w:r>
        <w:rPr>
          <w:color w:val="000000"/>
        </w:rPr>
        <w:t>Although 63 LEAs are reflected in the total number of LEAs in the FFY 2024 SPP/APR Introduction, this indicator is based on data from the 62 LEAs in operation during SY 2023-24.</w:t>
      </w:r>
    </w:p>
    <w:p w14:paraId="63AAF9C0" w14:textId="77777777" w:rsidR="00CA787A" w:rsidRDefault="003169E9">
      <w:r>
        <w:rPr>
          <w:color w:val="000000"/>
        </w:rPr>
        <w:t>__________________________________________________________________________________________________________________________________________</w:t>
      </w:r>
    </w:p>
    <w:p w14:paraId="313C218E" w14:textId="77777777" w:rsidR="00CA787A" w:rsidRDefault="00CA787A"/>
    <w:p w14:paraId="6AE00027" w14:textId="77777777" w:rsidR="00CA787A" w:rsidRDefault="003169E9">
      <w:r>
        <w:rPr>
          <w:color w:val="000000"/>
        </w:rPr>
        <w:t>METHODOLOGY REVISION (AS REPORTED IN WV's FFY 2023 SPP/APR)</w:t>
      </w:r>
    </w:p>
    <w:p w14:paraId="2E72C185" w14:textId="77777777" w:rsidR="00CA787A" w:rsidRDefault="003169E9">
      <w:r>
        <w:rPr>
          <w:color w:val="000000"/>
        </w:rPr>
        <w:t>In November 2023, WVDE/OSE initiated a comprehensive stakeholder engagement process to gather feedback on potential changes to the methodology used for SPP/APR Indicator 4B. This initiative was driven by the Office of Special Education Programs' (OSEP) increased emphasis on the rigor states apply to this indicator.</w:t>
      </w:r>
    </w:p>
    <w:p w14:paraId="0376CDC8" w14:textId="77777777" w:rsidR="00CA787A" w:rsidRDefault="00CA787A"/>
    <w:p w14:paraId="7FC1298D" w14:textId="77777777" w:rsidR="00CA787A" w:rsidRDefault="003169E9">
      <w:r>
        <w:rPr>
          <w:color w:val="000000"/>
        </w:rPr>
        <w:t>The process began with informing stakeholders about the current methodology and its limitations, particularly highlighting the impact of COVID-19 on discipline data. Stakeholders were presented with two options: maintaining the current methodology or exploring alternative methodologies with different inclusion criteria and thresholds to represent a significant discrepancy.</w:t>
      </w:r>
    </w:p>
    <w:p w14:paraId="3063F365" w14:textId="77777777" w:rsidR="00CA787A" w:rsidRDefault="00CA787A"/>
    <w:p w14:paraId="057D3632" w14:textId="77777777" w:rsidR="00CA787A" w:rsidRDefault="003169E9">
      <w:r>
        <w:rPr>
          <w:color w:val="000000"/>
        </w:rPr>
        <w:t>Feedback on the methodology revisions was solicited from a diverse group of stakeholders, including WV directors of special education from small, medium, and large LEAs, including a public charter school, as well as representatives from the following groups:</w:t>
      </w:r>
    </w:p>
    <w:p w14:paraId="2F94E119" w14:textId="77777777" w:rsidR="00CA787A" w:rsidRDefault="003169E9">
      <w:r>
        <w:rPr>
          <w:color w:val="000000"/>
        </w:rPr>
        <w:lastRenderedPageBreak/>
        <w:t>— The West Virginia Parent Training and Information, Inc.</w:t>
      </w:r>
    </w:p>
    <w:p w14:paraId="7D8C5A1D" w14:textId="77777777" w:rsidR="00CA787A" w:rsidRDefault="003169E9">
      <w:r>
        <w:rPr>
          <w:color w:val="000000"/>
        </w:rPr>
        <w:t>— The West Virginia Advisory Council for the Education of Exceptional Children (WVACEEC)</w:t>
      </w:r>
    </w:p>
    <w:p w14:paraId="0C6A092B" w14:textId="77777777" w:rsidR="00CA787A" w:rsidRDefault="003169E9">
      <w:r>
        <w:rPr>
          <w:color w:val="000000"/>
        </w:rPr>
        <w:t>— WVDE Office of School Improvement</w:t>
      </w:r>
    </w:p>
    <w:p w14:paraId="5AEE6932" w14:textId="77777777" w:rsidR="00CA787A" w:rsidRDefault="003169E9">
      <w:r>
        <w:rPr>
          <w:color w:val="000000"/>
        </w:rPr>
        <w:t>— WVDE Office of Student Support and Well-Being</w:t>
      </w:r>
    </w:p>
    <w:p w14:paraId="0746944F" w14:textId="77777777" w:rsidR="00CA787A" w:rsidRDefault="003169E9">
      <w:r>
        <w:rPr>
          <w:color w:val="000000"/>
        </w:rPr>
        <w:t xml:space="preserve">— WVDE Office of Special Education </w:t>
      </w:r>
    </w:p>
    <w:p w14:paraId="39B458D1" w14:textId="77777777" w:rsidR="00CA787A" w:rsidRDefault="00CA787A"/>
    <w:p w14:paraId="56C013A7" w14:textId="77777777" w:rsidR="00CA787A" w:rsidRDefault="003169E9">
      <w:r>
        <w:rPr>
          <w:color w:val="000000"/>
        </w:rPr>
        <w:t xml:space="preserve">Stakeholders were asked to provide their opinions on the appropriateness of the current methodology and the potential changes. The feedback received was insightful. The majority of stakeholders supported exploring changes to increase the number of LEAs included in the analysis each year and to better capture racial/ethnic disparities. However, concerns were raised about the impact on small LEAs and the implementation timeline. </w:t>
      </w:r>
    </w:p>
    <w:p w14:paraId="21BEE3AF" w14:textId="77777777" w:rsidR="00CA787A" w:rsidRDefault="00CA787A"/>
    <w:p w14:paraId="33316746" w14:textId="77777777" w:rsidR="00CA787A" w:rsidRDefault="003169E9">
      <w:r>
        <w:rPr>
          <w:color w:val="000000"/>
        </w:rPr>
        <w:t xml:space="preserve">In response to this feedback, WVDE/OSE proposed a refined methodology. This included a new rate ratio calculation and the elimination of the minimum cell size requirement. The threshold for significant discrepancies was adjusted to a rate ratio of 3.00. </w:t>
      </w:r>
    </w:p>
    <w:p w14:paraId="0953B2D6" w14:textId="77777777" w:rsidR="00CA787A" w:rsidRDefault="00CA787A"/>
    <w:p w14:paraId="6B007D61" w14:textId="77777777" w:rsidR="00CA787A" w:rsidRDefault="003169E9">
      <w:r>
        <w:rPr>
          <w:color w:val="000000"/>
        </w:rPr>
        <w:t>The stakeholder feedback received was overwhelmingly positive, with stakeholders expressing strong support for the proposed changes. They appreciated the clarity and thoroughness of the explanations provided, found the new methodology easy to understand, and believed it would offer a clearer and more comprehensive picture statewide. Overall, there was a consensus that the changes would be beneficial for West Virginia.</w:t>
      </w:r>
    </w:p>
    <w:p w14:paraId="0CD6D094" w14:textId="77777777" w:rsidR="00CA787A" w:rsidRDefault="00CA787A"/>
    <w:p w14:paraId="280C6541" w14:textId="77777777" w:rsidR="00CA787A" w:rsidRDefault="003169E9">
      <w:r>
        <w:rPr>
          <w:color w:val="000000"/>
        </w:rPr>
        <w:t>Following these developments, WVDE/OSE shared the new methodology with OSEP for review. OSEP confirmed that the methodology was well-explained and had no further questions. Subsequently, an update was communicated to all directors of special education, detailing the changes in methodology that would take effect for SY 2023-24. This communication included a simplified explanation to ensure clarity.</w:t>
      </w:r>
    </w:p>
    <w:p w14:paraId="7E953DE2" w14:textId="77777777" w:rsidR="00CA787A" w:rsidRDefault="00CA787A"/>
    <w:p w14:paraId="3E740E0C" w14:textId="77777777" w:rsidR="00CA787A" w:rsidRDefault="003169E9">
      <w:r>
        <w:rPr>
          <w:color w:val="000000"/>
        </w:rPr>
        <w:t xml:space="preserve">With the change in methodology, WVDE/OSE also needed to revise the baseline for this indicator to ensure that comparisons are accurate and meaningful. For Indicator 4B, the baseline for FFY 2023 was set at 9.84%, based on </w:t>
      </w:r>
      <w:proofErr w:type="gramStart"/>
      <w:r>
        <w:rPr>
          <w:color w:val="000000"/>
        </w:rPr>
        <w:t>six (6) out of sixty</w:t>
      </w:r>
      <w:proofErr w:type="gramEnd"/>
      <w:r>
        <w:rPr>
          <w:color w:val="000000"/>
        </w:rPr>
        <w:t>-one (61) LEAs being identified with significant discrepancies and policies, procedure or practices that contributed to the significant discrepancy using the new methodology. As a compliance indicator, the targets for FFY 2023 through FFY 2025 remained set at 0%.</w:t>
      </w:r>
    </w:p>
    <w:p w14:paraId="054BC173" w14:textId="77777777" w:rsidR="00CA787A" w:rsidRDefault="00CA787A"/>
    <w:p w14:paraId="4648F925" w14:textId="77777777" w:rsidR="00CA787A" w:rsidRDefault="003169E9">
      <w:r>
        <w:rPr>
          <w:color w:val="000000"/>
        </w:rPr>
        <w:t>This engagement process ensured that stakeholder input was integral in refining the methodology to better identify and address significant discrepancies in disciplinary practices for students with disabilities by race/ethnicity.</w:t>
      </w:r>
    </w:p>
    <w:p w14:paraId="788AEC43" w14:textId="77777777" w:rsidR="005E2440" w:rsidRPr="00781112" w:rsidRDefault="005E2440" w:rsidP="004369B2">
      <w:pPr>
        <w:rPr>
          <w:color w:val="000000" w:themeColor="text1"/>
        </w:rPr>
      </w:pPr>
    </w:p>
    <w:p w14:paraId="0496AECB" w14:textId="77777777" w:rsidR="001F6A28" w:rsidRPr="00781112" w:rsidRDefault="001F6A28" w:rsidP="004369B2">
      <w:pPr>
        <w:rPr>
          <w:color w:val="000000" w:themeColor="text1"/>
        </w:rPr>
      </w:pPr>
      <w:r w:rsidRPr="00781112">
        <w:rPr>
          <w:b/>
          <w:color w:val="000000" w:themeColor="text1"/>
        </w:rPr>
        <w:t>Review of Policies, Procedures, and Practices (completed in FFY 2024 using 2023-2024 data)</w:t>
      </w:r>
    </w:p>
    <w:p w14:paraId="23BC5D51" w14:textId="77777777" w:rsidR="001F6A28" w:rsidRPr="00781112" w:rsidRDefault="001F6A28" w:rsidP="009A755E">
      <w:pPr>
        <w:rPr>
          <w:rFonts w:cs="Arial"/>
          <w:b/>
          <w:color w:val="000000" w:themeColor="text1"/>
          <w:szCs w:val="16"/>
        </w:rPr>
      </w:pPr>
      <w:r w:rsidRPr="00781112">
        <w:rPr>
          <w:rFonts w:cs="Arial"/>
          <w:b/>
          <w:color w:val="000000" w:themeColor="text1"/>
          <w:szCs w:val="16"/>
        </w:rPr>
        <w:t>Provide a description of the review of policies, procedures, and practices relating to the development and implementation of IEPs, the use of positive behavioral interventions and supports, and procedural safeguards.</w:t>
      </w:r>
    </w:p>
    <w:p w14:paraId="0C54AF6A" w14:textId="77777777" w:rsidR="00616510" w:rsidRPr="00781112" w:rsidRDefault="002B7490" w:rsidP="009C613A">
      <w:pPr>
        <w:rPr>
          <w:rFonts w:cs="Arial"/>
          <w:color w:val="000000" w:themeColor="text1"/>
          <w:szCs w:val="16"/>
        </w:rPr>
      </w:pPr>
      <w:r w:rsidRPr="00781112">
        <w:rPr>
          <w:rFonts w:cs="Arial"/>
          <w:color w:val="000000" w:themeColor="text1"/>
          <w:szCs w:val="16"/>
        </w:rPr>
        <w:t>Following the identification of seven (7) LEAs with a significant discrepancy in suspensions/expulsions greater than 10 days in a school year for students with disabilities (SWD) by race/ethnicity, an on-site review was conducted by WVDE/OSE of each LEA's policies, procedures, and practices relating to the development and implementation of Individualized Education Programs (IEPs), the use of positive behavioral interventions and supports (PBIS), and procedural safeguards. These reviews were completed on up to ten (10) student files per LEA, with the file selections providing a reasonable sample from diverse school settings. When an LEA had fewer than ten (10) students included in the Indicator 4B numerator, all available cases were reviewed. Using a dedicated checklist, each selected file was thoroughly examined in the following areas:</w:t>
      </w:r>
    </w:p>
    <w:p w14:paraId="27DA37D2" w14:textId="77777777" w:rsidR="00CA787A" w:rsidRDefault="003169E9">
      <w:r>
        <w:rPr>
          <w:color w:val="000000"/>
        </w:rPr>
        <w:t>— West Virginia Education Information System (WVEIS) Data Entry Verification: Confirmed the accuracy of suspension/expulsion and attendance data reported in WVEIS.</w:t>
      </w:r>
    </w:p>
    <w:p w14:paraId="799C439C" w14:textId="77777777" w:rsidR="00CA787A" w:rsidRDefault="003169E9">
      <w:r>
        <w:rPr>
          <w:color w:val="000000"/>
        </w:rPr>
        <w:t>— General Procedures for Disciplinary Removals: Evaluated district policies and procedures for suspension and expulsion to ensure compliance with federal and state regulations.</w:t>
      </w:r>
    </w:p>
    <w:p w14:paraId="7ADAAD15" w14:textId="77777777" w:rsidR="00CA787A" w:rsidRDefault="003169E9">
      <w:r>
        <w:rPr>
          <w:color w:val="000000"/>
        </w:rPr>
        <w:t>— Individualized Education Programs (IEPs): Evaluated the development, implementation, and effectiveness of IEPs in addressing the needs of SWDs and preventing disciplinary issues.</w:t>
      </w:r>
    </w:p>
    <w:p w14:paraId="322EF0BF" w14:textId="77777777" w:rsidR="00CA787A" w:rsidRDefault="003169E9">
      <w:r>
        <w:rPr>
          <w:color w:val="000000"/>
        </w:rPr>
        <w:t>— Positive Behavioral Interventions and Supports (PBIS): Examined LEA implementation of PBIS strategies to prevent and address challenging behaviors, including the existence, adequacy, and implementation of behavior intervention plans (BIP) resulting from functional behavior assessment (FBA) data.</w:t>
      </w:r>
    </w:p>
    <w:p w14:paraId="4DD69B70" w14:textId="77777777" w:rsidR="00CA787A" w:rsidRDefault="003169E9">
      <w:r>
        <w:rPr>
          <w:color w:val="000000"/>
        </w:rPr>
        <w:t xml:space="preserve">— Manifestation Determination Reviews (MDR): Verified whether the behaviors subject to disciplinary actions were determined to be a manifestation of the student's disability. </w:t>
      </w:r>
    </w:p>
    <w:p w14:paraId="3D15FF8A" w14:textId="77777777" w:rsidR="00CA787A" w:rsidRDefault="003169E9">
      <w:r>
        <w:rPr>
          <w:color w:val="000000"/>
        </w:rPr>
        <w:t>— Procedural Safeguards: Verified whether the LEA informed parents/guardians of their rights during disciplinary proceedings.</w:t>
      </w:r>
    </w:p>
    <w:p w14:paraId="0FF92189" w14:textId="77777777" w:rsidR="00CA787A" w:rsidRDefault="003169E9">
      <w:r>
        <w:rPr>
          <w:color w:val="000000"/>
        </w:rPr>
        <w:t>— Interim Alternative Educational Settings and Instructional Services (IAES): Examined the availability and quality of educational services provided during disciplinary removals.</w:t>
      </w:r>
    </w:p>
    <w:p w14:paraId="6388346C" w14:textId="77777777" w:rsidR="00CA787A" w:rsidRDefault="00CA787A"/>
    <w:p w14:paraId="7B500127" w14:textId="77777777" w:rsidR="00CA787A" w:rsidRDefault="003169E9">
      <w:r>
        <w:rPr>
          <w:color w:val="000000"/>
        </w:rPr>
        <w:t>The seven (7) LEAs received a "Yes" (Y) or "No" (N) determination within each student file for each area reviewed based on the established criteria, indicating compliance or noncompliance with related state and federal regulatory requirements. Compliance for some issues was assessed solely through individual student records, while others required consideration of additional documentation. Any instance of noncompliance identified through this review resulted in the LEA being flagged as having policies, procedures, or practices that contributed to the significant discrepancy in suspensions/expulsions greater than 10 days in a school year for SWDs by race/ethnicity.</w:t>
      </w:r>
    </w:p>
    <w:p w14:paraId="474920EA" w14:textId="77777777" w:rsidR="00CA787A" w:rsidRDefault="00CA787A"/>
    <w:p w14:paraId="5B8092A3" w14:textId="77777777" w:rsidR="00CA787A" w:rsidRDefault="003169E9">
      <w:r>
        <w:rPr>
          <w:color w:val="000000"/>
        </w:rPr>
        <w:t>Although seven (7) LEAs were identified with a significant discrepancy, one (1) LEA passed the policies, procedures, and practices (PPP) review, indicating that its significant discrepancy was not attributed to noncompliance with applicable state and federal discipline safeguards and protections for SWDs.</w:t>
      </w:r>
    </w:p>
    <w:p w14:paraId="6E866B0D" w14:textId="77777777" w:rsidR="00CA787A" w:rsidRDefault="00CA787A"/>
    <w:p w14:paraId="35C5CAE2" w14:textId="77777777" w:rsidR="00CA787A" w:rsidRDefault="003169E9">
      <w:r>
        <w:rPr>
          <w:color w:val="000000"/>
        </w:rPr>
        <w:t>The following were identified across the remaining six (6) LEAs as potentially contributing to the significant discrepancies observed for Indicator 4B:</w:t>
      </w:r>
    </w:p>
    <w:p w14:paraId="00050F01" w14:textId="77777777" w:rsidR="00CA787A" w:rsidRDefault="003169E9">
      <w:r>
        <w:rPr>
          <w:color w:val="000000"/>
        </w:rPr>
        <w:t>— Attendance and discipline records frequently did not align, and discipline data entry errors included duplicate codes, incorrect suspension dates, and/or inaccurate expulsion lengths.</w:t>
      </w:r>
    </w:p>
    <w:p w14:paraId="5D1D571A" w14:textId="77777777" w:rsidR="00CA787A" w:rsidRDefault="003169E9">
      <w:r>
        <w:rPr>
          <w:color w:val="000000"/>
        </w:rPr>
        <w:lastRenderedPageBreak/>
        <w:t>— Same-day parental notifications were often missing or undocumented, and Prior Written Notices lacked clarity regarding discipline decisions and placement changes.</w:t>
      </w:r>
    </w:p>
    <w:p w14:paraId="49A37410" w14:textId="77777777" w:rsidR="00CA787A" w:rsidRDefault="003169E9">
      <w:r>
        <w:rPr>
          <w:color w:val="000000"/>
        </w:rPr>
        <w:t>— Discipline Action Review Forms (DARFs) were sometimes incomplete, unavailable, or improperly corrected; MDR sections were often missing required dates, parental input, and answers to the two manifestation determination questions.</w:t>
      </w:r>
    </w:p>
    <w:p w14:paraId="1EA85591" w14:textId="77777777" w:rsidR="00CA787A" w:rsidRDefault="003169E9">
      <w:r>
        <w:rPr>
          <w:color w:val="000000"/>
        </w:rPr>
        <w:t>— Manifestation Determination Reviews were inconsistently conducted; behaviors addressed in IEPs or BIPs were sometimes not considered manifestations of the student's disability, and IEP updates were not documented following suspensions.</w:t>
      </w:r>
    </w:p>
    <w:p w14:paraId="3AE767A7" w14:textId="77777777" w:rsidR="00CA787A" w:rsidRDefault="003169E9">
      <w:r>
        <w:rPr>
          <w:color w:val="000000"/>
        </w:rPr>
        <w:t>— Multiple suspensions for behaviors included in the student’s BIP or IEP indicated patterns that should have triggered MDR and IEP team review; documentation of services after the 11th cumulative day of OSS was often absent.</w:t>
      </w:r>
    </w:p>
    <w:p w14:paraId="5A80528D" w14:textId="77777777" w:rsidR="00CA787A" w:rsidRDefault="003169E9">
      <w:r>
        <w:rPr>
          <w:color w:val="000000"/>
        </w:rPr>
        <w:t>— Alternative school placements were sometimes documented in IEP “Present Levels of Educational Performance” (PLEP) without clear evidence of an IEP team decision regarding Least Restrictive Environment, suggesting administrative assignment rather than team consensus.</w:t>
      </w:r>
    </w:p>
    <w:p w14:paraId="07EBBFBF" w14:textId="77777777" w:rsidR="00CA787A" w:rsidRDefault="003169E9">
      <w:r>
        <w:rPr>
          <w:color w:val="000000"/>
        </w:rPr>
        <w:t>— Suspensions were issued for Level 1 or Level 2 behaviors (e.g., insubordination, disruptive conduct) contrary to WVBE Policy 4373 recommendations, and for "skipping class" which is prohibited by W. Va. Code §18A-5-1.</w:t>
      </w:r>
    </w:p>
    <w:p w14:paraId="7A27B1AA" w14:textId="77777777" w:rsidR="00616510" w:rsidRPr="00781112" w:rsidRDefault="00616510" w:rsidP="009C613A">
      <w:pPr>
        <w:rPr>
          <w:rFonts w:cs="Arial"/>
          <w:color w:val="000000" w:themeColor="text1"/>
          <w:szCs w:val="16"/>
        </w:rPr>
      </w:pPr>
    </w:p>
    <w:p w14:paraId="5FD7B833" w14:textId="77777777" w:rsidR="00616510" w:rsidRPr="00781112" w:rsidRDefault="00616510" w:rsidP="009C613A">
      <w:pPr>
        <w:rPr>
          <w:rFonts w:cs="Arial"/>
          <w:color w:val="000000" w:themeColor="text1"/>
          <w:szCs w:val="16"/>
        </w:rPr>
      </w:pPr>
      <w:r w:rsidRPr="00781112">
        <w:rPr>
          <w:rFonts w:cs="Arial"/>
          <w:color w:val="000000" w:themeColor="text1"/>
          <w:szCs w:val="16"/>
        </w:rPr>
        <w:t>The State DID identify noncompliance with Part B requirements as a result of the review required by 34 CFR §300.170(b).</w:t>
      </w:r>
    </w:p>
    <w:p w14:paraId="71C256AA" w14:textId="77777777" w:rsidR="00616510" w:rsidRPr="00781112" w:rsidRDefault="007D4253" w:rsidP="009C613A">
      <w:pPr>
        <w:rPr>
          <w:rFonts w:cs="Arial"/>
          <w:b/>
          <w:color w:val="000000" w:themeColor="text1"/>
          <w:szCs w:val="16"/>
        </w:rPr>
      </w:pPr>
      <w:r w:rsidRPr="00781112">
        <w:rPr>
          <w:rFonts w:cs="Arial"/>
          <w:b/>
          <w:color w:val="000000" w:themeColor="text1"/>
          <w:szCs w:val="16"/>
        </w:rPr>
        <w:t>If YES, select one of the following:</w:t>
      </w:r>
    </w:p>
    <w:p w14:paraId="4783A54E" w14:textId="77777777" w:rsidR="00616510" w:rsidRPr="00781112" w:rsidRDefault="00616510" w:rsidP="009C613A">
      <w:pPr>
        <w:rPr>
          <w:rFonts w:cs="Arial"/>
          <w:color w:val="000000" w:themeColor="text1"/>
          <w:szCs w:val="16"/>
        </w:rPr>
      </w:pPr>
      <w:r w:rsidRPr="00781112">
        <w:rPr>
          <w:rFonts w:cs="Arial"/>
          <w:color w:val="000000" w:themeColor="text1"/>
          <w:szCs w:val="16"/>
        </w:rPr>
        <w:t>The State DID ensure that such policies, procedures, and practices were revised to comply with applicable requirements consistent with OSEP QA 23-01, dated July 24, 2023.</w:t>
      </w:r>
    </w:p>
    <w:p w14:paraId="20696A65" w14:textId="77777777" w:rsidR="002D57DA" w:rsidRPr="00781112" w:rsidRDefault="002D57DA" w:rsidP="001011BB">
      <w:pPr>
        <w:tabs>
          <w:tab w:val="left" w:pos="4055"/>
        </w:tabs>
        <w:rPr>
          <w:rFonts w:cs="Arial"/>
          <w:b/>
          <w:color w:val="000000" w:themeColor="text1"/>
          <w:szCs w:val="16"/>
        </w:rPr>
      </w:pPr>
      <w:r w:rsidRPr="00781112">
        <w:rPr>
          <w:rFonts w:cs="Arial"/>
          <w:b/>
          <w:color w:val="000000" w:themeColor="text1"/>
          <w:szCs w:val="16"/>
        </w:rPr>
        <w:t>Describe how the State ensured that such policies, procedures, and practices were revised to comply with applicable requirements consistent with OSEP QA 23-01, dated July 24, 2023</w:t>
      </w:r>
      <w:r w:rsidRPr="00781112">
        <w:rPr>
          <w:rFonts w:cs="Arial"/>
          <w:b/>
          <w:i/>
          <w:color w:val="000000" w:themeColor="text1"/>
          <w:szCs w:val="16"/>
        </w:rPr>
        <w:t>.</w:t>
      </w:r>
    </w:p>
    <w:p w14:paraId="07235BFE" w14:textId="77777777" w:rsidR="002D57DA" w:rsidRPr="00781112" w:rsidRDefault="002B7490" w:rsidP="001011BB">
      <w:pPr>
        <w:rPr>
          <w:rFonts w:cs="Arial"/>
          <w:i/>
          <w:color w:val="000000" w:themeColor="text1"/>
          <w:szCs w:val="16"/>
        </w:rPr>
      </w:pPr>
      <w:r w:rsidRPr="00781112">
        <w:rPr>
          <w:rFonts w:cs="Arial"/>
          <w:color w:val="000000" w:themeColor="text1"/>
          <w:szCs w:val="16"/>
        </w:rPr>
        <w:t>Each of the six (6) LEAs with identified noncompliance received written file review summaries detailing the extent and nature of any findings for each student file, including recommendations for revising policies, practices, and/or procedures that were identified as potentially contributing to the significant discrepancy in suspensions/expulsions greater than 10 days in a school year for SWDs by race/ethnicity. The summaries also included corrective action plans for each individual case of child-specific noncompliance.</w:t>
      </w:r>
    </w:p>
    <w:p w14:paraId="728CD4B2" w14:textId="77777777" w:rsidR="00CA787A" w:rsidRDefault="00CA787A"/>
    <w:p w14:paraId="1FC89E10" w14:textId="77777777" w:rsidR="00CA787A" w:rsidRDefault="003169E9">
      <w:r>
        <w:rPr>
          <w:color w:val="000000"/>
        </w:rPr>
        <w:t>These six (6) LEAs were further advised that WVDE/OSE would conduct a review of updated data for up to five (5) additional student files for each race/ethnicity category during the following school year to verify that the source of noncompliance is correctly implementing the regulatory requirements. This review targets race/ethnicity categories previously identified with significant discrepancies to confirm that LEA policies, procedures, and practices have been revised and are now compliant with IDEA 34 CFR §300.170(b).</w:t>
      </w:r>
    </w:p>
    <w:p w14:paraId="6E6486C7" w14:textId="77777777" w:rsidR="00F9524E" w:rsidRPr="00781112" w:rsidRDefault="00F9524E">
      <w:pPr>
        <w:rPr>
          <w:b/>
          <w:color w:val="000000" w:themeColor="text1"/>
        </w:rPr>
      </w:pPr>
    </w:p>
    <w:p w14:paraId="21937EA0" w14:textId="77777777" w:rsidR="009A755E" w:rsidRPr="00781112" w:rsidRDefault="00450F98" w:rsidP="004369B2">
      <w:pPr>
        <w:rPr>
          <w:color w:val="000000" w:themeColor="text1"/>
        </w:rPr>
      </w:pPr>
      <w:r>
        <w:rPr>
          <w:b/>
          <w:color w:val="000000" w:themeColor="text1"/>
        </w:rPr>
        <w:t>Correction of Findings of Noncompliance Identified in FFY 2023</w:t>
      </w:r>
    </w:p>
    <w:tbl>
      <w:tblPr>
        <w:tblStyle w:val="TableGrid"/>
        <w:tblW w:w="5000" w:type="pct"/>
        <w:tblLook w:val="04A0" w:firstRow="1" w:lastRow="0" w:firstColumn="1" w:lastColumn="0" w:noHBand="0" w:noVBand="1"/>
        <w:tblCaption w:val="B04BPFFYNCFINDINGS"/>
      </w:tblPr>
      <w:tblGrid>
        <w:gridCol w:w="2613"/>
        <w:gridCol w:w="2743"/>
        <w:gridCol w:w="2620"/>
        <w:gridCol w:w="2814"/>
      </w:tblGrid>
      <w:tr w:rsidR="005C29F8" w:rsidRPr="00781112" w14:paraId="55DE54A8" w14:textId="77777777" w:rsidTr="00C570AA">
        <w:trPr>
          <w:trHeight w:val="389"/>
          <w:tblHeader/>
        </w:trPr>
        <w:tc>
          <w:tcPr>
            <w:tcW w:w="1211" w:type="pct"/>
            <w:vAlign w:val="bottom"/>
          </w:tcPr>
          <w:p w14:paraId="326D7D31"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71" w:type="pct"/>
            <w:vAlign w:val="bottom"/>
          </w:tcPr>
          <w:p w14:paraId="2D689C11"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14" w:type="pct"/>
            <w:vAlign w:val="bottom"/>
          </w:tcPr>
          <w:p w14:paraId="2137F4C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304" w:type="pct"/>
            <w:vAlign w:val="bottom"/>
          </w:tcPr>
          <w:p w14:paraId="7AB6E78F"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33D84B18" w14:textId="77777777" w:rsidTr="00C570AA">
        <w:tc>
          <w:tcPr>
            <w:tcW w:w="1211" w:type="pct"/>
          </w:tcPr>
          <w:p w14:paraId="4D6286AC" w14:textId="77777777" w:rsidR="009A755E" w:rsidRPr="00781112" w:rsidRDefault="002B7490" w:rsidP="00A018D4">
            <w:pPr>
              <w:jc w:val="center"/>
              <w:rPr>
                <w:rFonts w:cs="Arial"/>
                <w:color w:val="000000" w:themeColor="text1"/>
                <w:szCs w:val="16"/>
              </w:rPr>
            </w:pPr>
            <w:r w:rsidRPr="00781112">
              <w:rPr>
                <w:rFonts w:cs="Arial"/>
                <w:color w:val="000000" w:themeColor="text1"/>
                <w:szCs w:val="16"/>
              </w:rPr>
              <w:t>6</w:t>
            </w:r>
          </w:p>
        </w:tc>
        <w:tc>
          <w:tcPr>
            <w:tcW w:w="1271" w:type="pct"/>
          </w:tcPr>
          <w:p w14:paraId="57D565ED" w14:textId="77777777" w:rsidR="009A755E" w:rsidRPr="00781112" w:rsidRDefault="002B7490" w:rsidP="00A018D4">
            <w:pPr>
              <w:jc w:val="center"/>
              <w:rPr>
                <w:rFonts w:cs="Arial"/>
                <w:color w:val="000000" w:themeColor="text1"/>
                <w:szCs w:val="16"/>
              </w:rPr>
            </w:pPr>
            <w:r w:rsidRPr="00781112">
              <w:rPr>
                <w:rFonts w:cs="Arial"/>
                <w:color w:val="000000" w:themeColor="text1"/>
                <w:szCs w:val="16"/>
              </w:rPr>
              <w:t>4</w:t>
            </w:r>
          </w:p>
        </w:tc>
        <w:tc>
          <w:tcPr>
            <w:tcW w:w="1214" w:type="pct"/>
          </w:tcPr>
          <w:p w14:paraId="30B40F16" w14:textId="77777777" w:rsidR="009A755E" w:rsidRPr="00781112" w:rsidRDefault="002B7490" w:rsidP="00A018D4">
            <w:pPr>
              <w:jc w:val="center"/>
              <w:rPr>
                <w:rFonts w:cs="Arial"/>
                <w:color w:val="000000" w:themeColor="text1"/>
                <w:szCs w:val="16"/>
              </w:rPr>
            </w:pPr>
            <w:r w:rsidRPr="00781112">
              <w:rPr>
                <w:rFonts w:cs="Arial"/>
                <w:color w:val="000000" w:themeColor="text1"/>
                <w:szCs w:val="16"/>
              </w:rPr>
              <w:t>2</w:t>
            </w:r>
          </w:p>
        </w:tc>
        <w:tc>
          <w:tcPr>
            <w:tcW w:w="1304" w:type="pct"/>
          </w:tcPr>
          <w:p w14:paraId="06B39E9B" w14:textId="77777777"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0BC5A6B2" w14:textId="77777777" w:rsidR="009A755E" w:rsidRPr="00781112" w:rsidRDefault="00450F98" w:rsidP="004369B2">
      <w:pPr>
        <w:rPr>
          <w:color w:val="000000" w:themeColor="text1"/>
        </w:rPr>
      </w:pPr>
      <w:r>
        <w:rPr>
          <w:b/>
          <w:color w:val="000000" w:themeColor="text1"/>
        </w:rPr>
        <w:t>FFY 2023 Findings of Noncompliance Verified as Corrected</w:t>
      </w:r>
    </w:p>
    <w:p w14:paraId="3898BF60" w14:textId="77777777"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56F28F01" w14:textId="77777777" w:rsidR="003C308E" w:rsidRPr="00781112" w:rsidRDefault="002B7490" w:rsidP="009A755E">
      <w:pPr>
        <w:rPr>
          <w:rFonts w:cs="Arial"/>
          <w:color w:val="000000" w:themeColor="text1"/>
          <w:szCs w:val="16"/>
        </w:rPr>
      </w:pPr>
      <w:r w:rsidRPr="00781112">
        <w:rPr>
          <w:rFonts w:cs="Arial"/>
          <w:color w:val="000000" w:themeColor="text1"/>
          <w:szCs w:val="16"/>
        </w:rPr>
        <w:t>Correct implementation of the specific regulatory requirements was verified through a review of updated data for the six (6) LEAs identified as having policies, procedures, or practices that contributed to a significant discrepancy in the rate of suspensions and expulsions of greater than 10 days in a school year for students with disabilities in FFY 2023. Additional student records for each race/ethnicity category identified with a significant discrepancy were reviewed by WVDE/OSE to verify correct implementation of the regulatory requirements for each issue identified in the initial reviews. Ongoing feedback and technical assistance were provided by WVDE/OSE after each subsequent review. Upon completion of all subsequent reviews, WVDE/OSE verified that all six (6) LEAs were correctly implementing state and federal regulatory requirements consistent with OSEP QA 23-01.</w:t>
      </w:r>
    </w:p>
    <w:p w14:paraId="3264FDFE" w14:textId="77777777" w:rsidR="00CA787A" w:rsidRDefault="00CA787A"/>
    <w:p w14:paraId="6770D0F0" w14:textId="77777777" w:rsidR="00CA787A" w:rsidRDefault="003169E9">
      <w:r>
        <w:rPr>
          <w:color w:val="000000"/>
        </w:rPr>
        <w:t>Four (4) LEAs achieved 100% compliance within one year of identification. For the two (2) LEAs that did not demonstrate 100% compliance within the one-year correction window, WVDE/OSE provided continued technical assistance and conducted additional reviews of updated data. Upon completion of those additional reviews, WVDE/OSE verified that these two (2) LEAs had also achieved 100% compliance with the specific regulatory requirements. WVDE/OSE issued written notification to each of the six (6) LEAs confirming that the findings of noncompliance had been corrected.</w:t>
      </w:r>
    </w:p>
    <w:p w14:paraId="6E0C74F4" w14:textId="77777777"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6EEFB8D0" w14:textId="77777777" w:rsidR="003C308E" w:rsidRPr="00781112" w:rsidRDefault="002B7490" w:rsidP="009A755E">
      <w:pPr>
        <w:rPr>
          <w:rFonts w:cs="Arial"/>
          <w:color w:val="000000" w:themeColor="text1"/>
          <w:szCs w:val="16"/>
        </w:rPr>
      </w:pPr>
      <w:r w:rsidRPr="00781112">
        <w:rPr>
          <w:rFonts w:cs="Arial"/>
          <w:color w:val="000000" w:themeColor="text1"/>
          <w:szCs w:val="16"/>
        </w:rPr>
        <w:t>WVDE/OSE verified correction of each of the twenty (20) individual cases initially identified as noncompliant in FFY 2023 across each of the six (6) LEAs through a review of updated data obtained from WVEIS, documentation submitted by LEAs, or on-site monitoring, consistent with OSEP QA 23-01. Specifically, WVDE/OSE verified correction by confirming that: (a) the student was no longer being suspended or expelled for more than 10 days in a school year; (b) the LEA completed individual corrections to previously noncompliant procedures and practices, as verified through updated data; or (c) where suspensions or expulsions subsequently exceeded 10 days, updated data confirmed that the LEA was correctly implementing the relevant regulatory requirements for that student. Where a student was no longer within the jurisdiction of the LEA, WVDE/OSE documented that individual correction was not required, consistent with OSEP QA 23-01.</w:t>
      </w:r>
    </w:p>
    <w:p w14:paraId="7D91ED48" w14:textId="77777777" w:rsidR="00C76E75" w:rsidRPr="002E2B1D" w:rsidRDefault="00C76E75" w:rsidP="00C76E75">
      <w:pPr>
        <w:keepNext/>
        <w:spacing w:after="0"/>
        <w:rPr>
          <w:rFonts w:eastAsia="Times New Roman" w:cs="Arial"/>
          <w:b/>
          <w:szCs w:val="16"/>
        </w:rPr>
      </w:pPr>
      <w:r w:rsidRPr="002E2B1D">
        <w:rPr>
          <w:rFonts w:eastAsia="Times New Roman" w:cs="Arial"/>
          <w:b/>
          <w:szCs w:val="16"/>
        </w:rPr>
        <w:t xml:space="preserve">If procedures have been adopted that permit LEAs to correct noncompliance prior to the State’s issuance of a finding (i.e., pre-finding correction), describe how, for instances of noncompliance discovered in FFY 2023, the State verified: (1) that the source of noncompliance is correctly implementing the regulatory requirements; </w:t>
      </w:r>
      <w:proofErr w:type="gramStart"/>
      <w:r w:rsidRPr="002E2B1D">
        <w:rPr>
          <w:rFonts w:eastAsia="Times New Roman" w:cs="Arial"/>
          <w:b/>
          <w:szCs w:val="16"/>
        </w:rPr>
        <w:t>and,</w:t>
      </w:r>
      <w:proofErr w:type="gramEnd"/>
      <w:r w:rsidRPr="002E2B1D">
        <w:rPr>
          <w:rFonts w:eastAsia="Times New Roman" w:cs="Arial"/>
          <w:b/>
          <w:szCs w:val="16"/>
        </w:rPr>
        <w:t xml:space="preserve"> (2) each individual case of noncompliance was corrected. </w:t>
      </w:r>
    </w:p>
    <w:p w14:paraId="6248EEBF" w14:textId="77777777" w:rsidR="00C76E75" w:rsidRPr="008C215C" w:rsidRDefault="00C76E75" w:rsidP="00C76E75">
      <w:pPr>
        <w:rPr>
          <w:bCs/>
        </w:rPr>
      </w:pPr>
      <w:r w:rsidRPr="008C215C">
        <w:t>WVDE/OSE has not adopted procedures that permit LEAs to correct identified noncompliance prior to the issuance of a finding.</w:t>
      </w:r>
      <w:r w:rsidRPr="008C215C">
        <w:rPr>
          <w:bCs/>
        </w:rPr>
        <w:t xml:space="preserve"> </w:t>
      </w:r>
    </w:p>
    <w:p w14:paraId="22FBFE83" w14:textId="77777777" w:rsidR="009A755E" w:rsidRPr="00781112" w:rsidRDefault="00450F98" w:rsidP="00C76E75">
      <w:pPr>
        <w:rPr>
          <w:color w:val="000000" w:themeColor="text1"/>
        </w:rPr>
      </w:pPr>
      <w:r>
        <w:rPr>
          <w:b/>
          <w:color w:val="000000" w:themeColor="text1"/>
        </w:rPr>
        <w:t>Correction of Findings of Noncompliance Identified Prior to FFY 2023</w:t>
      </w:r>
    </w:p>
    <w:tbl>
      <w:tblPr>
        <w:tblStyle w:val="TableGrid"/>
        <w:tblW w:w="5000" w:type="pct"/>
        <w:tblLook w:val="04A0" w:firstRow="1" w:lastRow="0" w:firstColumn="1" w:lastColumn="0" w:noHBand="0" w:noVBand="1"/>
        <w:tblCaption w:val="B04BPPFFYNCFINDINGS"/>
      </w:tblPr>
      <w:tblGrid>
        <w:gridCol w:w="1996"/>
        <w:gridCol w:w="2997"/>
        <w:gridCol w:w="2989"/>
        <w:gridCol w:w="2808"/>
      </w:tblGrid>
      <w:tr w:rsidR="005C29F8" w:rsidRPr="00781112" w14:paraId="4930569D" w14:textId="77777777" w:rsidTr="00A05C13">
        <w:trPr>
          <w:tblHeader/>
        </w:trPr>
        <w:tc>
          <w:tcPr>
            <w:tcW w:w="925" w:type="pct"/>
            <w:vAlign w:val="bottom"/>
          </w:tcPr>
          <w:p w14:paraId="385FBB5C" w14:textId="77777777" w:rsidR="009A755E" w:rsidRPr="00781112" w:rsidRDefault="0016730D"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89" w:type="pct"/>
            <w:vAlign w:val="bottom"/>
          </w:tcPr>
          <w:p w14:paraId="4BA3951C" w14:textId="77777777"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2023 APR</w:t>
            </w:r>
          </w:p>
        </w:tc>
        <w:tc>
          <w:tcPr>
            <w:tcW w:w="1385" w:type="pct"/>
            <w:vAlign w:val="bottom"/>
          </w:tcPr>
          <w:p w14:paraId="5D9C211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301" w:type="pct"/>
            <w:vAlign w:val="bottom"/>
          </w:tcPr>
          <w:p w14:paraId="49AE925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176764E2" w14:textId="77777777" w:rsidTr="00A05C13">
        <w:tc>
          <w:tcPr>
            <w:tcW w:w="925" w:type="pct"/>
          </w:tcPr>
          <w:p w14:paraId="5E77A46B" w14:textId="77777777" w:rsidR="009A755E" w:rsidRPr="00781112" w:rsidRDefault="009A755E" w:rsidP="00A018D4">
            <w:pPr>
              <w:jc w:val="center"/>
              <w:rPr>
                <w:rFonts w:cs="Arial"/>
                <w:color w:val="000000" w:themeColor="text1"/>
                <w:szCs w:val="16"/>
              </w:rPr>
            </w:pPr>
          </w:p>
        </w:tc>
        <w:tc>
          <w:tcPr>
            <w:tcW w:w="1389" w:type="pct"/>
          </w:tcPr>
          <w:p w14:paraId="2EEB7F7A" w14:textId="77777777" w:rsidR="009A755E" w:rsidRPr="00781112" w:rsidRDefault="009A755E">
            <w:pPr>
              <w:jc w:val="center"/>
              <w:rPr>
                <w:rFonts w:cs="Arial"/>
                <w:noProof/>
                <w:color w:val="000000" w:themeColor="text1"/>
                <w:szCs w:val="16"/>
              </w:rPr>
            </w:pPr>
          </w:p>
        </w:tc>
        <w:tc>
          <w:tcPr>
            <w:tcW w:w="1385" w:type="pct"/>
          </w:tcPr>
          <w:p w14:paraId="1B8646A9" w14:textId="77777777" w:rsidR="009A755E" w:rsidRPr="00781112" w:rsidRDefault="009A755E">
            <w:pPr>
              <w:jc w:val="center"/>
              <w:rPr>
                <w:rFonts w:cs="Arial"/>
                <w:noProof/>
                <w:color w:val="000000" w:themeColor="text1"/>
                <w:szCs w:val="16"/>
              </w:rPr>
            </w:pPr>
          </w:p>
        </w:tc>
        <w:tc>
          <w:tcPr>
            <w:tcW w:w="1301" w:type="pct"/>
          </w:tcPr>
          <w:p w14:paraId="095184FC" w14:textId="77777777" w:rsidR="009A755E" w:rsidRPr="00781112" w:rsidRDefault="009A755E">
            <w:pPr>
              <w:jc w:val="center"/>
              <w:rPr>
                <w:rFonts w:cs="Arial"/>
                <w:noProof/>
                <w:color w:val="000000" w:themeColor="text1"/>
                <w:szCs w:val="16"/>
              </w:rPr>
            </w:pPr>
          </w:p>
        </w:tc>
      </w:tr>
      <w:tr w:rsidR="005C29F8" w:rsidRPr="00781112" w14:paraId="7C4B6D1E" w14:textId="77777777" w:rsidTr="00A05C13">
        <w:tc>
          <w:tcPr>
            <w:tcW w:w="925" w:type="pct"/>
          </w:tcPr>
          <w:p w14:paraId="7495E174" w14:textId="77777777" w:rsidR="009A755E" w:rsidRPr="00781112" w:rsidRDefault="009A755E" w:rsidP="00A018D4">
            <w:pPr>
              <w:jc w:val="center"/>
              <w:rPr>
                <w:rFonts w:cs="Arial"/>
                <w:color w:val="000000" w:themeColor="text1"/>
                <w:szCs w:val="16"/>
              </w:rPr>
            </w:pPr>
          </w:p>
        </w:tc>
        <w:tc>
          <w:tcPr>
            <w:tcW w:w="1389" w:type="pct"/>
          </w:tcPr>
          <w:p w14:paraId="34F7178D" w14:textId="77777777" w:rsidR="009A755E" w:rsidRPr="00781112" w:rsidRDefault="009A755E">
            <w:pPr>
              <w:jc w:val="center"/>
              <w:rPr>
                <w:rFonts w:cs="Arial"/>
                <w:noProof/>
                <w:color w:val="000000" w:themeColor="text1"/>
                <w:szCs w:val="16"/>
              </w:rPr>
            </w:pPr>
          </w:p>
        </w:tc>
        <w:tc>
          <w:tcPr>
            <w:tcW w:w="1385" w:type="pct"/>
          </w:tcPr>
          <w:p w14:paraId="064F522B" w14:textId="77777777" w:rsidR="009A755E" w:rsidRPr="00781112" w:rsidRDefault="009A755E">
            <w:pPr>
              <w:jc w:val="center"/>
              <w:rPr>
                <w:rFonts w:cs="Arial"/>
                <w:noProof/>
                <w:color w:val="000000" w:themeColor="text1"/>
                <w:szCs w:val="16"/>
              </w:rPr>
            </w:pPr>
          </w:p>
        </w:tc>
        <w:tc>
          <w:tcPr>
            <w:tcW w:w="1301" w:type="pct"/>
          </w:tcPr>
          <w:p w14:paraId="2C0FFC36" w14:textId="77777777" w:rsidR="009A755E" w:rsidRPr="00781112" w:rsidRDefault="009A755E">
            <w:pPr>
              <w:jc w:val="center"/>
              <w:rPr>
                <w:rFonts w:cs="Arial"/>
                <w:noProof/>
                <w:color w:val="000000" w:themeColor="text1"/>
                <w:szCs w:val="16"/>
              </w:rPr>
            </w:pPr>
          </w:p>
        </w:tc>
      </w:tr>
      <w:tr w:rsidR="005C29F8" w:rsidRPr="00781112" w14:paraId="2118769C" w14:textId="77777777" w:rsidTr="00A05C13">
        <w:tc>
          <w:tcPr>
            <w:tcW w:w="925" w:type="pct"/>
          </w:tcPr>
          <w:p w14:paraId="74A61F5E" w14:textId="77777777" w:rsidR="009A755E" w:rsidRPr="00781112" w:rsidRDefault="009A755E" w:rsidP="00A018D4">
            <w:pPr>
              <w:jc w:val="center"/>
              <w:rPr>
                <w:rFonts w:cs="Arial"/>
                <w:color w:val="000000" w:themeColor="text1"/>
                <w:szCs w:val="16"/>
              </w:rPr>
            </w:pPr>
          </w:p>
        </w:tc>
        <w:tc>
          <w:tcPr>
            <w:tcW w:w="1389" w:type="pct"/>
          </w:tcPr>
          <w:p w14:paraId="240E4293" w14:textId="77777777" w:rsidR="009A755E" w:rsidRPr="00781112" w:rsidRDefault="009A755E">
            <w:pPr>
              <w:jc w:val="center"/>
              <w:rPr>
                <w:rFonts w:cs="Arial"/>
                <w:noProof/>
                <w:color w:val="000000" w:themeColor="text1"/>
                <w:szCs w:val="16"/>
              </w:rPr>
            </w:pPr>
          </w:p>
        </w:tc>
        <w:tc>
          <w:tcPr>
            <w:tcW w:w="1385" w:type="pct"/>
          </w:tcPr>
          <w:p w14:paraId="521CCAC2" w14:textId="77777777" w:rsidR="009A755E" w:rsidRPr="00781112" w:rsidRDefault="009A755E">
            <w:pPr>
              <w:jc w:val="center"/>
              <w:rPr>
                <w:rFonts w:cs="Arial"/>
                <w:noProof/>
                <w:color w:val="000000" w:themeColor="text1"/>
                <w:szCs w:val="16"/>
              </w:rPr>
            </w:pPr>
          </w:p>
        </w:tc>
        <w:tc>
          <w:tcPr>
            <w:tcW w:w="1301" w:type="pct"/>
          </w:tcPr>
          <w:p w14:paraId="359B47A6" w14:textId="77777777" w:rsidR="009A755E" w:rsidRPr="00781112" w:rsidRDefault="009A755E">
            <w:pPr>
              <w:jc w:val="center"/>
              <w:rPr>
                <w:rFonts w:cs="Arial"/>
                <w:noProof/>
                <w:color w:val="000000" w:themeColor="text1"/>
                <w:szCs w:val="16"/>
              </w:rPr>
            </w:pPr>
          </w:p>
        </w:tc>
      </w:tr>
      <w:tr w:rsidR="00A05C13" w:rsidRPr="00781112" w14:paraId="097DB06A" w14:textId="77777777" w:rsidTr="00A05C13">
        <w:tc>
          <w:tcPr>
            <w:tcW w:w="925" w:type="pct"/>
          </w:tcPr>
          <w:p w14:paraId="428B0734" w14:textId="77777777" w:rsidR="00A05C13" w:rsidRPr="00781112" w:rsidRDefault="00A05C13" w:rsidP="00A05C13">
            <w:pPr>
              <w:jc w:val="center"/>
              <w:rPr>
                <w:rFonts w:cs="Arial"/>
                <w:color w:val="000000" w:themeColor="text1"/>
                <w:szCs w:val="16"/>
              </w:rPr>
            </w:pPr>
          </w:p>
        </w:tc>
        <w:tc>
          <w:tcPr>
            <w:tcW w:w="1389" w:type="pct"/>
          </w:tcPr>
          <w:p w14:paraId="6AA02922" w14:textId="77777777" w:rsidR="00A05C13" w:rsidRPr="00781112" w:rsidRDefault="00A05C13" w:rsidP="00A05C13">
            <w:pPr>
              <w:jc w:val="center"/>
              <w:rPr>
                <w:rFonts w:cs="Arial"/>
                <w:color w:val="000000" w:themeColor="text1"/>
                <w:szCs w:val="16"/>
              </w:rPr>
            </w:pPr>
          </w:p>
        </w:tc>
        <w:tc>
          <w:tcPr>
            <w:tcW w:w="1385" w:type="pct"/>
          </w:tcPr>
          <w:p w14:paraId="1D56F5FD" w14:textId="77777777" w:rsidR="00A05C13" w:rsidRPr="00781112" w:rsidRDefault="00A05C13" w:rsidP="00A05C13">
            <w:pPr>
              <w:jc w:val="center"/>
              <w:rPr>
                <w:rFonts w:cs="Arial"/>
                <w:color w:val="000000" w:themeColor="text1"/>
                <w:szCs w:val="16"/>
              </w:rPr>
            </w:pPr>
          </w:p>
        </w:tc>
        <w:tc>
          <w:tcPr>
            <w:tcW w:w="1301" w:type="pct"/>
          </w:tcPr>
          <w:p w14:paraId="2C27AF52" w14:textId="77777777" w:rsidR="00A05C13" w:rsidRPr="00781112" w:rsidRDefault="00A05C13" w:rsidP="00A05C13">
            <w:pPr>
              <w:jc w:val="center"/>
              <w:rPr>
                <w:rFonts w:cs="Arial"/>
                <w:color w:val="000000" w:themeColor="text1"/>
                <w:szCs w:val="16"/>
              </w:rPr>
            </w:pPr>
          </w:p>
        </w:tc>
      </w:tr>
      <w:tr w:rsidR="00A05C13" w:rsidRPr="00781112" w14:paraId="022292D3" w14:textId="77777777" w:rsidTr="00A05C13">
        <w:tc>
          <w:tcPr>
            <w:tcW w:w="925" w:type="pct"/>
          </w:tcPr>
          <w:p w14:paraId="35E57AE5" w14:textId="77777777" w:rsidR="00A05C13" w:rsidRPr="00781112" w:rsidRDefault="00A05C13" w:rsidP="00A05C13">
            <w:pPr>
              <w:jc w:val="center"/>
              <w:rPr>
                <w:rFonts w:cs="Arial"/>
                <w:color w:val="000000" w:themeColor="text1"/>
                <w:szCs w:val="16"/>
              </w:rPr>
            </w:pPr>
          </w:p>
        </w:tc>
        <w:tc>
          <w:tcPr>
            <w:tcW w:w="1389" w:type="pct"/>
          </w:tcPr>
          <w:p w14:paraId="3FA8795C" w14:textId="77777777" w:rsidR="00A05C13" w:rsidRPr="00781112" w:rsidRDefault="00A05C13" w:rsidP="00A05C13">
            <w:pPr>
              <w:jc w:val="center"/>
              <w:rPr>
                <w:rFonts w:cs="Arial"/>
                <w:color w:val="000000" w:themeColor="text1"/>
                <w:szCs w:val="16"/>
              </w:rPr>
            </w:pPr>
          </w:p>
        </w:tc>
        <w:tc>
          <w:tcPr>
            <w:tcW w:w="1385" w:type="pct"/>
          </w:tcPr>
          <w:p w14:paraId="3D4493EA" w14:textId="77777777" w:rsidR="00A05C13" w:rsidRPr="00781112" w:rsidRDefault="00A05C13" w:rsidP="00A05C13">
            <w:pPr>
              <w:jc w:val="center"/>
              <w:rPr>
                <w:rFonts w:cs="Arial"/>
                <w:color w:val="000000" w:themeColor="text1"/>
                <w:szCs w:val="16"/>
              </w:rPr>
            </w:pPr>
          </w:p>
        </w:tc>
        <w:tc>
          <w:tcPr>
            <w:tcW w:w="1301" w:type="pct"/>
          </w:tcPr>
          <w:p w14:paraId="0AEB5B84" w14:textId="77777777" w:rsidR="00A05C13" w:rsidRPr="00781112" w:rsidRDefault="00A05C13" w:rsidP="00A05C13">
            <w:pPr>
              <w:jc w:val="center"/>
              <w:rPr>
                <w:rFonts w:cs="Arial"/>
                <w:color w:val="000000" w:themeColor="text1"/>
                <w:szCs w:val="16"/>
              </w:rPr>
            </w:pPr>
          </w:p>
        </w:tc>
      </w:tr>
    </w:tbl>
    <w:p w14:paraId="03676127" w14:textId="77777777" w:rsidR="00A05C13" w:rsidRPr="00781112" w:rsidRDefault="00A05C13" w:rsidP="00C570AA">
      <w:pPr>
        <w:rPr>
          <w:rFonts w:cs="Arial"/>
          <w:color w:val="000000" w:themeColor="text1"/>
          <w:szCs w:val="16"/>
        </w:rPr>
      </w:pPr>
    </w:p>
    <w:p w14:paraId="3006C700" w14:textId="77777777" w:rsidR="004E2151" w:rsidRPr="00781112" w:rsidRDefault="00D11730" w:rsidP="008645AD">
      <w:pPr>
        <w:pStyle w:val="Heading2"/>
      </w:pPr>
      <w:r w:rsidRPr="00781112">
        <w:t>4B</w:t>
      </w:r>
      <w:r w:rsidR="00E90DE9" w:rsidRPr="00781112">
        <w:t xml:space="preserve"> </w:t>
      </w:r>
      <w:r w:rsidRPr="00781112">
        <w:t xml:space="preserve">- </w:t>
      </w:r>
      <w:r w:rsidR="004E2151" w:rsidRPr="00781112">
        <w:t>Prior FFY Required Actions</w:t>
      </w:r>
    </w:p>
    <w:p w14:paraId="0F0D0D75" w14:textId="77777777" w:rsidR="009B02BC" w:rsidRPr="00781112" w:rsidRDefault="002B7490" w:rsidP="004E2151">
      <w:pPr>
        <w:rPr>
          <w:rFonts w:cs="Arial"/>
          <w:color w:val="000000" w:themeColor="text1"/>
          <w:szCs w:val="16"/>
        </w:rPr>
      </w:pPr>
      <w:r w:rsidRPr="00781112">
        <w:rPr>
          <w:rFonts w:cs="Arial"/>
          <w:color w:val="000000" w:themeColor="text1"/>
          <w:szCs w:val="16"/>
        </w:rPr>
        <w:t xml:space="preserve">Because the State reported less than 100% compliance (greater than 0% actual target data for this indicator) for FFY 2023, the State must report on the status of correction of noncompliance identified in FFY 2023 for this indicator. The State must demonstrate, in the FFY 2024 SPP/APR, that the districts identified with noncompliance in FFY 2023 have corrected the noncompliance, including that the State verified that each district with noncompliance: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district, consistent with OSEP QA 23-01. In the FFY 2024 SPP/APR, the State must describe the specific actions that were taken to verify the correction. If the State did not identify any findings of noncompliance in FFY 2023, although its FFY 2023 data reflect less than 100% compliance (greater than 0% actual target data for this indicator), provide an explanation of why the State did not identify any findings of noncompliance in FFY 2023. If the State did not issue any findings because it has adopted procedures that permit its LEAs to correct noncompliance prior to the State's issuance of a finding, the explanation must include how the State verified, prior to issuing a finding, that the LEA has corrected each individual case or child-specific noncompliance and is correctly implementing the specific regulatory requirements. </w:t>
      </w:r>
    </w:p>
    <w:p w14:paraId="02C9EA28" w14:textId="77777777" w:rsidR="004E2151" w:rsidRPr="00781112" w:rsidRDefault="007639D7" w:rsidP="004369B2">
      <w:pPr>
        <w:rPr>
          <w:b/>
          <w:color w:val="000000" w:themeColor="text1"/>
        </w:rPr>
      </w:pPr>
      <w:r>
        <w:rPr>
          <w:b/>
          <w:color w:val="000000" w:themeColor="text1"/>
        </w:rPr>
        <w:t>Response to actions required in FFY 2023 SPP/APR</w:t>
      </w:r>
    </w:p>
    <w:p w14:paraId="1728B58C" w14:textId="77777777" w:rsidR="004E2151" w:rsidRPr="00781112" w:rsidRDefault="002B7490" w:rsidP="004E2151">
      <w:pPr>
        <w:rPr>
          <w:rFonts w:cs="Arial"/>
          <w:color w:val="000000" w:themeColor="text1"/>
          <w:szCs w:val="16"/>
        </w:rPr>
      </w:pPr>
      <w:r w:rsidRPr="00781112">
        <w:rPr>
          <w:rFonts w:cs="Arial"/>
          <w:color w:val="000000" w:themeColor="text1"/>
          <w:szCs w:val="16"/>
        </w:rPr>
        <w:t>For detailed information on the status of correction of noncompliance identified in FFY 2023, please refer to the sections “Correction of Findings of Noncompliance Identified in FFY 2023,” “FFY 2023 Findings of Noncompliance Verified as Corrected,” and "FFY 2023 Findings of Noncompliance Not Yet Verified as Corrected."</w:t>
      </w:r>
    </w:p>
    <w:p w14:paraId="0FC96FC1" w14:textId="77777777" w:rsidR="00744E34" w:rsidRPr="00781112" w:rsidRDefault="00744E34" w:rsidP="004E2151">
      <w:pPr>
        <w:rPr>
          <w:rFonts w:cs="Arial"/>
          <w:color w:val="000000" w:themeColor="text1"/>
          <w:szCs w:val="16"/>
        </w:rPr>
      </w:pPr>
    </w:p>
    <w:p w14:paraId="3DD0EE35" w14:textId="77777777" w:rsidR="005115D6" w:rsidRPr="00781112" w:rsidRDefault="00D11730" w:rsidP="008645AD">
      <w:pPr>
        <w:pStyle w:val="Heading2"/>
      </w:pPr>
      <w:r w:rsidRPr="00781112">
        <w:t>4B - OSEP Response</w:t>
      </w:r>
    </w:p>
    <w:p w14:paraId="134F3419" w14:textId="77777777" w:rsidR="003C308E" w:rsidRPr="00781112" w:rsidRDefault="003C308E" w:rsidP="00212954">
      <w:pPr>
        <w:rPr>
          <w:rFonts w:cs="Arial"/>
          <w:color w:val="000000" w:themeColor="text1"/>
          <w:szCs w:val="16"/>
        </w:rPr>
      </w:pPr>
    </w:p>
    <w:p w14:paraId="608E4DCA" w14:textId="77777777" w:rsidR="005115D6" w:rsidRPr="00781112" w:rsidRDefault="00D11730" w:rsidP="008645AD">
      <w:pPr>
        <w:pStyle w:val="Heading2"/>
      </w:pPr>
      <w:r w:rsidRPr="00781112">
        <w:t>4B- Required Actions</w:t>
      </w:r>
    </w:p>
    <w:p w14:paraId="4E4B2CC0" w14:textId="77777777" w:rsidR="003C308E" w:rsidRPr="00781112" w:rsidRDefault="002B7490" w:rsidP="00212954">
      <w:pPr>
        <w:rPr>
          <w:rFonts w:cs="Arial"/>
          <w:color w:val="000000" w:themeColor="text1"/>
          <w:szCs w:val="16"/>
        </w:rPr>
      </w:pPr>
      <w:r w:rsidRPr="00781112">
        <w:rPr>
          <w:rFonts w:cs="Arial"/>
          <w:color w:val="000000" w:themeColor="text1"/>
          <w:szCs w:val="16"/>
        </w:rPr>
        <w:t xml:space="preserve">Because the State reported less than 100% compliance (greater than 0% actual target data for this indicator) for FFY 2024, the State must report on the status of correction of noncompliance identified in FFY 2024 for this indicator. The State must demonstrate, in the FFY 2025 SPP/APR, that the districts identified with noncompliance in FFY 2024 have corrected the noncompliance, including that the State verified that each district with noncompliance: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district, consistent with OSEP QA 23-01. In the FFY 2025 SPP/APR, the State must describe the specific actions that were taken to verify the correction. If the State did not identify any findings of noncompliance in FFY 2024, although its FFY 2024 data reflect less than 100% compliance (greater than 0% actual target data for this indicator), provide an explanation of why the State did not identify any findings of noncompliance in FFY 2024. If the State did not issue any findings because it has adopted procedures that permit its LEAs to correct noncompliance prior to the State's issuance of a finding, the explanation must include how the State verified, prior to issuing a finding, that the LEA has corrected each individual case or child-specific noncompliance and is correctly implementing the specific regulatory requirements. </w:t>
      </w:r>
    </w:p>
    <w:p w14:paraId="3500B0F2"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7690FCAB" w14:textId="77777777" w:rsidR="00D21EAA" w:rsidRPr="00781112" w:rsidRDefault="00D21EAA" w:rsidP="000444E2">
      <w:pPr>
        <w:pStyle w:val="Heading1"/>
        <w:rPr>
          <w:color w:val="000000" w:themeColor="text1"/>
          <w:sz w:val="22"/>
        </w:rPr>
      </w:pPr>
      <w:r w:rsidRPr="00781112">
        <w:rPr>
          <w:color w:val="000000" w:themeColor="text1"/>
          <w:sz w:val="22"/>
        </w:rPr>
        <w:lastRenderedPageBreak/>
        <w:t xml:space="preserve">Indicator 5: </w:t>
      </w:r>
      <w:bookmarkEnd w:id="12"/>
      <w:r w:rsidRPr="00781112">
        <w:rPr>
          <w:color w:val="000000" w:themeColor="text1"/>
          <w:sz w:val="22"/>
        </w:rPr>
        <w:t xml:space="preserve">Education Environments (children </w:t>
      </w:r>
      <w:r w:rsidR="00D35A49" w:rsidRPr="00781112">
        <w:rPr>
          <w:color w:val="000000" w:themeColor="text1"/>
          <w:sz w:val="22"/>
        </w:rPr>
        <w:t xml:space="preserve">5 (Kindergarten) </w:t>
      </w:r>
      <w:r w:rsidRPr="00781112">
        <w:rPr>
          <w:color w:val="000000" w:themeColor="text1"/>
          <w:sz w:val="22"/>
        </w:rPr>
        <w:t>-</w:t>
      </w:r>
      <w:r w:rsidR="00D35A49" w:rsidRPr="00781112">
        <w:rPr>
          <w:color w:val="000000" w:themeColor="text1"/>
          <w:sz w:val="22"/>
        </w:rPr>
        <w:t xml:space="preserve"> </w:t>
      </w:r>
      <w:r w:rsidRPr="00781112">
        <w:rPr>
          <w:color w:val="000000" w:themeColor="text1"/>
          <w:sz w:val="22"/>
        </w:rPr>
        <w:t>21)</w:t>
      </w:r>
      <w:bookmarkEnd w:id="19"/>
      <w:bookmarkEnd w:id="33"/>
    </w:p>
    <w:p w14:paraId="333A1446" w14:textId="77777777" w:rsidR="00775845" w:rsidRPr="002C274F" w:rsidRDefault="00775845" w:rsidP="002C274F">
      <w:pPr>
        <w:rPr>
          <w:b/>
          <w:bCs/>
          <w:sz w:val="20"/>
          <w:szCs w:val="20"/>
        </w:rPr>
      </w:pPr>
      <w:bookmarkStart w:id="34" w:name="_Toc392159295"/>
      <w:r w:rsidRPr="002C274F">
        <w:rPr>
          <w:b/>
          <w:bCs/>
          <w:sz w:val="20"/>
          <w:szCs w:val="20"/>
        </w:rPr>
        <w:t xml:space="preserve">Instructions and Measurement </w:t>
      </w:r>
    </w:p>
    <w:p w14:paraId="5628877D" w14:textId="77777777"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6BE299E1" w14:textId="77777777" w:rsidR="00CC634E" w:rsidRPr="00781112" w:rsidRDefault="00CC634E" w:rsidP="009A755E">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children with IEPs aged</w:t>
      </w:r>
      <w:r w:rsidR="001E6A41" w:rsidRPr="00781112">
        <w:rPr>
          <w:rFonts w:cs="Arial"/>
          <w:color w:val="000000" w:themeColor="text1"/>
          <w:szCs w:val="16"/>
        </w:rPr>
        <w:t xml:space="preserve"> </w:t>
      </w:r>
      <w:r w:rsidR="001E6A41" w:rsidRPr="00781112">
        <w:rPr>
          <w:rFonts w:cs="Arial"/>
          <w:szCs w:val="16"/>
        </w:rPr>
        <w:t>5 who are enrolled in kindergarten and aged</w:t>
      </w:r>
      <w:r w:rsidRPr="00781112">
        <w:rPr>
          <w:rFonts w:cs="Arial"/>
          <w:color w:val="000000" w:themeColor="text1"/>
          <w:szCs w:val="16"/>
        </w:rPr>
        <w:t xml:space="preserve"> 6 through 21 served:</w:t>
      </w:r>
    </w:p>
    <w:p w14:paraId="6F3633E9" w14:textId="77777777" w:rsidR="00CC634E" w:rsidRPr="00781112" w:rsidRDefault="00B9739D" w:rsidP="006A01BD">
      <w:pPr>
        <w:ind w:firstLine="720"/>
        <w:rPr>
          <w:rFonts w:cs="Arial"/>
          <w:color w:val="000000" w:themeColor="text1"/>
          <w:szCs w:val="16"/>
        </w:rPr>
      </w:pPr>
      <w:r w:rsidRPr="00781112">
        <w:rPr>
          <w:rFonts w:cs="Arial"/>
          <w:color w:val="000000" w:themeColor="text1"/>
          <w:szCs w:val="16"/>
        </w:rPr>
        <w:t>A. Inside the regular class 80% or more of the day;</w:t>
      </w:r>
    </w:p>
    <w:p w14:paraId="0D72767F" w14:textId="77777777" w:rsidR="00CC634E" w:rsidRPr="00781112" w:rsidRDefault="00B9739D" w:rsidP="006A01BD">
      <w:pPr>
        <w:ind w:firstLine="720"/>
        <w:rPr>
          <w:rFonts w:cs="Arial"/>
          <w:color w:val="000000" w:themeColor="text1"/>
          <w:szCs w:val="16"/>
        </w:rPr>
      </w:pPr>
      <w:r w:rsidRPr="00781112">
        <w:rPr>
          <w:rFonts w:cs="Arial"/>
          <w:color w:val="000000" w:themeColor="text1"/>
          <w:szCs w:val="16"/>
        </w:rPr>
        <w:t>B. Inside the regular class less than 40% of the day; and</w:t>
      </w:r>
    </w:p>
    <w:p w14:paraId="7B389B8F" w14:textId="77777777" w:rsidR="00CC634E" w:rsidRPr="00781112" w:rsidRDefault="00B9739D" w:rsidP="006A01BD">
      <w:pPr>
        <w:ind w:firstLine="720"/>
        <w:rPr>
          <w:rFonts w:cs="Arial"/>
          <w:color w:val="000000" w:themeColor="text1"/>
          <w:szCs w:val="16"/>
        </w:rPr>
      </w:pPr>
      <w:r w:rsidRPr="00781112">
        <w:rPr>
          <w:rFonts w:cs="Arial"/>
          <w:color w:val="000000" w:themeColor="text1"/>
          <w:szCs w:val="16"/>
        </w:rPr>
        <w:t>C. In separate schools, residential facilities, or homebound/hospital placements.</w:t>
      </w:r>
    </w:p>
    <w:p w14:paraId="45B4AA58" w14:textId="77777777" w:rsidR="0011074D" w:rsidRPr="00781112" w:rsidRDefault="0011074D" w:rsidP="0011074D">
      <w:pPr>
        <w:rPr>
          <w:rFonts w:cs="Arial"/>
          <w:color w:val="000000" w:themeColor="text1"/>
          <w:szCs w:val="16"/>
        </w:rPr>
      </w:pPr>
      <w:r w:rsidRPr="00781112">
        <w:rPr>
          <w:rFonts w:cs="Arial"/>
          <w:color w:val="000000" w:themeColor="text1"/>
          <w:szCs w:val="16"/>
        </w:rPr>
        <w:t>(20 U.S.C. 1416(a)(3)(A))</w:t>
      </w:r>
    </w:p>
    <w:p w14:paraId="3EF7D34D" w14:textId="77777777" w:rsidR="001F6A28" w:rsidRPr="00781112" w:rsidRDefault="001F6A28" w:rsidP="004369B2">
      <w:pPr>
        <w:rPr>
          <w:color w:val="000000" w:themeColor="text1"/>
        </w:rPr>
      </w:pPr>
      <w:r w:rsidRPr="00781112">
        <w:rPr>
          <w:b/>
          <w:color w:val="000000" w:themeColor="text1"/>
        </w:rPr>
        <w:t>Data Source</w:t>
      </w:r>
    </w:p>
    <w:p w14:paraId="447208F0" w14:textId="77777777" w:rsidR="001F6A28" w:rsidRPr="00781112" w:rsidRDefault="001F6A28" w:rsidP="00BB7BC9">
      <w:pPr>
        <w:rPr>
          <w:rFonts w:cs="Arial"/>
          <w:color w:val="000000" w:themeColor="text1"/>
          <w:szCs w:val="16"/>
        </w:rPr>
      </w:pPr>
      <w:r w:rsidRPr="00781112">
        <w:rPr>
          <w:rFonts w:cs="Arial"/>
          <w:color w:val="000000" w:themeColor="text1"/>
          <w:szCs w:val="16"/>
        </w:rPr>
        <w:t>S</w:t>
      </w:r>
      <w:r w:rsidRPr="00781112">
        <w:rPr>
          <w:rFonts w:cs="Arial"/>
          <w:color w:val="000000" w:themeColor="text1"/>
          <w:szCs w:val="16"/>
          <w:shd w:val="clear" w:color="auto" w:fill="FFFFFF"/>
        </w:rPr>
        <w:t xml:space="preserve">ame data as used for reporting to the Department under section 618 of the IDEA, using the definitions in </w:t>
      </w:r>
      <w:proofErr w:type="spellStart"/>
      <w:r w:rsidRPr="00781112">
        <w:rPr>
          <w:rFonts w:cs="Arial"/>
          <w:color w:val="000000" w:themeColor="text1"/>
          <w:szCs w:val="16"/>
          <w:shd w:val="clear" w:color="auto" w:fill="FFFFFF"/>
        </w:rPr>
        <w:t>ED</w:t>
      </w:r>
      <w:r w:rsidRPr="00BA3DBE">
        <w:rPr>
          <w:rFonts w:cs="Arial"/>
          <w:i/>
          <w:iCs/>
          <w:color w:val="000000" w:themeColor="text1"/>
          <w:szCs w:val="16"/>
          <w:shd w:val="clear" w:color="auto" w:fill="FFFFFF"/>
        </w:rPr>
        <w:t>Facts</w:t>
      </w:r>
      <w:proofErr w:type="spellEnd"/>
      <w:r w:rsidRPr="00781112">
        <w:rPr>
          <w:rFonts w:cs="Arial"/>
          <w:color w:val="000000" w:themeColor="text1"/>
          <w:szCs w:val="16"/>
          <w:shd w:val="clear" w:color="auto" w:fill="FFFFFF"/>
        </w:rPr>
        <w:t xml:space="preserve"> file specification </w:t>
      </w:r>
      <w:r w:rsidR="00A95280" w:rsidRPr="00781112">
        <w:rPr>
          <w:rFonts w:cs="Arial"/>
          <w:color w:val="000000" w:themeColor="text1"/>
          <w:szCs w:val="16"/>
          <w:shd w:val="clear" w:color="auto" w:fill="FFFFFF"/>
        </w:rPr>
        <w:t>FS</w:t>
      </w:r>
      <w:r w:rsidRPr="00781112">
        <w:rPr>
          <w:rFonts w:cs="Arial"/>
          <w:color w:val="000000" w:themeColor="text1"/>
          <w:szCs w:val="16"/>
          <w:shd w:val="clear" w:color="auto" w:fill="FFFFFF"/>
        </w:rPr>
        <w:t>002.</w:t>
      </w:r>
    </w:p>
    <w:p w14:paraId="65CDC277" w14:textId="77777777" w:rsidR="001F6A28" w:rsidRPr="00781112" w:rsidRDefault="001F6A28" w:rsidP="004369B2">
      <w:pPr>
        <w:rPr>
          <w:color w:val="000000" w:themeColor="text1"/>
        </w:rPr>
      </w:pPr>
      <w:r w:rsidRPr="00781112">
        <w:rPr>
          <w:b/>
          <w:color w:val="000000" w:themeColor="text1"/>
        </w:rPr>
        <w:t>Measurement</w:t>
      </w:r>
    </w:p>
    <w:p w14:paraId="21AA42EC" w14:textId="77777777" w:rsidR="001F6A28" w:rsidRPr="00781112" w:rsidRDefault="001E6A41" w:rsidP="00286BDF">
      <w:pPr>
        <w:rPr>
          <w:rFonts w:cs="Arial"/>
          <w:color w:val="000000" w:themeColor="text1"/>
          <w:szCs w:val="16"/>
        </w:rPr>
      </w:pPr>
      <w:r w:rsidRPr="00781112">
        <w:rPr>
          <w:rFonts w:cs="Arial"/>
          <w:color w:val="000000" w:themeColor="text1"/>
          <w:szCs w:val="16"/>
        </w:rPr>
        <w:tab/>
        <w:t>A. Percent</w:t>
      </w:r>
      <w:r w:rsidR="001F6A28" w:rsidRPr="00781112">
        <w:rPr>
          <w:rFonts w:cs="Arial"/>
          <w:color w:val="000000" w:themeColor="text1"/>
          <w:szCs w:val="16"/>
          <w:shd w:val="clear" w:color="auto" w:fill="FFFFFF"/>
        </w:rPr>
        <w:t xml:space="preserve"> = </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 xml:space="preserve">of children with IEPs aged </w:t>
      </w:r>
      <w:r w:rsidR="00E97CD6"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21 served inside the regular class 80% or </w:t>
      </w:r>
      <w:r w:rsidR="00AE5A55">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more of the day)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6 through 21 with IEPs</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times 100.</w:t>
      </w:r>
    </w:p>
    <w:p w14:paraId="1BD61C99" w14:textId="77777777" w:rsidR="001F6A28" w:rsidRPr="00781112" w:rsidRDefault="001E6A41" w:rsidP="00286BDF">
      <w:pPr>
        <w:rPr>
          <w:rFonts w:cs="Arial"/>
          <w:color w:val="000000" w:themeColor="text1"/>
          <w:szCs w:val="16"/>
        </w:rPr>
      </w:pPr>
      <w:r w:rsidRPr="00781112">
        <w:rPr>
          <w:rFonts w:cs="Arial"/>
          <w:color w:val="000000" w:themeColor="text1"/>
          <w:szCs w:val="16"/>
        </w:rPr>
        <w:tab/>
        <w:t xml:space="preserve">B. Percent </w:t>
      </w:r>
      <w:r w:rsidR="00DB1150" w:rsidRPr="00781112">
        <w:rPr>
          <w:rFonts w:cs="Arial"/>
          <w:color w:val="000000" w:themeColor="text1"/>
          <w:szCs w:val="16"/>
          <w:shd w:val="clear" w:color="auto" w:fill="FFFFFF"/>
        </w:rPr>
        <w:t>=</w:t>
      </w:r>
      <w:r w:rsidR="001F6A28" w:rsidRPr="00781112">
        <w:rPr>
          <w:rFonts w:cs="Arial"/>
          <w:color w:val="000000" w:themeColor="text1"/>
          <w:szCs w:val="16"/>
          <w:shd w:val="clear" w:color="auto" w:fill="FFFFFF"/>
        </w:rPr>
        <w:t xml:space="preserve"> </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of children with IEPs aged</w:t>
      </w:r>
      <w:r w:rsidR="00E97CD6" w:rsidRPr="00781112">
        <w:rPr>
          <w:rFonts w:cs="Arial"/>
          <w:color w:val="000000" w:themeColor="text1"/>
          <w:szCs w:val="16"/>
          <w:shd w:val="clear" w:color="auto" w:fill="FFFFFF"/>
        </w:rPr>
        <w:t xml:space="preserve"> </w:t>
      </w:r>
      <w:r w:rsidR="00E97CD6" w:rsidRPr="00781112">
        <w:rPr>
          <w:rFonts w:cs="Arial"/>
          <w:szCs w:val="16"/>
        </w:rPr>
        <w:t>5 who are enrolled in kindergarten and aged</w:t>
      </w:r>
      <w:r w:rsidR="001F6A28" w:rsidRPr="00781112">
        <w:rPr>
          <w:rFonts w:cs="Arial"/>
          <w:color w:val="000000" w:themeColor="text1"/>
          <w:szCs w:val="16"/>
          <w:shd w:val="clear" w:color="auto" w:fill="FFFFFF"/>
        </w:rPr>
        <w:t xml:space="preserve"> 6 through 21 served inside the regular class less than </w:t>
      </w:r>
      <w:r w:rsidR="00E97CD6" w:rsidRPr="00781112">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40% of the day)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6 through 21 with IEPs</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times 100.</w:t>
      </w:r>
    </w:p>
    <w:p w14:paraId="0013CA4A" w14:textId="77777777" w:rsidR="001F6A28" w:rsidRPr="00781112" w:rsidRDefault="001E6A41" w:rsidP="00286BDF">
      <w:pPr>
        <w:rPr>
          <w:rFonts w:cs="Arial"/>
          <w:color w:val="000000" w:themeColor="text1"/>
          <w:szCs w:val="16"/>
        </w:rPr>
      </w:pPr>
      <w:r w:rsidRPr="00781112">
        <w:rPr>
          <w:rFonts w:cs="Arial"/>
          <w:color w:val="000000" w:themeColor="text1"/>
          <w:szCs w:val="16"/>
        </w:rPr>
        <w:tab/>
        <w:t>C. P</w:t>
      </w:r>
      <w:r w:rsidR="001F6A28" w:rsidRPr="00781112">
        <w:rPr>
          <w:rFonts w:cs="Arial"/>
          <w:color w:val="000000" w:themeColor="text1"/>
          <w:szCs w:val="16"/>
          <w:shd w:val="clear" w:color="auto" w:fill="FFFFFF"/>
        </w:rPr>
        <w:t xml:space="preserve">ercent = </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 xml:space="preserve">of children with IEPs aged </w:t>
      </w:r>
      <w:r w:rsidR="00E97CD6"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21 served in separate schools, residential </w:t>
      </w:r>
      <w:r w:rsidR="00E97CD6" w:rsidRPr="00781112">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facilities, or homebound/hospital placements)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w:t>
      </w:r>
      <w:r w:rsidR="00AE5A55">
        <w:rPr>
          <w:rFonts w:cs="Arial"/>
          <w:color w:val="000000" w:themeColor="text1"/>
          <w:szCs w:val="16"/>
          <w:shd w:val="clear" w:color="auto" w:fill="FFFFFF"/>
        </w:rPr>
        <w:tab/>
      </w:r>
      <w:r w:rsidR="001F6A28" w:rsidRPr="00781112">
        <w:rPr>
          <w:rFonts w:cs="Arial"/>
          <w:color w:val="000000" w:themeColor="text1"/>
          <w:szCs w:val="16"/>
          <w:shd w:val="clear" w:color="auto" w:fill="FFFFFF"/>
        </w:rPr>
        <w:t>21 with IEPs</w:t>
      </w:r>
      <w:r w:rsidR="00A33668" w:rsidRPr="00781112">
        <w:rPr>
          <w:rFonts w:cs="Arial"/>
          <w:color w:val="000000" w:themeColor="text1"/>
          <w:szCs w:val="16"/>
          <w:shd w:val="clear" w:color="auto" w:fill="FFFFFF"/>
        </w:rPr>
        <w:t>)]</w:t>
      </w:r>
      <w:r w:rsidR="00723936">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times 100.</w:t>
      </w:r>
    </w:p>
    <w:p w14:paraId="12442EE9" w14:textId="77777777" w:rsidR="001F6A28" w:rsidRPr="00781112" w:rsidRDefault="001F6A28" w:rsidP="004369B2">
      <w:pPr>
        <w:rPr>
          <w:color w:val="000000" w:themeColor="text1"/>
        </w:rPr>
      </w:pPr>
      <w:r w:rsidRPr="00781112">
        <w:rPr>
          <w:b/>
          <w:color w:val="000000" w:themeColor="text1"/>
        </w:rPr>
        <w:t>Instructions</w:t>
      </w:r>
    </w:p>
    <w:p w14:paraId="5CC852B2" w14:textId="77777777" w:rsidR="001F6A28" w:rsidRPr="00781112" w:rsidRDefault="001F6A28" w:rsidP="00BB7BC9">
      <w:pPr>
        <w:rPr>
          <w:rFonts w:cs="Arial"/>
          <w:i/>
          <w:iCs/>
          <w:color w:val="000000" w:themeColor="text1"/>
          <w:szCs w:val="16"/>
        </w:rPr>
      </w:pPr>
      <w:r w:rsidRPr="00781112">
        <w:rPr>
          <w:rFonts w:cs="Arial"/>
          <w:i/>
          <w:iCs/>
          <w:color w:val="000000" w:themeColor="text1"/>
          <w:szCs w:val="16"/>
        </w:rPr>
        <w:t>Sampling from the State’s 618 data is not allowed.</w:t>
      </w:r>
    </w:p>
    <w:p w14:paraId="0C196B0D" w14:textId="77777777" w:rsidR="00085D61" w:rsidRDefault="007072DC" w:rsidP="00BB7BC9">
      <w:pPr>
        <w:rPr>
          <w:rFonts w:cs="Arial"/>
          <w:szCs w:val="16"/>
        </w:rPr>
      </w:pPr>
      <w:r w:rsidRPr="00781112">
        <w:rPr>
          <w:rFonts w:cs="Arial"/>
          <w:szCs w:val="16"/>
        </w:rPr>
        <w:t>States must report five-year-old children with disabilities who are enrolled in kindergarten in this indicator. Five-year-old children with disabilities who are enrolled in preschool programs are included in Indicator 6.</w:t>
      </w:r>
    </w:p>
    <w:p w14:paraId="462C80B4" w14:textId="77777777" w:rsidR="001F6A28" w:rsidRPr="00781112" w:rsidRDefault="001F6A28" w:rsidP="00BB7BC9">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34524EF6" w14:textId="77777777" w:rsidR="001F6A28" w:rsidRPr="00781112" w:rsidRDefault="001F6A28" w:rsidP="00BB7BC9">
      <w:pPr>
        <w:rPr>
          <w:rFonts w:cs="Arial"/>
          <w:color w:val="000000" w:themeColor="text1"/>
          <w:szCs w:val="16"/>
        </w:rPr>
      </w:pPr>
      <w:r w:rsidRPr="00781112">
        <w:rPr>
          <w:rFonts w:cs="Arial"/>
          <w:color w:val="000000" w:themeColor="text1"/>
          <w:szCs w:val="16"/>
        </w:rPr>
        <w:t>If the data reported in this indicator are not the same as the State’s data reported under section 618 of the IDEA, explain.</w:t>
      </w:r>
    </w:p>
    <w:p w14:paraId="54ABF77A" w14:textId="77777777" w:rsidR="00476EA2" w:rsidRPr="00781112" w:rsidRDefault="007B5383" w:rsidP="008645AD">
      <w:pPr>
        <w:pStyle w:val="Heading2"/>
      </w:pPr>
      <w:r w:rsidRPr="00781112">
        <w:t>5</w:t>
      </w:r>
      <w:r w:rsidR="002203FA" w:rsidRPr="00781112">
        <w:t xml:space="preserve"> </w:t>
      </w:r>
      <w:r w:rsidRPr="00781112">
        <w:t xml:space="preserve">- </w:t>
      </w:r>
      <w:r w:rsidR="00A44506" w:rsidRPr="00781112">
        <w:t>Indicator Data</w:t>
      </w:r>
      <w:r w:rsidR="00476EA2" w:rsidRPr="00781112">
        <w:t xml:space="preserve"> </w:t>
      </w:r>
    </w:p>
    <w:bookmarkEnd w:id="34"/>
    <w:p w14:paraId="6441E16E" w14:textId="77777777" w:rsidR="00CC634E" w:rsidRPr="00781112" w:rsidRDefault="00CC634E"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5HISTDATA"/>
      </w:tblPr>
      <w:tblGrid>
        <w:gridCol w:w="536"/>
        <w:gridCol w:w="1464"/>
        <w:gridCol w:w="1465"/>
        <w:gridCol w:w="1465"/>
        <w:gridCol w:w="1465"/>
        <w:gridCol w:w="1465"/>
        <w:gridCol w:w="1465"/>
        <w:gridCol w:w="1465"/>
      </w:tblGrid>
      <w:tr w:rsidR="00483ABB" w:rsidRPr="00781112" w14:paraId="3A0E10AA" w14:textId="77777777" w:rsidTr="005F5FE9">
        <w:trPr>
          <w:trHeight w:val="350"/>
        </w:trPr>
        <w:tc>
          <w:tcPr>
            <w:tcW w:w="248" w:type="pct"/>
            <w:tcBorders>
              <w:top w:val="single" w:sz="4" w:space="0" w:color="auto"/>
              <w:left w:val="single" w:sz="4" w:space="0" w:color="auto"/>
              <w:bottom w:val="single" w:sz="4" w:space="0" w:color="auto"/>
              <w:right w:val="single" w:sz="4" w:space="0" w:color="auto"/>
            </w:tcBorders>
          </w:tcPr>
          <w:p w14:paraId="4E721832" w14:textId="77777777" w:rsidR="00E4112E" w:rsidRPr="00781112" w:rsidRDefault="001F64DB" w:rsidP="00E4112E">
            <w:pPr>
              <w:spacing w:line="276" w:lineRule="auto"/>
              <w:jc w:val="center"/>
              <w:rPr>
                <w:rFonts w:cs="Arial"/>
                <w:b/>
                <w:color w:val="000000" w:themeColor="text1"/>
                <w:szCs w:val="16"/>
              </w:rPr>
            </w:pPr>
            <w:r w:rsidRPr="00781112">
              <w:rPr>
                <w:rFonts w:cs="Arial"/>
                <w:b/>
                <w:color w:val="000000" w:themeColor="text1"/>
                <w:szCs w:val="16"/>
              </w:rPr>
              <w:t>Part</w:t>
            </w:r>
          </w:p>
        </w:tc>
        <w:tc>
          <w:tcPr>
            <w:tcW w:w="678" w:type="pct"/>
            <w:tcBorders>
              <w:top w:val="single" w:sz="4" w:space="0" w:color="auto"/>
              <w:left w:val="single" w:sz="4" w:space="0" w:color="auto"/>
              <w:bottom w:val="single" w:sz="4" w:space="0" w:color="auto"/>
              <w:right w:val="single" w:sz="4" w:space="0" w:color="auto"/>
            </w:tcBorders>
          </w:tcPr>
          <w:p w14:paraId="0A170AD6" w14:textId="77777777" w:rsidR="00E4112E" w:rsidRPr="00781112" w:rsidRDefault="00E4112E" w:rsidP="00E4112E">
            <w:pPr>
              <w:spacing w:line="276" w:lineRule="auto"/>
              <w:jc w:val="center"/>
              <w:rPr>
                <w:rFonts w:cs="Arial"/>
                <w:b/>
                <w:color w:val="000000" w:themeColor="text1"/>
                <w:szCs w:val="16"/>
              </w:rPr>
            </w:pPr>
            <w:r w:rsidRPr="00781112">
              <w:rPr>
                <w:rFonts w:cs="Arial"/>
                <w:b/>
                <w:color w:val="000000" w:themeColor="text1"/>
                <w:szCs w:val="16"/>
              </w:rPr>
              <w:t xml:space="preserve">Baseline </w:t>
            </w:r>
          </w:p>
        </w:tc>
        <w:tc>
          <w:tcPr>
            <w:tcW w:w="679" w:type="pct"/>
            <w:tcBorders>
              <w:top w:val="single" w:sz="4" w:space="0" w:color="auto"/>
              <w:left w:val="single" w:sz="4" w:space="0" w:color="auto"/>
              <w:bottom w:val="single" w:sz="4" w:space="0" w:color="auto"/>
              <w:right w:val="single" w:sz="4" w:space="0" w:color="auto"/>
            </w:tcBorders>
          </w:tcPr>
          <w:p w14:paraId="310770F6" w14:textId="77777777" w:rsidR="00E4112E" w:rsidRPr="00781112" w:rsidRDefault="00E4112E" w:rsidP="00E4112E">
            <w:pPr>
              <w:spacing w:line="276" w:lineRule="auto"/>
              <w:jc w:val="center"/>
              <w:rPr>
                <w:rFonts w:cs="Arial"/>
                <w:b/>
                <w:color w:val="000000" w:themeColor="text1"/>
                <w:szCs w:val="16"/>
              </w:rPr>
            </w:pPr>
            <w:r w:rsidRPr="00781112">
              <w:rPr>
                <w:rFonts w:cs="Arial"/>
                <w:b/>
                <w:color w:val="000000" w:themeColor="text1"/>
                <w:szCs w:val="16"/>
              </w:rPr>
              <w:t>FFY</w:t>
            </w:r>
          </w:p>
        </w:tc>
        <w:tc>
          <w:tcPr>
            <w:tcW w:w="679" w:type="pct"/>
            <w:tcBorders>
              <w:top w:val="single" w:sz="4" w:space="0" w:color="auto"/>
              <w:left w:val="single" w:sz="4" w:space="0" w:color="auto"/>
              <w:bottom w:val="single" w:sz="4" w:space="0" w:color="auto"/>
              <w:right w:val="single" w:sz="4" w:space="0" w:color="auto"/>
            </w:tcBorders>
            <w:hideMark/>
          </w:tcPr>
          <w:p w14:paraId="05855035" w14:textId="77777777"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2019</w:t>
            </w:r>
          </w:p>
        </w:tc>
        <w:tc>
          <w:tcPr>
            <w:tcW w:w="679" w:type="pct"/>
            <w:tcBorders>
              <w:top w:val="single" w:sz="4" w:space="0" w:color="auto"/>
              <w:left w:val="single" w:sz="4" w:space="0" w:color="auto"/>
              <w:bottom w:val="single" w:sz="4" w:space="0" w:color="auto"/>
              <w:right w:val="single" w:sz="4" w:space="0" w:color="auto"/>
            </w:tcBorders>
            <w:hideMark/>
          </w:tcPr>
          <w:p w14:paraId="6662B5A0" w14:textId="77777777"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tcPr>
          <w:p w14:paraId="73DEBA0D" w14:textId="77777777"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2021</w:t>
            </w:r>
          </w:p>
        </w:tc>
        <w:tc>
          <w:tcPr>
            <w:tcW w:w="679" w:type="pct"/>
            <w:tcBorders>
              <w:top w:val="single" w:sz="4" w:space="0" w:color="auto"/>
              <w:left w:val="single" w:sz="4" w:space="0" w:color="auto"/>
              <w:bottom w:val="single" w:sz="4" w:space="0" w:color="auto"/>
              <w:right w:val="single" w:sz="4" w:space="0" w:color="auto"/>
            </w:tcBorders>
            <w:hideMark/>
          </w:tcPr>
          <w:p w14:paraId="42947963" w14:textId="77777777"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2022</w:t>
            </w:r>
          </w:p>
        </w:tc>
        <w:tc>
          <w:tcPr>
            <w:tcW w:w="679" w:type="pct"/>
            <w:tcBorders>
              <w:top w:val="single" w:sz="4" w:space="0" w:color="auto"/>
              <w:left w:val="single" w:sz="4" w:space="0" w:color="auto"/>
              <w:bottom w:val="single" w:sz="4" w:space="0" w:color="auto"/>
              <w:right w:val="single" w:sz="4" w:space="0" w:color="auto"/>
            </w:tcBorders>
            <w:hideMark/>
          </w:tcPr>
          <w:p w14:paraId="55019DC2" w14:textId="77777777"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2023</w:t>
            </w:r>
          </w:p>
        </w:tc>
      </w:tr>
      <w:tr w:rsidR="005F0D3B" w:rsidRPr="00781112" w14:paraId="694A0805" w14:textId="77777777" w:rsidTr="005F5FE9">
        <w:trPr>
          <w:trHeight w:val="70"/>
        </w:trPr>
        <w:tc>
          <w:tcPr>
            <w:tcW w:w="248" w:type="pct"/>
            <w:tcBorders>
              <w:top w:val="single" w:sz="4" w:space="0" w:color="auto"/>
              <w:left w:val="single" w:sz="4" w:space="0" w:color="auto"/>
              <w:right w:val="single" w:sz="4" w:space="0" w:color="auto"/>
            </w:tcBorders>
            <w:vAlign w:val="center"/>
          </w:tcPr>
          <w:p w14:paraId="48A226E5"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A</w:t>
            </w:r>
          </w:p>
        </w:tc>
        <w:tc>
          <w:tcPr>
            <w:tcW w:w="678" w:type="pct"/>
            <w:tcBorders>
              <w:top w:val="single" w:sz="4" w:space="0" w:color="auto"/>
              <w:left w:val="single" w:sz="4" w:space="0" w:color="auto"/>
              <w:right w:val="single" w:sz="4" w:space="0" w:color="auto"/>
            </w:tcBorders>
            <w:vAlign w:val="center"/>
          </w:tcPr>
          <w:p w14:paraId="0FBAF091" w14:textId="77777777" w:rsidR="00BB7BC9"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vAlign w:val="center"/>
            <w:hideMark/>
          </w:tcPr>
          <w:p w14:paraId="11ABA832" w14:textId="777777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679" w:type="pct"/>
            <w:tcBorders>
              <w:top w:val="single" w:sz="4" w:space="0" w:color="auto"/>
              <w:left w:val="single" w:sz="4" w:space="0" w:color="auto"/>
              <w:bottom w:val="single" w:sz="4" w:space="0" w:color="auto"/>
              <w:right w:val="single" w:sz="4" w:space="0" w:color="auto"/>
            </w:tcBorders>
            <w:vAlign w:val="center"/>
          </w:tcPr>
          <w:p w14:paraId="01603E84" w14:textId="77777777" w:rsidR="00BB7BC9" w:rsidRPr="00781112" w:rsidRDefault="002B7490">
            <w:pPr>
              <w:jc w:val="center"/>
              <w:rPr>
                <w:rFonts w:cs="Arial"/>
                <w:color w:val="000000" w:themeColor="text1"/>
                <w:szCs w:val="16"/>
              </w:rPr>
            </w:pPr>
            <w:r w:rsidRPr="00781112">
              <w:rPr>
                <w:rFonts w:cs="Arial"/>
                <w:color w:val="000000" w:themeColor="text1"/>
                <w:szCs w:val="16"/>
              </w:rPr>
              <w:t>63.80%</w:t>
            </w:r>
          </w:p>
        </w:tc>
        <w:tc>
          <w:tcPr>
            <w:tcW w:w="679" w:type="pct"/>
            <w:tcBorders>
              <w:top w:val="single" w:sz="4" w:space="0" w:color="auto"/>
              <w:left w:val="single" w:sz="4" w:space="0" w:color="auto"/>
              <w:bottom w:val="single" w:sz="4" w:space="0" w:color="auto"/>
              <w:right w:val="single" w:sz="4" w:space="0" w:color="auto"/>
            </w:tcBorders>
            <w:vAlign w:val="center"/>
          </w:tcPr>
          <w:p w14:paraId="644AF1D8" w14:textId="77777777" w:rsidR="00BB7BC9" w:rsidRPr="00781112" w:rsidRDefault="002B7490">
            <w:pPr>
              <w:jc w:val="center"/>
              <w:rPr>
                <w:rFonts w:cs="Arial"/>
                <w:color w:val="000000" w:themeColor="text1"/>
                <w:szCs w:val="16"/>
              </w:rPr>
            </w:pPr>
            <w:r w:rsidRPr="00781112">
              <w:rPr>
                <w:rFonts w:cs="Arial"/>
                <w:color w:val="000000" w:themeColor="text1"/>
                <w:szCs w:val="16"/>
              </w:rPr>
              <w:t>67.11%</w:t>
            </w:r>
          </w:p>
        </w:tc>
        <w:tc>
          <w:tcPr>
            <w:tcW w:w="679" w:type="pct"/>
            <w:tcBorders>
              <w:top w:val="single" w:sz="4" w:space="0" w:color="auto"/>
              <w:left w:val="single" w:sz="4" w:space="0" w:color="auto"/>
              <w:bottom w:val="single" w:sz="4" w:space="0" w:color="auto"/>
              <w:right w:val="single" w:sz="4" w:space="0" w:color="auto"/>
            </w:tcBorders>
            <w:vAlign w:val="center"/>
          </w:tcPr>
          <w:p w14:paraId="2A2CC589" w14:textId="77777777" w:rsidR="00BB7BC9" w:rsidRPr="00781112" w:rsidRDefault="002B7490">
            <w:pPr>
              <w:jc w:val="center"/>
              <w:rPr>
                <w:rFonts w:cs="Arial"/>
                <w:color w:val="000000" w:themeColor="text1"/>
                <w:szCs w:val="16"/>
              </w:rPr>
            </w:pPr>
            <w:r w:rsidRPr="00781112">
              <w:rPr>
                <w:rFonts w:cs="Arial"/>
                <w:color w:val="000000" w:themeColor="text1"/>
                <w:szCs w:val="16"/>
              </w:rPr>
              <w:t>67.61%</w:t>
            </w:r>
          </w:p>
        </w:tc>
        <w:tc>
          <w:tcPr>
            <w:tcW w:w="679" w:type="pct"/>
            <w:tcBorders>
              <w:top w:val="single" w:sz="4" w:space="0" w:color="auto"/>
              <w:left w:val="single" w:sz="4" w:space="0" w:color="auto"/>
              <w:bottom w:val="single" w:sz="4" w:space="0" w:color="auto"/>
              <w:right w:val="single" w:sz="4" w:space="0" w:color="auto"/>
            </w:tcBorders>
            <w:vAlign w:val="center"/>
          </w:tcPr>
          <w:p w14:paraId="12A2E473" w14:textId="77777777" w:rsidR="00BB7BC9" w:rsidRPr="00781112" w:rsidRDefault="002B7490">
            <w:pPr>
              <w:jc w:val="center"/>
              <w:rPr>
                <w:rFonts w:cs="Arial"/>
                <w:color w:val="000000" w:themeColor="text1"/>
                <w:szCs w:val="16"/>
              </w:rPr>
            </w:pPr>
            <w:r w:rsidRPr="00781112">
              <w:rPr>
                <w:rFonts w:cs="Arial"/>
                <w:color w:val="000000" w:themeColor="text1"/>
                <w:szCs w:val="16"/>
              </w:rPr>
              <w:t>68.11%</w:t>
            </w:r>
          </w:p>
        </w:tc>
        <w:tc>
          <w:tcPr>
            <w:tcW w:w="679" w:type="pct"/>
            <w:tcBorders>
              <w:top w:val="single" w:sz="4" w:space="0" w:color="auto"/>
              <w:left w:val="single" w:sz="4" w:space="0" w:color="auto"/>
              <w:bottom w:val="single" w:sz="4" w:space="0" w:color="auto"/>
              <w:right w:val="single" w:sz="4" w:space="0" w:color="auto"/>
            </w:tcBorders>
            <w:vAlign w:val="center"/>
          </w:tcPr>
          <w:p w14:paraId="0E22D4CA" w14:textId="77777777" w:rsidR="00BB7BC9" w:rsidRPr="00781112" w:rsidRDefault="002B7490">
            <w:pPr>
              <w:jc w:val="center"/>
              <w:rPr>
                <w:rFonts w:cs="Arial"/>
                <w:color w:val="000000" w:themeColor="text1"/>
                <w:szCs w:val="16"/>
              </w:rPr>
            </w:pPr>
            <w:r w:rsidRPr="00781112">
              <w:rPr>
                <w:rFonts w:cs="Arial"/>
                <w:color w:val="000000" w:themeColor="text1"/>
                <w:szCs w:val="16"/>
              </w:rPr>
              <w:t>68.61%</w:t>
            </w:r>
          </w:p>
        </w:tc>
      </w:tr>
      <w:tr w:rsidR="005F0D3B" w:rsidRPr="00781112" w14:paraId="62C36EEF" w14:textId="77777777" w:rsidTr="005F5FE9">
        <w:trPr>
          <w:trHeight w:val="85"/>
        </w:trPr>
        <w:tc>
          <w:tcPr>
            <w:tcW w:w="248" w:type="pct"/>
            <w:tcBorders>
              <w:left w:val="single" w:sz="4" w:space="0" w:color="auto"/>
              <w:right w:val="single" w:sz="4" w:space="0" w:color="auto"/>
            </w:tcBorders>
            <w:vAlign w:val="center"/>
          </w:tcPr>
          <w:p w14:paraId="5822A253" w14:textId="77777777"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A</w:t>
            </w:r>
          </w:p>
        </w:tc>
        <w:tc>
          <w:tcPr>
            <w:tcW w:w="678" w:type="pct"/>
            <w:tcBorders>
              <w:left w:val="single" w:sz="4" w:space="0" w:color="auto"/>
              <w:right w:val="single" w:sz="4" w:space="0" w:color="auto"/>
            </w:tcBorders>
            <w:vAlign w:val="center"/>
          </w:tcPr>
          <w:p w14:paraId="43BA2351" w14:textId="77777777" w:rsidR="00BB7BC9" w:rsidRPr="00781112" w:rsidRDefault="002B7490" w:rsidP="00A018D4">
            <w:pPr>
              <w:jc w:val="center"/>
              <w:rPr>
                <w:rFonts w:cs="Arial"/>
                <w:color w:val="000000" w:themeColor="text1"/>
                <w:szCs w:val="16"/>
              </w:rPr>
            </w:pPr>
            <w:r w:rsidRPr="00781112">
              <w:rPr>
                <w:rFonts w:cs="Arial"/>
                <w:color w:val="000000" w:themeColor="text1"/>
                <w:szCs w:val="16"/>
              </w:rPr>
              <w:t>67.11%</w:t>
            </w:r>
          </w:p>
        </w:tc>
        <w:tc>
          <w:tcPr>
            <w:tcW w:w="679" w:type="pct"/>
            <w:tcBorders>
              <w:top w:val="single" w:sz="4" w:space="0" w:color="auto"/>
              <w:left w:val="single" w:sz="4" w:space="0" w:color="auto"/>
              <w:bottom w:val="single" w:sz="4" w:space="0" w:color="auto"/>
              <w:right w:val="single" w:sz="4" w:space="0" w:color="auto"/>
            </w:tcBorders>
            <w:vAlign w:val="center"/>
            <w:hideMark/>
          </w:tcPr>
          <w:p w14:paraId="56E9BA1C" w14:textId="777777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vAlign w:val="center"/>
          </w:tcPr>
          <w:p w14:paraId="5F959C49" w14:textId="77777777" w:rsidR="00BB7BC9" w:rsidRPr="00781112" w:rsidRDefault="002B7490">
            <w:pPr>
              <w:jc w:val="center"/>
              <w:rPr>
                <w:rFonts w:cs="Arial"/>
                <w:color w:val="000000" w:themeColor="text1"/>
                <w:szCs w:val="16"/>
              </w:rPr>
            </w:pPr>
            <w:r w:rsidRPr="00781112">
              <w:rPr>
                <w:rFonts w:cs="Arial"/>
                <w:color w:val="000000" w:themeColor="text1"/>
                <w:szCs w:val="16"/>
              </w:rPr>
              <w:t>63.04%</w:t>
            </w:r>
          </w:p>
        </w:tc>
        <w:tc>
          <w:tcPr>
            <w:tcW w:w="679" w:type="pct"/>
            <w:tcBorders>
              <w:top w:val="single" w:sz="4" w:space="0" w:color="auto"/>
              <w:left w:val="single" w:sz="4" w:space="0" w:color="auto"/>
              <w:bottom w:val="single" w:sz="4" w:space="0" w:color="auto"/>
              <w:right w:val="single" w:sz="4" w:space="0" w:color="auto"/>
            </w:tcBorders>
            <w:vAlign w:val="center"/>
          </w:tcPr>
          <w:p w14:paraId="09998DBD" w14:textId="77777777" w:rsidR="00BB7BC9" w:rsidRPr="00781112" w:rsidRDefault="002B7490">
            <w:pPr>
              <w:jc w:val="center"/>
              <w:rPr>
                <w:rFonts w:cs="Arial"/>
                <w:color w:val="000000" w:themeColor="text1"/>
                <w:szCs w:val="16"/>
              </w:rPr>
            </w:pPr>
            <w:r w:rsidRPr="00781112">
              <w:rPr>
                <w:rFonts w:cs="Arial"/>
                <w:color w:val="000000" w:themeColor="text1"/>
                <w:szCs w:val="16"/>
              </w:rPr>
              <w:t>67.11%</w:t>
            </w:r>
          </w:p>
        </w:tc>
        <w:tc>
          <w:tcPr>
            <w:tcW w:w="679" w:type="pct"/>
            <w:tcBorders>
              <w:top w:val="single" w:sz="4" w:space="0" w:color="auto"/>
              <w:left w:val="single" w:sz="4" w:space="0" w:color="auto"/>
              <w:bottom w:val="single" w:sz="4" w:space="0" w:color="auto"/>
              <w:right w:val="single" w:sz="4" w:space="0" w:color="auto"/>
            </w:tcBorders>
            <w:vAlign w:val="center"/>
          </w:tcPr>
          <w:p w14:paraId="62DF50BE" w14:textId="77777777" w:rsidR="00BB7BC9" w:rsidRPr="00781112" w:rsidRDefault="002B7490">
            <w:pPr>
              <w:jc w:val="center"/>
              <w:rPr>
                <w:rFonts w:cs="Arial"/>
                <w:color w:val="000000" w:themeColor="text1"/>
                <w:szCs w:val="16"/>
              </w:rPr>
            </w:pPr>
            <w:r w:rsidRPr="00781112">
              <w:rPr>
                <w:rFonts w:cs="Arial"/>
                <w:color w:val="000000" w:themeColor="text1"/>
                <w:szCs w:val="16"/>
              </w:rPr>
              <w:t>65.18%</w:t>
            </w:r>
          </w:p>
        </w:tc>
        <w:tc>
          <w:tcPr>
            <w:tcW w:w="679" w:type="pct"/>
            <w:tcBorders>
              <w:top w:val="single" w:sz="4" w:space="0" w:color="auto"/>
              <w:left w:val="single" w:sz="4" w:space="0" w:color="auto"/>
              <w:bottom w:val="single" w:sz="4" w:space="0" w:color="auto"/>
              <w:right w:val="single" w:sz="4" w:space="0" w:color="auto"/>
            </w:tcBorders>
            <w:vAlign w:val="center"/>
          </w:tcPr>
          <w:p w14:paraId="2C2974FF" w14:textId="77777777" w:rsidR="00BB7BC9" w:rsidRPr="00781112" w:rsidRDefault="002B7490">
            <w:pPr>
              <w:jc w:val="center"/>
              <w:rPr>
                <w:rFonts w:cs="Arial"/>
                <w:color w:val="000000" w:themeColor="text1"/>
                <w:szCs w:val="16"/>
              </w:rPr>
            </w:pPr>
            <w:r w:rsidRPr="00781112">
              <w:rPr>
                <w:rFonts w:cs="Arial"/>
                <w:color w:val="000000" w:themeColor="text1"/>
                <w:szCs w:val="16"/>
              </w:rPr>
              <w:t>66.19%</w:t>
            </w:r>
          </w:p>
        </w:tc>
        <w:tc>
          <w:tcPr>
            <w:tcW w:w="679" w:type="pct"/>
            <w:tcBorders>
              <w:top w:val="single" w:sz="4" w:space="0" w:color="auto"/>
              <w:left w:val="single" w:sz="4" w:space="0" w:color="auto"/>
              <w:bottom w:val="single" w:sz="4" w:space="0" w:color="auto"/>
              <w:right w:val="single" w:sz="4" w:space="0" w:color="auto"/>
            </w:tcBorders>
            <w:vAlign w:val="center"/>
          </w:tcPr>
          <w:p w14:paraId="4D7A2AA9" w14:textId="77777777" w:rsidR="00BB7BC9" w:rsidRPr="00781112" w:rsidRDefault="002B7490">
            <w:pPr>
              <w:jc w:val="center"/>
              <w:rPr>
                <w:rFonts w:cs="Arial"/>
                <w:color w:val="000000" w:themeColor="text1"/>
                <w:szCs w:val="16"/>
              </w:rPr>
            </w:pPr>
            <w:r w:rsidRPr="00781112">
              <w:rPr>
                <w:rFonts w:cs="Arial"/>
                <w:color w:val="000000" w:themeColor="text1"/>
                <w:szCs w:val="16"/>
              </w:rPr>
              <w:t>64.21%</w:t>
            </w:r>
          </w:p>
        </w:tc>
      </w:tr>
      <w:tr w:rsidR="005F0D3B" w:rsidRPr="00781112" w14:paraId="5F638D51" w14:textId="77777777" w:rsidTr="005F5FE9">
        <w:trPr>
          <w:trHeight w:val="357"/>
        </w:trPr>
        <w:tc>
          <w:tcPr>
            <w:tcW w:w="248" w:type="pct"/>
            <w:tcBorders>
              <w:top w:val="single" w:sz="4" w:space="0" w:color="auto"/>
              <w:left w:val="single" w:sz="4" w:space="0" w:color="auto"/>
              <w:right w:val="single" w:sz="4" w:space="0" w:color="auto"/>
            </w:tcBorders>
            <w:vAlign w:val="center"/>
          </w:tcPr>
          <w:p w14:paraId="7E83A2FC"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B</w:t>
            </w:r>
          </w:p>
        </w:tc>
        <w:tc>
          <w:tcPr>
            <w:tcW w:w="678" w:type="pct"/>
            <w:tcBorders>
              <w:top w:val="single" w:sz="4" w:space="0" w:color="auto"/>
              <w:left w:val="single" w:sz="4" w:space="0" w:color="auto"/>
              <w:right w:val="single" w:sz="4" w:space="0" w:color="auto"/>
            </w:tcBorders>
            <w:vAlign w:val="center"/>
          </w:tcPr>
          <w:p w14:paraId="1B10876C" w14:textId="77777777" w:rsidR="00BB7BC9"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vAlign w:val="center"/>
            <w:hideMark/>
          </w:tcPr>
          <w:p w14:paraId="64280709" w14:textId="777777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Target &lt;=</w:t>
            </w:r>
          </w:p>
        </w:tc>
        <w:tc>
          <w:tcPr>
            <w:tcW w:w="679" w:type="pct"/>
            <w:tcBorders>
              <w:top w:val="single" w:sz="4" w:space="0" w:color="auto"/>
              <w:left w:val="single" w:sz="4" w:space="0" w:color="auto"/>
              <w:bottom w:val="single" w:sz="4" w:space="0" w:color="auto"/>
              <w:right w:val="single" w:sz="4" w:space="0" w:color="auto"/>
            </w:tcBorders>
            <w:vAlign w:val="center"/>
          </w:tcPr>
          <w:p w14:paraId="6EA2C513" w14:textId="77777777" w:rsidR="00BB7BC9" w:rsidRPr="00781112" w:rsidRDefault="002B7490">
            <w:pPr>
              <w:jc w:val="center"/>
              <w:rPr>
                <w:rFonts w:cs="Arial"/>
                <w:color w:val="000000" w:themeColor="text1"/>
                <w:szCs w:val="16"/>
              </w:rPr>
            </w:pPr>
            <w:r w:rsidRPr="00781112">
              <w:rPr>
                <w:rFonts w:cs="Arial"/>
                <w:color w:val="000000" w:themeColor="text1"/>
                <w:szCs w:val="16"/>
              </w:rPr>
              <w:t>8.88%</w:t>
            </w:r>
          </w:p>
        </w:tc>
        <w:tc>
          <w:tcPr>
            <w:tcW w:w="679" w:type="pct"/>
            <w:tcBorders>
              <w:top w:val="single" w:sz="4" w:space="0" w:color="auto"/>
              <w:left w:val="single" w:sz="4" w:space="0" w:color="auto"/>
              <w:bottom w:val="single" w:sz="4" w:space="0" w:color="auto"/>
              <w:right w:val="single" w:sz="4" w:space="0" w:color="auto"/>
            </w:tcBorders>
            <w:vAlign w:val="center"/>
          </w:tcPr>
          <w:p w14:paraId="756F5DD0" w14:textId="77777777" w:rsidR="00BB7BC9" w:rsidRPr="00781112" w:rsidRDefault="002B7490">
            <w:pPr>
              <w:jc w:val="center"/>
              <w:rPr>
                <w:rFonts w:cs="Arial"/>
                <w:color w:val="000000" w:themeColor="text1"/>
                <w:szCs w:val="16"/>
              </w:rPr>
            </w:pPr>
            <w:r w:rsidRPr="00781112">
              <w:rPr>
                <w:rFonts w:cs="Arial"/>
                <w:color w:val="000000" w:themeColor="text1"/>
                <w:szCs w:val="16"/>
              </w:rPr>
              <w:t>6.47%</w:t>
            </w:r>
          </w:p>
        </w:tc>
        <w:tc>
          <w:tcPr>
            <w:tcW w:w="679" w:type="pct"/>
            <w:tcBorders>
              <w:top w:val="single" w:sz="4" w:space="0" w:color="auto"/>
              <w:left w:val="single" w:sz="4" w:space="0" w:color="auto"/>
              <w:bottom w:val="single" w:sz="4" w:space="0" w:color="auto"/>
              <w:right w:val="single" w:sz="4" w:space="0" w:color="auto"/>
            </w:tcBorders>
            <w:vAlign w:val="center"/>
          </w:tcPr>
          <w:p w14:paraId="4C6EF4C4" w14:textId="77777777" w:rsidR="00BB7BC9" w:rsidRPr="00781112" w:rsidRDefault="002B7490">
            <w:pPr>
              <w:jc w:val="center"/>
              <w:rPr>
                <w:rFonts w:cs="Arial"/>
                <w:color w:val="000000" w:themeColor="text1"/>
                <w:szCs w:val="16"/>
              </w:rPr>
            </w:pPr>
            <w:r w:rsidRPr="00781112">
              <w:rPr>
                <w:rFonts w:cs="Arial"/>
                <w:color w:val="000000" w:themeColor="text1"/>
                <w:szCs w:val="16"/>
              </w:rPr>
              <w:t>6.30%</w:t>
            </w:r>
          </w:p>
        </w:tc>
        <w:tc>
          <w:tcPr>
            <w:tcW w:w="679" w:type="pct"/>
            <w:tcBorders>
              <w:top w:val="single" w:sz="4" w:space="0" w:color="auto"/>
              <w:left w:val="single" w:sz="4" w:space="0" w:color="auto"/>
              <w:bottom w:val="single" w:sz="4" w:space="0" w:color="auto"/>
              <w:right w:val="single" w:sz="4" w:space="0" w:color="auto"/>
            </w:tcBorders>
            <w:vAlign w:val="center"/>
          </w:tcPr>
          <w:p w14:paraId="57B0D4F3" w14:textId="77777777" w:rsidR="00BB7BC9" w:rsidRPr="00781112" w:rsidRDefault="002B7490">
            <w:pPr>
              <w:jc w:val="center"/>
              <w:rPr>
                <w:rFonts w:cs="Arial"/>
                <w:color w:val="000000" w:themeColor="text1"/>
                <w:szCs w:val="16"/>
              </w:rPr>
            </w:pPr>
            <w:r w:rsidRPr="00781112">
              <w:rPr>
                <w:rFonts w:cs="Arial"/>
                <w:color w:val="000000" w:themeColor="text1"/>
                <w:szCs w:val="16"/>
              </w:rPr>
              <w:t>6.20%</w:t>
            </w:r>
          </w:p>
        </w:tc>
        <w:tc>
          <w:tcPr>
            <w:tcW w:w="679" w:type="pct"/>
            <w:tcBorders>
              <w:top w:val="single" w:sz="4" w:space="0" w:color="auto"/>
              <w:left w:val="single" w:sz="4" w:space="0" w:color="auto"/>
              <w:bottom w:val="single" w:sz="4" w:space="0" w:color="auto"/>
              <w:right w:val="single" w:sz="4" w:space="0" w:color="auto"/>
            </w:tcBorders>
            <w:vAlign w:val="center"/>
          </w:tcPr>
          <w:p w14:paraId="35E64EA3" w14:textId="77777777" w:rsidR="00BB7BC9" w:rsidRPr="00781112" w:rsidRDefault="002B7490">
            <w:pPr>
              <w:jc w:val="center"/>
              <w:rPr>
                <w:rFonts w:cs="Arial"/>
                <w:color w:val="000000" w:themeColor="text1"/>
                <w:szCs w:val="16"/>
              </w:rPr>
            </w:pPr>
            <w:r w:rsidRPr="00781112">
              <w:rPr>
                <w:rFonts w:cs="Arial"/>
                <w:color w:val="000000" w:themeColor="text1"/>
                <w:szCs w:val="16"/>
              </w:rPr>
              <w:t>6.10%</w:t>
            </w:r>
          </w:p>
        </w:tc>
      </w:tr>
      <w:tr w:rsidR="005F0D3B" w:rsidRPr="00781112" w14:paraId="2B6F700C" w14:textId="77777777" w:rsidTr="005F5FE9">
        <w:trPr>
          <w:trHeight w:val="85"/>
        </w:trPr>
        <w:tc>
          <w:tcPr>
            <w:tcW w:w="248" w:type="pct"/>
            <w:tcBorders>
              <w:left w:val="single" w:sz="4" w:space="0" w:color="auto"/>
              <w:right w:val="single" w:sz="4" w:space="0" w:color="auto"/>
            </w:tcBorders>
            <w:vAlign w:val="center"/>
          </w:tcPr>
          <w:p w14:paraId="09314EEB" w14:textId="77777777"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B</w:t>
            </w:r>
          </w:p>
        </w:tc>
        <w:tc>
          <w:tcPr>
            <w:tcW w:w="678" w:type="pct"/>
            <w:tcBorders>
              <w:left w:val="single" w:sz="4" w:space="0" w:color="auto"/>
              <w:right w:val="single" w:sz="4" w:space="0" w:color="auto"/>
            </w:tcBorders>
            <w:vAlign w:val="center"/>
          </w:tcPr>
          <w:p w14:paraId="43AD55D4" w14:textId="77777777" w:rsidR="00BB7BC9" w:rsidRPr="00781112" w:rsidRDefault="002B7490" w:rsidP="00A018D4">
            <w:pPr>
              <w:jc w:val="center"/>
              <w:rPr>
                <w:rFonts w:cs="Arial"/>
                <w:color w:val="000000" w:themeColor="text1"/>
                <w:szCs w:val="16"/>
              </w:rPr>
            </w:pPr>
            <w:r w:rsidRPr="00781112">
              <w:rPr>
                <w:rFonts w:cs="Arial"/>
                <w:color w:val="000000" w:themeColor="text1"/>
                <w:szCs w:val="16"/>
              </w:rPr>
              <w:t>6.47%</w:t>
            </w:r>
          </w:p>
        </w:tc>
        <w:tc>
          <w:tcPr>
            <w:tcW w:w="679" w:type="pct"/>
            <w:tcBorders>
              <w:top w:val="single" w:sz="4" w:space="0" w:color="auto"/>
              <w:left w:val="single" w:sz="4" w:space="0" w:color="auto"/>
              <w:bottom w:val="single" w:sz="4" w:space="0" w:color="auto"/>
              <w:right w:val="single" w:sz="4" w:space="0" w:color="auto"/>
            </w:tcBorders>
            <w:vAlign w:val="center"/>
            <w:hideMark/>
          </w:tcPr>
          <w:p w14:paraId="6BC2724A" w14:textId="777777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vAlign w:val="center"/>
          </w:tcPr>
          <w:p w14:paraId="1DA77DA4" w14:textId="77777777" w:rsidR="00BB7BC9" w:rsidRPr="00781112" w:rsidRDefault="002B7490">
            <w:pPr>
              <w:jc w:val="center"/>
              <w:rPr>
                <w:rFonts w:cs="Arial"/>
                <w:color w:val="000000" w:themeColor="text1"/>
                <w:szCs w:val="16"/>
              </w:rPr>
            </w:pPr>
            <w:r w:rsidRPr="00781112">
              <w:rPr>
                <w:rFonts w:cs="Arial"/>
                <w:color w:val="000000" w:themeColor="text1"/>
                <w:szCs w:val="16"/>
              </w:rPr>
              <w:t>7.41%</w:t>
            </w:r>
          </w:p>
        </w:tc>
        <w:tc>
          <w:tcPr>
            <w:tcW w:w="679" w:type="pct"/>
            <w:tcBorders>
              <w:top w:val="single" w:sz="4" w:space="0" w:color="auto"/>
              <w:left w:val="single" w:sz="4" w:space="0" w:color="auto"/>
              <w:bottom w:val="single" w:sz="4" w:space="0" w:color="auto"/>
              <w:right w:val="single" w:sz="4" w:space="0" w:color="auto"/>
            </w:tcBorders>
            <w:vAlign w:val="center"/>
          </w:tcPr>
          <w:p w14:paraId="3D8BC0B0" w14:textId="77777777" w:rsidR="00BB7BC9" w:rsidRPr="00781112" w:rsidRDefault="002B7490">
            <w:pPr>
              <w:jc w:val="center"/>
              <w:rPr>
                <w:rFonts w:cs="Arial"/>
                <w:color w:val="000000" w:themeColor="text1"/>
                <w:szCs w:val="16"/>
              </w:rPr>
            </w:pPr>
            <w:r w:rsidRPr="00781112">
              <w:rPr>
                <w:rFonts w:cs="Arial"/>
                <w:color w:val="000000" w:themeColor="text1"/>
                <w:szCs w:val="16"/>
              </w:rPr>
              <w:t>6.47%</w:t>
            </w:r>
          </w:p>
        </w:tc>
        <w:tc>
          <w:tcPr>
            <w:tcW w:w="679" w:type="pct"/>
            <w:tcBorders>
              <w:top w:val="single" w:sz="4" w:space="0" w:color="auto"/>
              <w:left w:val="single" w:sz="4" w:space="0" w:color="auto"/>
              <w:bottom w:val="single" w:sz="4" w:space="0" w:color="auto"/>
              <w:right w:val="single" w:sz="4" w:space="0" w:color="auto"/>
            </w:tcBorders>
            <w:vAlign w:val="center"/>
          </w:tcPr>
          <w:p w14:paraId="356BFE0C" w14:textId="77777777" w:rsidR="00BB7BC9" w:rsidRPr="00781112" w:rsidRDefault="002B7490">
            <w:pPr>
              <w:jc w:val="center"/>
              <w:rPr>
                <w:rFonts w:cs="Arial"/>
                <w:color w:val="000000" w:themeColor="text1"/>
                <w:szCs w:val="16"/>
              </w:rPr>
            </w:pPr>
            <w:r w:rsidRPr="00781112">
              <w:rPr>
                <w:rFonts w:cs="Arial"/>
                <w:color w:val="000000" w:themeColor="text1"/>
                <w:szCs w:val="16"/>
              </w:rPr>
              <w:t>6.57%</w:t>
            </w:r>
          </w:p>
        </w:tc>
        <w:tc>
          <w:tcPr>
            <w:tcW w:w="679" w:type="pct"/>
            <w:tcBorders>
              <w:top w:val="single" w:sz="4" w:space="0" w:color="auto"/>
              <w:left w:val="single" w:sz="4" w:space="0" w:color="auto"/>
              <w:bottom w:val="single" w:sz="4" w:space="0" w:color="auto"/>
              <w:right w:val="single" w:sz="4" w:space="0" w:color="auto"/>
            </w:tcBorders>
            <w:vAlign w:val="center"/>
          </w:tcPr>
          <w:p w14:paraId="0AFDF199" w14:textId="77777777" w:rsidR="00BB7BC9" w:rsidRPr="00781112" w:rsidRDefault="002B7490">
            <w:pPr>
              <w:jc w:val="center"/>
              <w:rPr>
                <w:rFonts w:cs="Arial"/>
                <w:color w:val="000000" w:themeColor="text1"/>
                <w:szCs w:val="16"/>
              </w:rPr>
            </w:pPr>
            <w:r w:rsidRPr="00781112">
              <w:rPr>
                <w:rFonts w:cs="Arial"/>
                <w:color w:val="000000" w:themeColor="text1"/>
                <w:szCs w:val="16"/>
              </w:rPr>
              <w:t>10.45%</w:t>
            </w:r>
          </w:p>
        </w:tc>
        <w:tc>
          <w:tcPr>
            <w:tcW w:w="679" w:type="pct"/>
            <w:tcBorders>
              <w:top w:val="single" w:sz="4" w:space="0" w:color="auto"/>
              <w:left w:val="single" w:sz="4" w:space="0" w:color="auto"/>
              <w:bottom w:val="single" w:sz="4" w:space="0" w:color="auto"/>
              <w:right w:val="single" w:sz="4" w:space="0" w:color="auto"/>
            </w:tcBorders>
            <w:vAlign w:val="center"/>
          </w:tcPr>
          <w:p w14:paraId="4B2A28E3" w14:textId="77777777" w:rsidR="00BB7BC9" w:rsidRPr="00781112" w:rsidRDefault="002B7490">
            <w:pPr>
              <w:jc w:val="center"/>
              <w:rPr>
                <w:rFonts w:cs="Arial"/>
                <w:color w:val="000000" w:themeColor="text1"/>
                <w:szCs w:val="16"/>
              </w:rPr>
            </w:pPr>
            <w:r w:rsidRPr="00781112">
              <w:rPr>
                <w:rFonts w:cs="Arial"/>
                <w:color w:val="000000" w:themeColor="text1"/>
                <w:szCs w:val="16"/>
              </w:rPr>
              <w:t>6.83%</w:t>
            </w:r>
          </w:p>
        </w:tc>
      </w:tr>
      <w:tr w:rsidR="005F0D3B" w:rsidRPr="00781112" w14:paraId="36CE2EB8" w14:textId="77777777" w:rsidTr="005F5FE9">
        <w:trPr>
          <w:trHeight w:val="357"/>
        </w:trPr>
        <w:tc>
          <w:tcPr>
            <w:tcW w:w="248" w:type="pct"/>
            <w:tcBorders>
              <w:top w:val="single" w:sz="4" w:space="0" w:color="auto"/>
              <w:left w:val="single" w:sz="4" w:space="0" w:color="auto"/>
              <w:right w:val="single" w:sz="4" w:space="0" w:color="auto"/>
            </w:tcBorders>
            <w:vAlign w:val="center"/>
          </w:tcPr>
          <w:p w14:paraId="6D2A3F31"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C</w:t>
            </w:r>
          </w:p>
        </w:tc>
        <w:tc>
          <w:tcPr>
            <w:tcW w:w="678" w:type="pct"/>
            <w:tcBorders>
              <w:top w:val="single" w:sz="4" w:space="0" w:color="auto"/>
              <w:left w:val="single" w:sz="4" w:space="0" w:color="auto"/>
              <w:right w:val="single" w:sz="4" w:space="0" w:color="auto"/>
            </w:tcBorders>
            <w:vAlign w:val="center"/>
          </w:tcPr>
          <w:p w14:paraId="08C73BE8" w14:textId="77777777" w:rsidR="00BB7BC9"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vAlign w:val="center"/>
            <w:hideMark/>
          </w:tcPr>
          <w:p w14:paraId="5E51E58E" w14:textId="777777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Target &lt;=</w:t>
            </w:r>
          </w:p>
        </w:tc>
        <w:tc>
          <w:tcPr>
            <w:tcW w:w="679" w:type="pct"/>
            <w:tcBorders>
              <w:top w:val="single" w:sz="4" w:space="0" w:color="auto"/>
              <w:left w:val="single" w:sz="4" w:space="0" w:color="auto"/>
              <w:bottom w:val="single" w:sz="4" w:space="0" w:color="auto"/>
              <w:right w:val="single" w:sz="4" w:space="0" w:color="auto"/>
            </w:tcBorders>
            <w:vAlign w:val="center"/>
          </w:tcPr>
          <w:p w14:paraId="06E07439" w14:textId="77777777" w:rsidR="00BB7BC9" w:rsidRPr="00781112" w:rsidRDefault="002B7490">
            <w:pPr>
              <w:jc w:val="center"/>
              <w:rPr>
                <w:rFonts w:cs="Arial"/>
                <w:color w:val="000000" w:themeColor="text1"/>
                <w:szCs w:val="16"/>
              </w:rPr>
            </w:pPr>
            <w:r w:rsidRPr="00781112">
              <w:rPr>
                <w:rFonts w:cs="Arial"/>
                <w:color w:val="000000" w:themeColor="text1"/>
                <w:szCs w:val="16"/>
              </w:rPr>
              <w:t>1.30%</w:t>
            </w:r>
          </w:p>
        </w:tc>
        <w:tc>
          <w:tcPr>
            <w:tcW w:w="679" w:type="pct"/>
            <w:tcBorders>
              <w:top w:val="single" w:sz="4" w:space="0" w:color="auto"/>
              <w:left w:val="single" w:sz="4" w:space="0" w:color="auto"/>
              <w:bottom w:val="single" w:sz="4" w:space="0" w:color="auto"/>
              <w:right w:val="single" w:sz="4" w:space="0" w:color="auto"/>
            </w:tcBorders>
            <w:vAlign w:val="center"/>
          </w:tcPr>
          <w:p w14:paraId="6BD756F1" w14:textId="77777777" w:rsidR="00BB7BC9" w:rsidRPr="00781112" w:rsidRDefault="002B7490">
            <w:pPr>
              <w:jc w:val="center"/>
              <w:rPr>
                <w:rFonts w:cs="Arial"/>
                <w:color w:val="000000" w:themeColor="text1"/>
                <w:szCs w:val="16"/>
              </w:rPr>
            </w:pPr>
            <w:r w:rsidRPr="00781112">
              <w:rPr>
                <w:rFonts w:cs="Arial"/>
                <w:color w:val="000000" w:themeColor="text1"/>
                <w:szCs w:val="16"/>
              </w:rPr>
              <w:t>1.49%</w:t>
            </w:r>
          </w:p>
        </w:tc>
        <w:tc>
          <w:tcPr>
            <w:tcW w:w="679" w:type="pct"/>
            <w:tcBorders>
              <w:top w:val="single" w:sz="4" w:space="0" w:color="auto"/>
              <w:left w:val="single" w:sz="4" w:space="0" w:color="auto"/>
              <w:bottom w:val="single" w:sz="4" w:space="0" w:color="auto"/>
              <w:right w:val="single" w:sz="4" w:space="0" w:color="auto"/>
            </w:tcBorders>
            <w:vAlign w:val="center"/>
          </w:tcPr>
          <w:p w14:paraId="3F2F4A25" w14:textId="77777777" w:rsidR="00BB7BC9" w:rsidRPr="00781112" w:rsidRDefault="002B7490">
            <w:pPr>
              <w:jc w:val="center"/>
              <w:rPr>
                <w:rFonts w:cs="Arial"/>
                <w:color w:val="000000" w:themeColor="text1"/>
                <w:szCs w:val="16"/>
              </w:rPr>
            </w:pPr>
            <w:r w:rsidRPr="00781112">
              <w:rPr>
                <w:rFonts w:cs="Arial"/>
                <w:color w:val="000000" w:themeColor="text1"/>
                <w:szCs w:val="16"/>
              </w:rPr>
              <w:t>1.40%</w:t>
            </w:r>
          </w:p>
        </w:tc>
        <w:tc>
          <w:tcPr>
            <w:tcW w:w="679" w:type="pct"/>
            <w:tcBorders>
              <w:top w:val="single" w:sz="4" w:space="0" w:color="auto"/>
              <w:left w:val="single" w:sz="4" w:space="0" w:color="auto"/>
              <w:bottom w:val="single" w:sz="4" w:space="0" w:color="auto"/>
              <w:right w:val="single" w:sz="4" w:space="0" w:color="auto"/>
            </w:tcBorders>
            <w:vAlign w:val="center"/>
          </w:tcPr>
          <w:p w14:paraId="143C4B2E" w14:textId="77777777" w:rsidR="00BB7BC9" w:rsidRPr="00781112" w:rsidRDefault="002B7490">
            <w:pPr>
              <w:jc w:val="center"/>
              <w:rPr>
                <w:rFonts w:cs="Arial"/>
                <w:color w:val="000000" w:themeColor="text1"/>
                <w:szCs w:val="16"/>
              </w:rPr>
            </w:pPr>
            <w:r w:rsidRPr="00781112">
              <w:rPr>
                <w:rFonts w:cs="Arial"/>
                <w:color w:val="000000" w:themeColor="text1"/>
                <w:szCs w:val="16"/>
              </w:rPr>
              <w:t>1.40%</w:t>
            </w:r>
          </w:p>
        </w:tc>
        <w:tc>
          <w:tcPr>
            <w:tcW w:w="679" w:type="pct"/>
            <w:tcBorders>
              <w:top w:val="single" w:sz="4" w:space="0" w:color="auto"/>
              <w:left w:val="single" w:sz="4" w:space="0" w:color="auto"/>
              <w:bottom w:val="single" w:sz="4" w:space="0" w:color="auto"/>
              <w:right w:val="single" w:sz="4" w:space="0" w:color="auto"/>
            </w:tcBorders>
            <w:vAlign w:val="center"/>
          </w:tcPr>
          <w:p w14:paraId="681CE01A" w14:textId="77777777" w:rsidR="00BB7BC9" w:rsidRPr="00781112" w:rsidRDefault="002B7490">
            <w:pPr>
              <w:jc w:val="center"/>
              <w:rPr>
                <w:rFonts w:cs="Arial"/>
                <w:color w:val="000000" w:themeColor="text1"/>
                <w:szCs w:val="16"/>
              </w:rPr>
            </w:pPr>
            <w:r w:rsidRPr="00781112">
              <w:rPr>
                <w:rFonts w:cs="Arial"/>
                <w:color w:val="000000" w:themeColor="text1"/>
                <w:szCs w:val="16"/>
              </w:rPr>
              <w:t>1.40%</w:t>
            </w:r>
          </w:p>
        </w:tc>
      </w:tr>
      <w:tr w:rsidR="005F0D3B" w:rsidRPr="00781112" w14:paraId="3E1E3CFF" w14:textId="77777777" w:rsidTr="005F5FE9">
        <w:trPr>
          <w:trHeight w:val="85"/>
        </w:trPr>
        <w:tc>
          <w:tcPr>
            <w:tcW w:w="248" w:type="pct"/>
            <w:tcBorders>
              <w:left w:val="single" w:sz="4" w:space="0" w:color="auto"/>
              <w:right w:val="single" w:sz="4" w:space="0" w:color="auto"/>
            </w:tcBorders>
            <w:vAlign w:val="center"/>
          </w:tcPr>
          <w:p w14:paraId="1EE32A8D" w14:textId="77777777"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C</w:t>
            </w:r>
          </w:p>
        </w:tc>
        <w:tc>
          <w:tcPr>
            <w:tcW w:w="678" w:type="pct"/>
            <w:tcBorders>
              <w:left w:val="single" w:sz="4" w:space="0" w:color="auto"/>
              <w:right w:val="single" w:sz="4" w:space="0" w:color="auto"/>
            </w:tcBorders>
            <w:vAlign w:val="center"/>
          </w:tcPr>
          <w:p w14:paraId="0BE437AC" w14:textId="77777777" w:rsidR="00BB7BC9" w:rsidRPr="00781112" w:rsidRDefault="002B7490" w:rsidP="00A018D4">
            <w:pPr>
              <w:jc w:val="center"/>
              <w:rPr>
                <w:rFonts w:cs="Arial"/>
                <w:color w:val="000000" w:themeColor="text1"/>
                <w:szCs w:val="16"/>
              </w:rPr>
            </w:pPr>
            <w:r w:rsidRPr="00781112">
              <w:rPr>
                <w:rFonts w:cs="Arial"/>
                <w:color w:val="000000" w:themeColor="text1"/>
                <w:szCs w:val="16"/>
              </w:rPr>
              <w:t>1.49%</w:t>
            </w:r>
          </w:p>
        </w:tc>
        <w:tc>
          <w:tcPr>
            <w:tcW w:w="679" w:type="pct"/>
            <w:tcBorders>
              <w:top w:val="single" w:sz="4" w:space="0" w:color="auto"/>
              <w:left w:val="single" w:sz="4" w:space="0" w:color="auto"/>
              <w:bottom w:val="single" w:sz="4" w:space="0" w:color="auto"/>
              <w:right w:val="single" w:sz="4" w:space="0" w:color="auto"/>
            </w:tcBorders>
            <w:vAlign w:val="center"/>
            <w:hideMark/>
          </w:tcPr>
          <w:p w14:paraId="4D3869CC" w14:textId="777777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vAlign w:val="center"/>
          </w:tcPr>
          <w:p w14:paraId="083F8650" w14:textId="77777777" w:rsidR="00BB7BC9" w:rsidRPr="00781112" w:rsidRDefault="002B7490">
            <w:pPr>
              <w:jc w:val="center"/>
              <w:rPr>
                <w:rFonts w:cs="Arial"/>
                <w:color w:val="000000" w:themeColor="text1"/>
                <w:szCs w:val="16"/>
              </w:rPr>
            </w:pPr>
            <w:r w:rsidRPr="00781112">
              <w:rPr>
                <w:rFonts w:cs="Arial"/>
                <w:color w:val="000000" w:themeColor="text1"/>
                <w:szCs w:val="16"/>
              </w:rPr>
              <w:t>1.47%</w:t>
            </w:r>
          </w:p>
        </w:tc>
        <w:tc>
          <w:tcPr>
            <w:tcW w:w="679" w:type="pct"/>
            <w:tcBorders>
              <w:top w:val="single" w:sz="4" w:space="0" w:color="auto"/>
              <w:left w:val="single" w:sz="4" w:space="0" w:color="auto"/>
              <w:bottom w:val="single" w:sz="4" w:space="0" w:color="auto"/>
              <w:right w:val="single" w:sz="4" w:space="0" w:color="auto"/>
            </w:tcBorders>
            <w:vAlign w:val="center"/>
          </w:tcPr>
          <w:p w14:paraId="08105E51" w14:textId="77777777" w:rsidR="00BB7BC9" w:rsidRPr="00781112" w:rsidRDefault="002B7490">
            <w:pPr>
              <w:jc w:val="center"/>
              <w:rPr>
                <w:rFonts w:cs="Arial"/>
                <w:color w:val="000000" w:themeColor="text1"/>
                <w:szCs w:val="16"/>
              </w:rPr>
            </w:pPr>
            <w:r w:rsidRPr="00781112">
              <w:rPr>
                <w:rFonts w:cs="Arial"/>
                <w:color w:val="000000" w:themeColor="text1"/>
                <w:szCs w:val="16"/>
              </w:rPr>
              <w:t>1.49%</w:t>
            </w:r>
          </w:p>
        </w:tc>
        <w:tc>
          <w:tcPr>
            <w:tcW w:w="679" w:type="pct"/>
            <w:tcBorders>
              <w:top w:val="single" w:sz="4" w:space="0" w:color="auto"/>
              <w:left w:val="single" w:sz="4" w:space="0" w:color="auto"/>
              <w:bottom w:val="single" w:sz="4" w:space="0" w:color="auto"/>
              <w:right w:val="single" w:sz="4" w:space="0" w:color="auto"/>
            </w:tcBorders>
            <w:vAlign w:val="center"/>
          </w:tcPr>
          <w:p w14:paraId="76FF0631" w14:textId="77777777" w:rsidR="00BB7BC9" w:rsidRPr="00781112" w:rsidRDefault="002B7490">
            <w:pPr>
              <w:jc w:val="center"/>
              <w:rPr>
                <w:rFonts w:cs="Arial"/>
                <w:color w:val="000000" w:themeColor="text1"/>
                <w:szCs w:val="16"/>
              </w:rPr>
            </w:pPr>
            <w:r w:rsidRPr="00781112">
              <w:rPr>
                <w:rFonts w:cs="Arial"/>
                <w:color w:val="000000" w:themeColor="text1"/>
                <w:szCs w:val="16"/>
              </w:rPr>
              <w:t>1.50%</w:t>
            </w:r>
          </w:p>
        </w:tc>
        <w:tc>
          <w:tcPr>
            <w:tcW w:w="679" w:type="pct"/>
            <w:tcBorders>
              <w:top w:val="single" w:sz="4" w:space="0" w:color="auto"/>
              <w:left w:val="single" w:sz="4" w:space="0" w:color="auto"/>
              <w:bottom w:val="single" w:sz="4" w:space="0" w:color="auto"/>
              <w:right w:val="single" w:sz="4" w:space="0" w:color="auto"/>
            </w:tcBorders>
            <w:vAlign w:val="center"/>
          </w:tcPr>
          <w:p w14:paraId="309D6B8E" w14:textId="77777777" w:rsidR="00BB7BC9" w:rsidRPr="00781112" w:rsidRDefault="002B7490">
            <w:pPr>
              <w:jc w:val="center"/>
              <w:rPr>
                <w:rFonts w:cs="Arial"/>
                <w:color w:val="000000" w:themeColor="text1"/>
                <w:szCs w:val="16"/>
              </w:rPr>
            </w:pPr>
            <w:r w:rsidRPr="00781112">
              <w:rPr>
                <w:rFonts w:cs="Arial"/>
                <w:color w:val="000000" w:themeColor="text1"/>
                <w:szCs w:val="16"/>
              </w:rPr>
              <w:t>0.94%</w:t>
            </w:r>
          </w:p>
        </w:tc>
        <w:tc>
          <w:tcPr>
            <w:tcW w:w="679" w:type="pct"/>
            <w:tcBorders>
              <w:top w:val="single" w:sz="4" w:space="0" w:color="auto"/>
              <w:left w:val="single" w:sz="4" w:space="0" w:color="auto"/>
              <w:bottom w:val="single" w:sz="4" w:space="0" w:color="auto"/>
              <w:right w:val="single" w:sz="4" w:space="0" w:color="auto"/>
            </w:tcBorders>
            <w:vAlign w:val="center"/>
          </w:tcPr>
          <w:p w14:paraId="2233F3D7" w14:textId="77777777" w:rsidR="00BB7BC9" w:rsidRPr="00781112" w:rsidRDefault="002B7490">
            <w:pPr>
              <w:jc w:val="center"/>
              <w:rPr>
                <w:rFonts w:cs="Arial"/>
                <w:color w:val="000000" w:themeColor="text1"/>
                <w:szCs w:val="16"/>
              </w:rPr>
            </w:pPr>
            <w:r w:rsidRPr="00781112">
              <w:rPr>
                <w:rFonts w:cs="Arial"/>
                <w:color w:val="000000" w:themeColor="text1"/>
                <w:szCs w:val="16"/>
              </w:rPr>
              <w:t>1.27%</w:t>
            </w:r>
          </w:p>
        </w:tc>
      </w:tr>
    </w:tbl>
    <w:p w14:paraId="2916DDD4" w14:textId="77777777" w:rsidR="004A4803" w:rsidRPr="00781112" w:rsidRDefault="004A4803" w:rsidP="004369B2">
      <w:pPr>
        <w:rPr>
          <w:color w:val="000000" w:themeColor="text1"/>
        </w:rPr>
      </w:pPr>
    </w:p>
    <w:p w14:paraId="6D48C3A9" w14:textId="77777777" w:rsidR="002C207A" w:rsidRPr="00781112" w:rsidRDefault="002C207A" w:rsidP="004369B2">
      <w:pPr>
        <w:rPr>
          <w:color w:val="000000" w:themeColor="text1"/>
        </w:rPr>
      </w:pPr>
      <w:r w:rsidRPr="00781112">
        <w:rPr>
          <w:b/>
          <w:color w:val="000000" w:themeColor="text1"/>
        </w:rPr>
        <w:t>Targets</w:t>
      </w:r>
    </w:p>
    <w:tbl>
      <w:tblPr>
        <w:tblW w:w="1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TARGETS"/>
      </w:tblPr>
      <w:tblGrid>
        <w:gridCol w:w="673"/>
        <w:gridCol w:w="1691"/>
        <w:gridCol w:w="1691"/>
      </w:tblGrid>
      <w:tr w:rsidR="009D1146" w:rsidRPr="00781112" w14:paraId="0BD2C829" w14:textId="77777777" w:rsidTr="00924AD9">
        <w:trPr>
          <w:trHeight w:val="264"/>
        </w:trPr>
        <w:tc>
          <w:tcPr>
            <w:tcW w:w="830" w:type="pct"/>
            <w:tcBorders>
              <w:bottom w:val="single" w:sz="4" w:space="0" w:color="auto"/>
            </w:tcBorders>
          </w:tcPr>
          <w:p w14:paraId="1B872CB3" w14:textId="77777777" w:rsidR="009D1146" w:rsidRPr="00781112" w:rsidRDefault="009D1146" w:rsidP="00D62058">
            <w:pPr>
              <w:jc w:val="center"/>
              <w:rPr>
                <w:b/>
                <w:color w:val="000000" w:themeColor="text1"/>
              </w:rPr>
            </w:pPr>
            <w:r w:rsidRPr="00781112">
              <w:rPr>
                <w:b/>
                <w:color w:val="000000" w:themeColor="text1"/>
              </w:rPr>
              <w:t>FFY</w:t>
            </w:r>
          </w:p>
        </w:tc>
        <w:tc>
          <w:tcPr>
            <w:tcW w:w="2085" w:type="pct"/>
          </w:tcPr>
          <w:p w14:paraId="2BCA7DB6" w14:textId="77777777" w:rsidR="009D1146" w:rsidRPr="00781112" w:rsidRDefault="009D1146" w:rsidP="00D62058">
            <w:pPr>
              <w:jc w:val="center"/>
              <w:rPr>
                <w:b/>
                <w:color w:val="000000" w:themeColor="text1"/>
              </w:rPr>
            </w:pPr>
            <w:r w:rsidRPr="00781112">
              <w:rPr>
                <w:b/>
                <w:color w:val="000000" w:themeColor="text1"/>
              </w:rPr>
              <w:t>2024</w:t>
            </w:r>
          </w:p>
        </w:tc>
        <w:tc>
          <w:tcPr>
            <w:tcW w:w="2085" w:type="pct"/>
          </w:tcPr>
          <w:p w14:paraId="124568D1" w14:textId="77777777" w:rsidR="009D1146" w:rsidRPr="00781112" w:rsidRDefault="009D1146" w:rsidP="00D62058">
            <w:pPr>
              <w:jc w:val="center"/>
              <w:rPr>
                <w:b/>
                <w:color w:val="000000" w:themeColor="text1"/>
              </w:rPr>
            </w:pPr>
            <w:r w:rsidRPr="00781112">
              <w:rPr>
                <w:rFonts w:cs="Arial"/>
                <w:b/>
                <w:color w:val="000000" w:themeColor="text1"/>
                <w:szCs w:val="16"/>
              </w:rPr>
              <w:t>2025</w:t>
            </w:r>
          </w:p>
        </w:tc>
      </w:tr>
      <w:tr w:rsidR="009D1146" w:rsidRPr="00781112" w14:paraId="50778CF5" w14:textId="77777777" w:rsidTr="00924AD9">
        <w:trPr>
          <w:trHeight w:val="270"/>
        </w:trPr>
        <w:tc>
          <w:tcPr>
            <w:tcW w:w="830" w:type="pct"/>
            <w:vAlign w:val="center"/>
          </w:tcPr>
          <w:p w14:paraId="30558325" w14:textId="77777777" w:rsidR="009D1146" w:rsidRPr="00781112" w:rsidRDefault="009D1146" w:rsidP="00BA3DBE">
            <w:pPr>
              <w:jc w:val="center"/>
              <w:rPr>
                <w:rFonts w:cs="Arial"/>
                <w:color w:val="000000" w:themeColor="text1"/>
                <w:szCs w:val="16"/>
              </w:rPr>
            </w:pPr>
            <w:r w:rsidRPr="00781112">
              <w:rPr>
                <w:rFonts w:cs="Arial"/>
                <w:color w:val="000000" w:themeColor="text1"/>
                <w:szCs w:val="16"/>
              </w:rPr>
              <w:t>Target A &gt;=</w:t>
            </w:r>
          </w:p>
        </w:tc>
        <w:tc>
          <w:tcPr>
            <w:tcW w:w="2085" w:type="pct"/>
            <w:vAlign w:val="center"/>
          </w:tcPr>
          <w:p w14:paraId="5B94E966" w14:textId="77777777" w:rsidR="009D1146" w:rsidRPr="00781112" w:rsidRDefault="009D1146" w:rsidP="00D62058">
            <w:pPr>
              <w:jc w:val="center"/>
              <w:rPr>
                <w:rFonts w:cs="Arial"/>
                <w:color w:val="000000" w:themeColor="text1"/>
                <w:szCs w:val="16"/>
              </w:rPr>
            </w:pPr>
            <w:r w:rsidRPr="00781112">
              <w:rPr>
                <w:rFonts w:cs="Arial"/>
                <w:color w:val="000000" w:themeColor="text1"/>
                <w:szCs w:val="16"/>
              </w:rPr>
              <w:t>69.11%</w:t>
            </w:r>
          </w:p>
        </w:tc>
        <w:tc>
          <w:tcPr>
            <w:tcW w:w="2085" w:type="pct"/>
          </w:tcPr>
          <w:p w14:paraId="7ACAC86A" w14:textId="77777777" w:rsidR="009D1146" w:rsidRPr="00781112" w:rsidRDefault="009D1146" w:rsidP="00D62058">
            <w:pPr>
              <w:jc w:val="center"/>
              <w:rPr>
                <w:rFonts w:cs="Arial"/>
                <w:color w:val="000000" w:themeColor="text1"/>
                <w:szCs w:val="16"/>
              </w:rPr>
            </w:pPr>
            <w:r w:rsidRPr="00781112">
              <w:rPr>
                <w:color w:val="000000" w:themeColor="text1"/>
                <w:szCs w:val="16"/>
              </w:rPr>
              <w:t>69.61%</w:t>
            </w:r>
          </w:p>
        </w:tc>
      </w:tr>
      <w:tr w:rsidR="009D1146" w:rsidRPr="00781112" w14:paraId="76A1548E" w14:textId="77777777" w:rsidTr="00924AD9">
        <w:trPr>
          <w:trHeight w:val="270"/>
        </w:trPr>
        <w:tc>
          <w:tcPr>
            <w:tcW w:w="830" w:type="pct"/>
            <w:vAlign w:val="center"/>
          </w:tcPr>
          <w:p w14:paraId="156775FD" w14:textId="77777777" w:rsidR="009D1146" w:rsidRPr="00781112" w:rsidRDefault="009D1146" w:rsidP="00BA3DBE">
            <w:pPr>
              <w:jc w:val="center"/>
              <w:rPr>
                <w:rFonts w:cs="Arial"/>
                <w:color w:val="000000" w:themeColor="text1"/>
                <w:szCs w:val="16"/>
              </w:rPr>
            </w:pPr>
            <w:r w:rsidRPr="00781112">
              <w:rPr>
                <w:rFonts w:cs="Arial"/>
                <w:color w:val="000000" w:themeColor="text1"/>
                <w:szCs w:val="16"/>
              </w:rPr>
              <w:t>Target B &lt;=</w:t>
            </w:r>
          </w:p>
        </w:tc>
        <w:tc>
          <w:tcPr>
            <w:tcW w:w="2085" w:type="pct"/>
            <w:vAlign w:val="center"/>
          </w:tcPr>
          <w:p w14:paraId="3D261C5D" w14:textId="77777777" w:rsidR="009D1146" w:rsidRPr="00781112" w:rsidRDefault="009D1146" w:rsidP="00D62058">
            <w:pPr>
              <w:jc w:val="center"/>
              <w:rPr>
                <w:rFonts w:cs="Arial"/>
                <w:color w:val="000000" w:themeColor="text1"/>
                <w:szCs w:val="16"/>
              </w:rPr>
            </w:pPr>
            <w:r w:rsidRPr="00781112">
              <w:rPr>
                <w:rFonts w:cs="Arial"/>
                <w:color w:val="000000" w:themeColor="text1"/>
                <w:szCs w:val="16"/>
              </w:rPr>
              <w:t>6.00%</w:t>
            </w:r>
          </w:p>
        </w:tc>
        <w:tc>
          <w:tcPr>
            <w:tcW w:w="2085" w:type="pct"/>
          </w:tcPr>
          <w:p w14:paraId="7A1AF120" w14:textId="77777777" w:rsidR="009D1146" w:rsidRPr="00781112" w:rsidRDefault="009D1146" w:rsidP="00D62058">
            <w:pPr>
              <w:jc w:val="center"/>
              <w:rPr>
                <w:rFonts w:cs="Arial"/>
                <w:color w:val="000000" w:themeColor="text1"/>
                <w:szCs w:val="16"/>
              </w:rPr>
            </w:pPr>
            <w:r w:rsidRPr="00781112">
              <w:rPr>
                <w:color w:val="000000" w:themeColor="text1"/>
                <w:szCs w:val="16"/>
              </w:rPr>
              <w:t>5.90%</w:t>
            </w:r>
          </w:p>
        </w:tc>
      </w:tr>
      <w:tr w:rsidR="009D1146" w:rsidRPr="00781112" w14:paraId="445A3630" w14:textId="77777777" w:rsidTr="00924AD9">
        <w:trPr>
          <w:trHeight w:val="270"/>
        </w:trPr>
        <w:tc>
          <w:tcPr>
            <w:tcW w:w="830" w:type="pct"/>
            <w:vAlign w:val="center"/>
          </w:tcPr>
          <w:p w14:paraId="2635B636" w14:textId="77777777" w:rsidR="009D1146" w:rsidRPr="00781112" w:rsidRDefault="009D1146" w:rsidP="00BA3DBE">
            <w:pPr>
              <w:jc w:val="center"/>
              <w:rPr>
                <w:rFonts w:cs="Arial"/>
                <w:color w:val="000000" w:themeColor="text1"/>
                <w:szCs w:val="16"/>
              </w:rPr>
            </w:pPr>
            <w:r w:rsidRPr="00781112">
              <w:rPr>
                <w:rFonts w:cs="Arial"/>
                <w:color w:val="000000" w:themeColor="text1"/>
                <w:szCs w:val="16"/>
              </w:rPr>
              <w:t>Target C &lt;=</w:t>
            </w:r>
          </w:p>
        </w:tc>
        <w:tc>
          <w:tcPr>
            <w:tcW w:w="2085" w:type="pct"/>
            <w:vAlign w:val="center"/>
          </w:tcPr>
          <w:p w14:paraId="759BFB5F" w14:textId="77777777" w:rsidR="009D1146" w:rsidRPr="00781112" w:rsidRDefault="009D1146" w:rsidP="00D62058">
            <w:pPr>
              <w:jc w:val="center"/>
              <w:rPr>
                <w:rFonts w:cs="Arial"/>
                <w:color w:val="000000" w:themeColor="text1"/>
                <w:szCs w:val="16"/>
              </w:rPr>
            </w:pPr>
            <w:r w:rsidRPr="00781112">
              <w:rPr>
                <w:rFonts w:cs="Arial"/>
                <w:color w:val="000000" w:themeColor="text1"/>
                <w:szCs w:val="16"/>
              </w:rPr>
              <w:t>1.40%</w:t>
            </w:r>
          </w:p>
        </w:tc>
        <w:tc>
          <w:tcPr>
            <w:tcW w:w="2085" w:type="pct"/>
          </w:tcPr>
          <w:p w14:paraId="7C076FD5" w14:textId="77777777" w:rsidR="009D1146" w:rsidRPr="00781112" w:rsidRDefault="009D1146" w:rsidP="00D62058">
            <w:pPr>
              <w:jc w:val="center"/>
              <w:rPr>
                <w:rFonts w:cs="Arial"/>
                <w:color w:val="000000" w:themeColor="text1"/>
                <w:szCs w:val="16"/>
              </w:rPr>
            </w:pPr>
            <w:r w:rsidRPr="00781112">
              <w:rPr>
                <w:color w:val="000000" w:themeColor="text1"/>
                <w:szCs w:val="16"/>
              </w:rPr>
              <w:t>1.40%</w:t>
            </w:r>
          </w:p>
        </w:tc>
      </w:tr>
    </w:tbl>
    <w:p w14:paraId="53DDBA5C" w14:textId="77777777" w:rsidR="002D145D" w:rsidRPr="00781112" w:rsidRDefault="002D145D" w:rsidP="004369B2">
      <w:pPr>
        <w:rPr>
          <w:b/>
          <w:color w:val="000000" w:themeColor="text1"/>
        </w:rPr>
      </w:pPr>
      <w:r w:rsidRPr="00781112">
        <w:rPr>
          <w:b/>
          <w:color w:val="000000" w:themeColor="text1"/>
        </w:rPr>
        <w:t xml:space="preserve">Targets: Description of Stakeholder Input </w:t>
      </w:r>
    </w:p>
    <w:p w14:paraId="7C433CFA" w14:textId="77777777" w:rsidR="002D145D" w:rsidRPr="00781112" w:rsidRDefault="00D60B5F" w:rsidP="002D145D">
      <w:pPr>
        <w:rPr>
          <w:rFonts w:cs="Arial"/>
          <w:color w:val="000000" w:themeColor="text1"/>
          <w:szCs w:val="16"/>
        </w:rPr>
      </w:pPr>
      <w:r w:rsidRPr="00781112">
        <w:rPr>
          <w:rFonts w:cs="Arial"/>
          <w:color w:val="000000" w:themeColor="text1"/>
          <w:szCs w:val="16"/>
        </w:rPr>
        <w:t>WVDE/OSE maintains robust stakeholder engagement through multiple communication and collaboration channels:</w:t>
      </w:r>
    </w:p>
    <w:p w14:paraId="3A872FB1" w14:textId="77777777" w:rsidR="00CA787A" w:rsidRDefault="003169E9">
      <w:r>
        <w:rPr>
          <w:color w:val="000000"/>
        </w:rPr>
        <w:t>*DIRECT COMMUNICATION/CONSULTATION*</w:t>
      </w:r>
    </w:p>
    <w:p w14:paraId="6F3D704A" w14:textId="77777777" w:rsidR="00CA787A" w:rsidRDefault="003169E9">
      <w:r>
        <w:rPr>
          <w:color w:val="000000"/>
        </w:rPr>
        <w:t>—Engaging in one-on-one calls with parents, advocates, educators, and community stakeholders.</w:t>
      </w:r>
    </w:p>
    <w:p w14:paraId="2309C2AB" w14:textId="77777777" w:rsidR="00CA787A" w:rsidRDefault="003169E9">
      <w:r>
        <w:rPr>
          <w:color w:val="000000"/>
        </w:rPr>
        <w:t>—Distributing emails and surveys to solicit input from diverse stakeholder groups.</w:t>
      </w:r>
    </w:p>
    <w:p w14:paraId="487DD04B" w14:textId="77777777" w:rsidR="00CA787A" w:rsidRDefault="003169E9">
      <w:r>
        <w:rPr>
          <w:color w:val="000000"/>
        </w:rPr>
        <w:t>—Hosting bi-monthly secondary transition office hours to address Indicator 13 compliance and results, and to provide technical assistance for IEP development.</w:t>
      </w:r>
    </w:p>
    <w:p w14:paraId="1DACB39A" w14:textId="77777777" w:rsidR="00CA787A" w:rsidRDefault="003169E9">
      <w:r>
        <w:rPr>
          <w:color w:val="000000"/>
        </w:rPr>
        <w:t>—Monthly virtual meetings with stakeholders to identify and troubleshoot areas of concern throughout the state.</w:t>
      </w:r>
    </w:p>
    <w:p w14:paraId="0572D312" w14:textId="77777777" w:rsidR="00CA787A" w:rsidRDefault="003169E9">
      <w:r>
        <w:rPr>
          <w:color w:val="000000"/>
        </w:rPr>
        <w:t>*INFORMATION SHARING*</w:t>
      </w:r>
    </w:p>
    <w:p w14:paraId="21180EE4" w14:textId="77777777" w:rsidR="00CA787A" w:rsidRDefault="003169E9">
      <w:r>
        <w:rPr>
          <w:color w:val="000000"/>
        </w:rPr>
        <w:t>—Utilizing a dedicated Microsoft Teams platform for communication with LEAs.</w:t>
      </w:r>
    </w:p>
    <w:p w14:paraId="330000E5" w14:textId="77777777" w:rsidR="00CA787A" w:rsidRDefault="003169E9">
      <w:r>
        <w:rPr>
          <w:color w:val="000000"/>
        </w:rPr>
        <w:t>—Maintaining a public input form on the WVDE website specifically for SSIP feedback.</w:t>
      </w:r>
    </w:p>
    <w:p w14:paraId="222F1048" w14:textId="77777777" w:rsidR="00CA787A" w:rsidRDefault="003169E9">
      <w:r>
        <w:rPr>
          <w:color w:val="000000"/>
        </w:rPr>
        <w:t xml:space="preserve">—Collecting input from parents, students, and school personnel as required components of monitoring activities. </w:t>
      </w:r>
    </w:p>
    <w:p w14:paraId="029071C0" w14:textId="77777777" w:rsidR="00CA787A" w:rsidRDefault="003169E9">
      <w:r>
        <w:rPr>
          <w:color w:val="000000"/>
        </w:rPr>
        <w:t>—Facilitating cross-office communication and coordination on general and special education initiatives.</w:t>
      </w:r>
    </w:p>
    <w:p w14:paraId="7A68932F" w14:textId="77777777" w:rsidR="00CA787A" w:rsidRDefault="003169E9">
      <w:r>
        <w:rPr>
          <w:color w:val="000000"/>
        </w:rPr>
        <w:lastRenderedPageBreak/>
        <w:t>*COLLABORATIVE PARTNERSHIPS*</w:t>
      </w:r>
    </w:p>
    <w:p w14:paraId="18E37A60" w14:textId="77777777" w:rsidR="00CA787A" w:rsidRDefault="003169E9">
      <w:r>
        <w:rPr>
          <w:color w:val="000000"/>
        </w:rPr>
        <w:t>—Engaging in ongoing meetings and interagency teams dedicated to enhancing outcomes for individuals with disabilities.</w:t>
      </w:r>
    </w:p>
    <w:p w14:paraId="69DA6880" w14:textId="77777777" w:rsidR="00CA787A" w:rsidRDefault="003169E9">
      <w:r>
        <w:rPr>
          <w:color w:val="000000"/>
        </w:rPr>
        <w:t>—Ensuring the state director's active participation in all WVACEEC meetings, including involvement in sessions, capacity-building efforts, and feedback collection from LEAs, parents, and community organizations.</w:t>
      </w:r>
    </w:p>
    <w:p w14:paraId="7AE7D61B" w14:textId="77777777" w:rsidR="00CA787A" w:rsidRDefault="003169E9">
      <w:r>
        <w:rPr>
          <w:color w:val="000000"/>
        </w:rPr>
        <w:t>—Maintaining regular meetings and collaborative relationships with legislators, advocacy organizations, educator associations, and other stakeholders to strengthen stakeholder knowledge of IDEA procedures, improve SEA-stakeholder dialogue, and collaboratively develop strategies for ongoing improvement toward special education goals (e.g., the Developmental Disability Council (DD Council), Statewide Independent Living Council (SILC), State Rehabilitation Council (SRC), Employment First Task Force, Olmstead Council).</w:t>
      </w:r>
    </w:p>
    <w:p w14:paraId="2B0DC152" w14:textId="77777777" w:rsidR="002D145D" w:rsidRPr="00781112" w:rsidRDefault="00D60B5F" w:rsidP="002D145D">
      <w:pPr>
        <w:rPr>
          <w:rFonts w:cs="Arial"/>
          <w:color w:val="000000" w:themeColor="text1"/>
          <w:szCs w:val="16"/>
        </w:rPr>
      </w:pPr>
      <w:r w:rsidRPr="00781112">
        <w:rPr>
          <w:rFonts w:cs="Arial"/>
          <w:color w:val="000000" w:themeColor="text1"/>
          <w:szCs w:val="16"/>
        </w:rPr>
        <w:t>Stakeholders did not indicate any interest in revising the Education Environments targets during meetings held throughout the reporting period. However, WVDE/OSE remains open to considering any concerns or recommendations stakeholders may have regarding these targets.</w:t>
      </w:r>
    </w:p>
    <w:p w14:paraId="49BE35D7" w14:textId="77777777" w:rsidR="004A4803" w:rsidRPr="00781112" w:rsidRDefault="004A4803" w:rsidP="004369B2">
      <w:pPr>
        <w:rPr>
          <w:color w:val="000000" w:themeColor="text1"/>
        </w:rPr>
      </w:pPr>
    </w:p>
    <w:p w14:paraId="212444C9" w14:textId="77777777" w:rsidR="00931A25" w:rsidRPr="00781112" w:rsidRDefault="00931A25"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PREPOPDATA"/>
      </w:tblPr>
      <w:tblGrid>
        <w:gridCol w:w="2605"/>
        <w:gridCol w:w="2969"/>
        <w:gridCol w:w="3332"/>
        <w:gridCol w:w="1884"/>
      </w:tblGrid>
      <w:tr w:rsidR="005C29F8" w:rsidRPr="00781112" w14:paraId="17E311BB" w14:textId="77777777" w:rsidTr="0033429D">
        <w:trPr>
          <w:trHeight w:val="372"/>
          <w:tblHeader/>
        </w:trPr>
        <w:tc>
          <w:tcPr>
            <w:tcW w:w="1207" w:type="pct"/>
          </w:tcPr>
          <w:p w14:paraId="076F9808"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Source</w:t>
            </w:r>
          </w:p>
        </w:tc>
        <w:tc>
          <w:tcPr>
            <w:tcW w:w="1376" w:type="pct"/>
          </w:tcPr>
          <w:p w14:paraId="5F28298B"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Date</w:t>
            </w:r>
          </w:p>
        </w:tc>
        <w:tc>
          <w:tcPr>
            <w:tcW w:w="1544" w:type="pct"/>
          </w:tcPr>
          <w:p w14:paraId="22CEB402"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Description</w:t>
            </w:r>
          </w:p>
        </w:tc>
        <w:tc>
          <w:tcPr>
            <w:tcW w:w="873" w:type="pct"/>
          </w:tcPr>
          <w:p w14:paraId="6EDC6387"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42AD274E" w14:textId="77777777" w:rsidTr="00AB0D6A">
        <w:trPr>
          <w:trHeight w:val="380"/>
        </w:trPr>
        <w:tc>
          <w:tcPr>
            <w:tcW w:w="1207" w:type="pct"/>
            <w:vAlign w:val="center"/>
          </w:tcPr>
          <w:p w14:paraId="7D2BE4C2" w14:textId="77777777" w:rsidR="003C1852" w:rsidRPr="00781112" w:rsidRDefault="002B7490">
            <w:pPr>
              <w:jc w:val="center"/>
              <w:rPr>
                <w:rFonts w:cs="Arial"/>
                <w:color w:val="000000" w:themeColor="text1"/>
                <w:szCs w:val="16"/>
              </w:rPr>
            </w:pPr>
            <w:r w:rsidRPr="00781112">
              <w:rPr>
                <w:rFonts w:cs="Arial"/>
                <w:color w:val="000000" w:themeColor="text1"/>
                <w:szCs w:val="16"/>
              </w:rPr>
              <w:t>SY 2024-25 Children with Disabilities (IDEA) School Age (</w:t>
            </w:r>
            <w:proofErr w:type="spellStart"/>
            <w:r w:rsidRPr="00781112">
              <w:rPr>
                <w:rFonts w:cs="Arial"/>
                <w:color w:val="000000" w:themeColor="text1"/>
                <w:szCs w:val="16"/>
              </w:rPr>
              <w:t>EDFacts</w:t>
            </w:r>
            <w:proofErr w:type="spellEnd"/>
            <w:r w:rsidRPr="00781112">
              <w:rPr>
                <w:rFonts w:cs="Arial"/>
                <w:color w:val="000000" w:themeColor="text1"/>
                <w:szCs w:val="16"/>
              </w:rPr>
              <w:t xml:space="preserve"> file spec FS002; Data group 74)</w:t>
            </w:r>
          </w:p>
        </w:tc>
        <w:tc>
          <w:tcPr>
            <w:tcW w:w="1376" w:type="pct"/>
            <w:vAlign w:val="center"/>
          </w:tcPr>
          <w:p w14:paraId="17F3DEAA" w14:textId="77777777" w:rsidR="003C1852" w:rsidRPr="00781112" w:rsidRDefault="00FB785D">
            <w:pPr>
              <w:jc w:val="center"/>
              <w:rPr>
                <w:rFonts w:cs="Arial"/>
                <w:color w:val="000000" w:themeColor="text1"/>
                <w:szCs w:val="16"/>
              </w:rPr>
            </w:pPr>
            <w:r w:rsidRPr="00781112">
              <w:rPr>
                <w:rFonts w:cs="Arial"/>
                <w:color w:val="000000" w:themeColor="text1"/>
                <w:szCs w:val="16"/>
              </w:rPr>
              <w:t>07/30/2025</w:t>
            </w:r>
          </w:p>
        </w:tc>
        <w:tc>
          <w:tcPr>
            <w:tcW w:w="1544" w:type="pct"/>
            <w:vAlign w:val="center"/>
          </w:tcPr>
          <w:p w14:paraId="01B1E0BA" w14:textId="77777777" w:rsidR="003C1852" w:rsidRPr="00781112" w:rsidRDefault="003C1852" w:rsidP="00E0321D">
            <w:pPr>
              <w:jc w:val="center"/>
              <w:rPr>
                <w:rFonts w:cs="Arial"/>
                <w:color w:val="000000" w:themeColor="text1"/>
                <w:szCs w:val="16"/>
              </w:rPr>
            </w:pPr>
            <w:r w:rsidRPr="00781112">
              <w:rPr>
                <w:rFonts w:cs="Arial"/>
                <w:color w:val="000000" w:themeColor="text1"/>
                <w:szCs w:val="16"/>
              </w:rPr>
              <w:t xml:space="preserve">Total number of children with IEPs aged </w:t>
            </w:r>
            <w:r w:rsidR="00185BA9" w:rsidRPr="00781112">
              <w:rPr>
                <w:rFonts w:cs="Arial"/>
                <w:szCs w:val="16"/>
              </w:rPr>
              <w:t>5 (kindergarten)</w:t>
            </w:r>
            <w:r w:rsidRPr="00781112">
              <w:rPr>
                <w:rFonts w:cs="Arial"/>
                <w:color w:val="000000" w:themeColor="text1"/>
                <w:szCs w:val="16"/>
              </w:rPr>
              <w:t xml:space="preserve"> through 21</w:t>
            </w:r>
          </w:p>
        </w:tc>
        <w:tc>
          <w:tcPr>
            <w:tcW w:w="873" w:type="pct"/>
            <w:vAlign w:val="center"/>
          </w:tcPr>
          <w:p w14:paraId="2006DF31" w14:textId="77777777" w:rsidR="003C1852" w:rsidRPr="00781112" w:rsidRDefault="002B7490" w:rsidP="00E0321D">
            <w:pPr>
              <w:jc w:val="center"/>
              <w:rPr>
                <w:rFonts w:cs="Arial"/>
                <w:color w:val="000000" w:themeColor="text1"/>
                <w:szCs w:val="16"/>
              </w:rPr>
            </w:pPr>
            <w:r w:rsidRPr="00781112">
              <w:rPr>
                <w:rFonts w:cs="Arial"/>
                <w:color w:val="000000" w:themeColor="text1"/>
                <w:szCs w:val="16"/>
              </w:rPr>
              <w:t>46,301</w:t>
            </w:r>
          </w:p>
        </w:tc>
      </w:tr>
      <w:tr w:rsidR="005C29F8" w:rsidRPr="00781112" w14:paraId="519DE1C4" w14:textId="77777777" w:rsidTr="00AB0D6A">
        <w:trPr>
          <w:trHeight w:val="380"/>
        </w:trPr>
        <w:tc>
          <w:tcPr>
            <w:tcW w:w="1207" w:type="pct"/>
            <w:vAlign w:val="center"/>
          </w:tcPr>
          <w:p w14:paraId="07C9B747" w14:textId="77777777" w:rsidR="008A3DC6" w:rsidRPr="00781112" w:rsidRDefault="00FB785D">
            <w:pPr>
              <w:jc w:val="center"/>
              <w:rPr>
                <w:rFonts w:cs="Arial"/>
                <w:color w:val="000000" w:themeColor="text1"/>
                <w:szCs w:val="16"/>
              </w:rPr>
            </w:pPr>
            <w:r w:rsidRPr="00781112">
              <w:rPr>
                <w:rFonts w:cs="Arial"/>
                <w:color w:val="000000" w:themeColor="text1"/>
                <w:szCs w:val="16"/>
              </w:rPr>
              <w:t>SY 2024-25 Children with Disabilities (IDEA) School Age (</w:t>
            </w:r>
            <w:proofErr w:type="spellStart"/>
            <w:r w:rsidRPr="00781112">
              <w:rPr>
                <w:rFonts w:cs="Arial"/>
                <w:color w:val="000000" w:themeColor="text1"/>
                <w:szCs w:val="16"/>
              </w:rPr>
              <w:t>EDFacts</w:t>
            </w:r>
            <w:proofErr w:type="spellEnd"/>
            <w:r w:rsidRPr="00781112">
              <w:rPr>
                <w:rFonts w:cs="Arial"/>
                <w:color w:val="000000" w:themeColor="text1"/>
                <w:szCs w:val="16"/>
              </w:rPr>
              <w:t xml:space="preserve"> file spec FS002; Data group 74)</w:t>
            </w:r>
          </w:p>
        </w:tc>
        <w:tc>
          <w:tcPr>
            <w:tcW w:w="1376" w:type="pct"/>
            <w:vAlign w:val="center"/>
          </w:tcPr>
          <w:p w14:paraId="6088CD66" w14:textId="77777777" w:rsidR="008A3DC6" w:rsidRPr="00781112" w:rsidRDefault="00FB785D">
            <w:pPr>
              <w:jc w:val="center"/>
              <w:rPr>
                <w:rFonts w:cs="Arial"/>
                <w:color w:val="000000" w:themeColor="text1"/>
                <w:szCs w:val="16"/>
              </w:rPr>
            </w:pPr>
            <w:r w:rsidRPr="00781112">
              <w:rPr>
                <w:rFonts w:cs="Arial"/>
                <w:color w:val="000000" w:themeColor="text1"/>
                <w:szCs w:val="16"/>
              </w:rPr>
              <w:t>07/30/2025</w:t>
            </w:r>
          </w:p>
        </w:tc>
        <w:tc>
          <w:tcPr>
            <w:tcW w:w="1544" w:type="pct"/>
            <w:vAlign w:val="center"/>
          </w:tcPr>
          <w:p w14:paraId="7B3C9B24" w14:textId="77777777"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A. Number of children with IEPs aged </w:t>
            </w:r>
            <w:r w:rsidR="00185BA9" w:rsidRPr="00781112">
              <w:rPr>
                <w:rFonts w:cs="Arial"/>
                <w:szCs w:val="16"/>
              </w:rPr>
              <w:t>5 (kindergarten)</w:t>
            </w:r>
            <w:r w:rsidRPr="00781112">
              <w:rPr>
                <w:rFonts w:cs="Arial"/>
                <w:color w:val="000000" w:themeColor="text1"/>
                <w:szCs w:val="16"/>
              </w:rPr>
              <w:t xml:space="preserve"> through 21 inside the regular class 80% or more of the day</w:t>
            </w:r>
          </w:p>
        </w:tc>
        <w:tc>
          <w:tcPr>
            <w:tcW w:w="873" w:type="pct"/>
            <w:vAlign w:val="center"/>
          </w:tcPr>
          <w:p w14:paraId="5F18B328" w14:textId="77777777" w:rsidR="008A3DC6" w:rsidRPr="00781112" w:rsidRDefault="002B7490" w:rsidP="00E0321D">
            <w:pPr>
              <w:jc w:val="center"/>
              <w:rPr>
                <w:rFonts w:cs="Arial"/>
                <w:color w:val="000000" w:themeColor="text1"/>
                <w:szCs w:val="16"/>
              </w:rPr>
            </w:pPr>
            <w:r w:rsidRPr="00781112">
              <w:rPr>
                <w:rFonts w:cs="Arial"/>
                <w:color w:val="000000" w:themeColor="text1"/>
                <w:szCs w:val="16"/>
              </w:rPr>
              <w:t>28,739</w:t>
            </w:r>
          </w:p>
        </w:tc>
      </w:tr>
      <w:tr w:rsidR="005C29F8" w:rsidRPr="00781112" w14:paraId="5AE7E0F5" w14:textId="77777777" w:rsidTr="00AB0D6A">
        <w:trPr>
          <w:trHeight w:val="380"/>
        </w:trPr>
        <w:tc>
          <w:tcPr>
            <w:tcW w:w="1207" w:type="pct"/>
            <w:vAlign w:val="center"/>
          </w:tcPr>
          <w:p w14:paraId="30EB0D0C" w14:textId="77777777" w:rsidR="008A3DC6" w:rsidRPr="00781112" w:rsidRDefault="00FB785D">
            <w:pPr>
              <w:jc w:val="center"/>
              <w:rPr>
                <w:rFonts w:cs="Arial"/>
                <w:color w:val="000000" w:themeColor="text1"/>
                <w:szCs w:val="16"/>
              </w:rPr>
            </w:pPr>
            <w:r w:rsidRPr="00781112">
              <w:rPr>
                <w:rFonts w:cs="Arial"/>
                <w:color w:val="000000" w:themeColor="text1"/>
                <w:szCs w:val="16"/>
              </w:rPr>
              <w:t>SY 2024-25 Children with Disabilities (IDEA) School Age (</w:t>
            </w:r>
            <w:proofErr w:type="spellStart"/>
            <w:r w:rsidRPr="00781112">
              <w:rPr>
                <w:rFonts w:cs="Arial"/>
                <w:color w:val="000000" w:themeColor="text1"/>
                <w:szCs w:val="16"/>
              </w:rPr>
              <w:t>EDFacts</w:t>
            </w:r>
            <w:proofErr w:type="spellEnd"/>
            <w:r w:rsidRPr="00781112">
              <w:rPr>
                <w:rFonts w:cs="Arial"/>
                <w:color w:val="000000" w:themeColor="text1"/>
                <w:szCs w:val="16"/>
              </w:rPr>
              <w:t xml:space="preserve"> file spec FS002; Data group 74)</w:t>
            </w:r>
          </w:p>
        </w:tc>
        <w:tc>
          <w:tcPr>
            <w:tcW w:w="1376" w:type="pct"/>
            <w:vAlign w:val="center"/>
          </w:tcPr>
          <w:p w14:paraId="44604DF7" w14:textId="77777777" w:rsidR="008A3DC6" w:rsidRPr="00781112" w:rsidRDefault="00FB785D">
            <w:pPr>
              <w:jc w:val="center"/>
              <w:rPr>
                <w:rFonts w:cs="Arial"/>
                <w:color w:val="000000" w:themeColor="text1"/>
                <w:szCs w:val="16"/>
              </w:rPr>
            </w:pPr>
            <w:r w:rsidRPr="00781112">
              <w:rPr>
                <w:rFonts w:cs="Arial"/>
                <w:color w:val="000000" w:themeColor="text1"/>
                <w:szCs w:val="16"/>
              </w:rPr>
              <w:t>07/30/2025</w:t>
            </w:r>
          </w:p>
        </w:tc>
        <w:tc>
          <w:tcPr>
            <w:tcW w:w="1544" w:type="pct"/>
            <w:vAlign w:val="center"/>
          </w:tcPr>
          <w:p w14:paraId="3D9BD6F2" w14:textId="77777777"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B. Number of children with IEPs aged </w:t>
            </w:r>
            <w:r w:rsidR="00185BA9" w:rsidRPr="00781112">
              <w:rPr>
                <w:rFonts w:cs="Arial"/>
                <w:szCs w:val="16"/>
              </w:rPr>
              <w:t>5 (kindergarten)</w:t>
            </w:r>
            <w:r w:rsidR="00185BA9" w:rsidRPr="00781112">
              <w:rPr>
                <w:rFonts w:cs="Arial"/>
                <w:color w:val="000000" w:themeColor="text1"/>
                <w:szCs w:val="16"/>
              </w:rPr>
              <w:t xml:space="preserve"> </w:t>
            </w:r>
            <w:r w:rsidRPr="00781112">
              <w:rPr>
                <w:rFonts w:cs="Arial"/>
                <w:color w:val="000000" w:themeColor="text1"/>
                <w:szCs w:val="16"/>
              </w:rPr>
              <w:t>through 21 inside the regular class less than 40% of the day</w:t>
            </w:r>
          </w:p>
        </w:tc>
        <w:tc>
          <w:tcPr>
            <w:tcW w:w="873" w:type="pct"/>
            <w:vAlign w:val="center"/>
          </w:tcPr>
          <w:p w14:paraId="1E91D011" w14:textId="77777777" w:rsidR="008A3DC6" w:rsidRPr="00781112" w:rsidRDefault="002B7490" w:rsidP="00E0321D">
            <w:pPr>
              <w:jc w:val="center"/>
              <w:rPr>
                <w:rFonts w:cs="Arial"/>
                <w:color w:val="000000" w:themeColor="text1"/>
                <w:szCs w:val="16"/>
              </w:rPr>
            </w:pPr>
            <w:r w:rsidRPr="00781112">
              <w:rPr>
                <w:rFonts w:cs="Arial"/>
                <w:color w:val="000000" w:themeColor="text1"/>
                <w:szCs w:val="16"/>
              </w:rPr>
              <w:t>3,433</w:t>
            </w:r>
          </w:p>
        </w:tc>
      </w:tr>
      <w:tr w:rsidR="005C29F8" w:rsidRPr="00781112" w14:paraId="213E3600" w14:textId="77777777" w:rsidTr="00AB0D6A">
        <w:trPr>
          <w:trHeight w:val="380"/>
        </w:trPr>
        <w:tc>
          <w:tcPr>
            <w:tcW w:w="1207" w:type="pct"/>
            <w:vAlign w:val="center"/>
          </w:tcPr>
          <w:p w14:paraId="0CAE0D78" w14:textId="77777777" w:rsidR="008A3DC6" w:rsidRPr="00781112" w:rsidRDefault="00FB785D">
            <w:pPr>
              <w:jc w:val="center"/>
              <w:rPr>
                <w:rFonts w:cs="Arial"/>
                <w:color w:val="000000" w:themeColor="text1"/>
                <w:szCs w:val="16"/>
              </w:rPr>
            </w:pPr>
            <w:r w:rsidRPr="00781112">
              <w:rPr>
                <w:rFonts w:cs="Arial"/>
                <w:color w:val="000000" w:themeColor="text1"/>
                <w:szCs w:val="16"/>
              </w:rPr>
              <w:t>SY 2024-25 Children with Disabilities (IDEA) School Age (</w:t>
            </w:r>
            <w:proofErr w:type="spellStart"/>
            <w:r w:rsidRPr="00781112">
              <w:rPr>
                <w:rFonts w:cs="Arial"/>
                <w:color w:val="000000" w:themeColor="text1"/>
                <w:szCs w:val="16"/>
              </w:rPr>
              <w:t>EDFacts</w:t>
            </w:r>
            <w:proofErr w:type="spellEnd"/>
            <w:r w:rsidRPr="00781112">
              <w:rPr>
                <w:rFonts w:cs="Arial"/>
                <w:color w:val="000000" w:themeColor="text1"/>
                <w:szCs w:val="16"/>
              </w:rPr>
              <w:t xml:space="preserve"> file spec FS002; Data group 74)</w:t>
            </w:r>
          </w:p>
        </w:tc>
        <w:tc>
          <w:tcPr>
            <w:tcW w:w="1376" w:type="pct"/>
            <w:vAlign w:val="center"/>
          </w:tcPr>
          <w:p w14:paraId="0C476EBE" w14:textId="77777777" w:rsidR="008A3DC6" w:rsidRPr="00781112" w:rsidRDefault="00FB785D">
            <w:pPr>
              <w:jc w:val="center"/>
              <w:rPr>
                <w:rFonts w:cs="Arial"/>
                <w:color w:val="000000" w:themeColor="text1"/>
                <w:szCs w:val="16"/>
              </w:rPr>
            </w:pPr>
            <w:r w:rsidRPr="00781112">
              <w:rPr>
                <w:rFonts w:cs="Arial"/>
                <w:color w:val="000000" w:themeColor="text1"/>
                <w:szCs w:val="16"/>
              </w:rPr>
              <w:t>07/30/2025</w:t>
            </w:r>
          </w:p>
        </w:tc>
        <w:tc>
          <w:tcPr>
            <w:tcW w:w="1544" w:type="pct"/>
            <w:vAlign w:val="center"/>
          </w:tcPr>
          <w:p w14:paraId="2B7020B4" w14:textId="77777777"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c1. Number of children with IEPs aged </w:t>
            </w:r>
            <w:r w:rsidR="00185BA9" w:rsidRPr="00781112">
              <w:rPr>
                <w:rFonts w:cs="Arial"/>
                <w:szCs w:val="16"/>
              </w:rPr>
              <w:t>5 (kindergarten)</w:t>
            </w:r>
            <w:r w:rsidRPr="00781112">
              <w:rPr>
                <w:rFonts w:cs="Arial"/>
                <w:color w:val="000000" w:themeColor="text1"/>
                <w:szCs w:val="16"/>
              </w:rPr>
              <w:t xml:space="preserve"> through 21 in separate </w:t>
            </w:r>
            <w:r w:rsidR="00185BA9" w:rsidRPr="00781112">
              <w:rPr>
                <w:rFonts w:cs="Arial"/>
                <w:color w:val="000000" w:themeColor="text1"/>
                <w:szCs w:val="16"/>
              </w:rPr>
              <w:t>s</w:t>
            </w:r>
            <w:r w:rsidRPr="00781112">
              <w:rPr>
                <w:rFonts w:cs="Arial"/>
                <w:color w:val="000000" w:themeColor="text1"/>
                <w:szCs w:val="16"/>
              </w:rPr>
              <w:t>chools</w:t>
            </w:r>
          </w:p>
        </w:tc>
        <w:tc>
          <w:tcPr>
            <w:tcW w:w="873" w:type="pct"/>
            <w:vAlign w:val="center"/>
          </w:tcPr>
          <w:p w14:paraId="07A35D48" w14:textId="77777777" w:rsidR="008A3DC6" w:rsidRPr="00781112" w:rsidRDefault="002B7490" w:rsidP="00E0321D">
            <w:pPr>
              <w:jc w:val="center"/>
              <w:rPr>
                <w:rFonts w:cs="Arial"/>
                <w:color w:val="000000" w:themeColor="text1"/>
                <w:szCs w:val="16"/>
              </w:rPr>
            </w:pPr>
            <w:r w:rsidRPr="00781112">
              <w:rPr>
                <w:rFonts w:cs="Arial"/>
                <w:color w:val="000000" w:themeColor="text1"/>
                <w:szCs w:val="16"/>
              </w:rPr>
              <w:t>65</w:t>
            </w:r>
          </w:p>
        </w:tc>
      </w:tr>
      <w:tr w:rsidR="005C29F8" w:rsidRPr="00781112" w14:paraId="3B504BC1" w14:textId="77777777" w:rsidTr="00AB0D6A">
        <w:trPr>
          <w:trHeight w:val="380"/>
        </w:trPr>
        <w:tc>
          <w:tcPr>
            <w:tcW w:w="1207" w:type="pct"/>
            <w:vAlign w:val="center"/>
          </w:tcPr>
          <w:p w14:paraId="6AAA633B" w14:textId="77777777" w:rsidR="008A3DC6" w:rsidRPr="00781112" w:rsidRDefault="00FB785D">
            <w:pPr>
              <w:jc w:val="center"/>
              <w:rPr>
                <w:rFonts w:cs="Arial"/>
                <w:color w:val="000000" w:themeColor="text1"/>
                <w:szCs w:val="16"/>
              </w:rPr>
            </w:pPr>
            <w:r w:rsidRPr="00781112">
              <w:rPr>
                <w:rFonts w:cs="Arial"/>
                <w:color w:val="000000" w:themeColor="text1"/>
                <w:szCs w:val="16"/>
              </w:rPr>
              <w:t>SY 2024-25 Children with Disabilities (IDEA) School Age (</w:t>
            </w:r>
            <w:proofErr w:type="spellStart"/>
            <w:r w:rsidRPr="00781112">
              <w:rPr>
                <w:rFonts w:cs="Arial"/>
                <w:color w:val="000000" w:themeColor="text1"/>
                <w:szCs w:val="16"/>
              </w:rPr>
              <w:t>EDFacts</w:t>
            </w:r>
            <w:proofErr w:type="spellEnd"/>
            <w:r w:rsidRPr="00781112">
              <w:rPr>
                <w:rFonts w:cs="Arial"/>
                <w:color w:val="000000" w:themeColor="text1"/>
                <w:szCs w:val="16"/>
              </w:rPr>
              <w:t xml:space="preserve"> file spec FS002; Data group 74)</w:t>
            </w:r>
          </w:p>
        </w:tc>
        <w:tc>
          <w:tcPr>
            <w:tcW w:w="1376" w:type="pct"/>
            <w:vAlign w:val="center"/>
          </w:tcPr>
          <w:p w14:paraId="25ADC858" w14:textId="77777777" w:rsidR="008A3DC6" w:rsidRPr="00781112" w:rsidRDefault="00FB785D">
            <w:pPr>
              <w:jc w:val="center"/>
              <w:rPr>
                <w:rFonts w:cs="Arial"/>
                <w:color w:val="000000" w:themeColor="text1"/>
                <w:szCs w:val="16"/>
              </w:rPr>
            </w:pPr>
            <w:r w:rsidRPr="00781112">
              <w:rPr>
                <w:rFonts w:cs="Arial"/>
                <w:color w:val="000000" w:themeColor="text1"/>
                <w:szCs w:val="16"/>
              </w:rPr>
              <w:t>07/30/2025</w:t>
            </w:r>
          </w:p>
        </w:tc>
        <w:tc>
          <w:tcPr>
            <w:tcW w:w="1544" w:type="pct"/>
            <w:vAlign w:val="center"/>
          </w:tcPr>
          <w:p w14:paraId="16EB9FC1" w14:textId="77777777"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c2. Number of children with IEPs aged </w:t>
            </w:r>
            <w:r w:rsidR="00185BA9" w:rsidRPr="00781112">
              <w:rPr>
                <w:rFonts w:cs="Arial"/>
                <w:szCs w:val="16"/>
              </w:rPr>
              <w:t>5 (kindergarten)</w:t>
            </w:r>
            <w:r w:rsidR="00185BA9" w:rsidRPr="00781112">
              <w:rPr>
                <w:rFonts w:cs="Arial"/>
                <w:color w:val="000000" w:themeColor="text1"/>
                <w:szCs w:val="16"/>
              </w:rPr>
              <w:t xml:space="preserve"> </w:t>
            </w:r>
            <w:r w:rsidRPr="00781112">
              <w:rPr>
                <w:rFonts w:cs="Arial"/>
                <w:color w:val="000000" w:themeColor="text1"/>
                <w:szCs w:val="16"/>
              </w:rPr>
              <w:t>through 21 in residential facilities</w:t>
            </w:r>
          </w:p>
        </w:tc>
        <w:tc>
          <w:tcPr>
            <w:tcW w:w="873" w:type="pct"/>
            <w:vAlign w:val="center"/>
          </w:tcPr>
          <w:p w14:paraId="685C6309" w14:textId="77777777" w:rsidR="008A3DC6" w:rsidRPr="00781112" w:rsidRDefault="002B7490" w:rsidP="00E0321D">
            <w:pPr>
              <w:jc w:val="center"/>
              <w:rPr>
                <w:rFonts w:cs="Arial"/>
                <w:color w:val="000000" w:themeColor="text1"/>
                <w:szCs w:val="16"/>
              </w:rPr>
            </w:pPr>
            <w:r w:rsidRPr="00781112">
              <w:rPr>
                <w:rFonts w:cs="Arial"/>
                <w:color w:val="000000" w:themeColor="text1"/>
                <w:szCs w:val="16"/>
              </w:rPr>
              <w:t>144</w:t>
            </w:r>
          </w:p>
        </w:tc>
      </w:tr>
      <w:tr w:rsidR="005C29F8" w:rsidRPr="00781112" w14:paraId="5BE5B9DD" w14:textId="77777777" w:rsidTr="00AB0D6A">
        <w:trPr>
          <w:trHeight w:val="380"/>
        </w:trPr>
        <w:tc>
          <w:tcPr>
            <w:tcW w:w="1207" w:type="pct"/>
            <w:vAlign w:val="center"/>
          </w:tcPr>
          <w:p w14:paraId="1276EBC8" w14:textId="77777777" w:rsidR="008A3DC6" w:rsidRPr="00781112" w:rsidRDefault="00FB785D">
            <w:pPr>
              <w:jc w:val="center"/>
              <w:rPr>
                <w:rFonts w:cs="Arial"/>
                <w:color w:val="000000" w:themeColor="text1"/>
                <w:szCs w:val="16"/>
              </w:rPr>
            </w:pPr>
            <w:r w:rsidRPr="00781112">
              <w:rPr>
                <w:rFonts w:cs="Arial"/>
                <w:color w:val="000000" w:themeColor="text1"/>
                <w:szCs w:val="16"/>
              </w:rPr>
              <w:t>SY 2024-25 Children with Disabilities (IDEA) School Age (</w:t>
            </w:r>
            <w:proofErr w:type="spellStart"/>
            <w:r w:rsidRPr="00781112">
              <w:rPr>
                <w:rFonts w:cs="Arial"/>
                <w:color w:val="000000" w:themeColor="text1"/>
                <w:szCs w:val="16"/>
              </w:rPr>
              <w:t>EDFacts</w:t>
            </w:r>
            <w:proofErr w:type="spellEnd"/>
            <w:r w:rsidRPr="00781112">
              <w:rPr>
                <w:rFonts w:cs="Arial"/>
                <w:color w:val="000000" w:themeColor="text1"/>
                <w:szCs w:val="16"/>
              </w:rPr>
              <w:t xml:space="preserve"> file spec FS002; Data group 74)</w:t>
            </w:r>
          </w:p>
        </w:tc>
        <w:tc>
          <w:tcPr>
            <w:tcW w:w="1376" w:type="pct"/>
            <w:vAlign w:val="center"/>
          </w:tcPr>
          <w:p w14:paraId="774001C3" w14:textId="77777777" w:rsidR="008A3DC6" w:rsidRPr="00781112" w:rsidRDefault="00FB785D">
            <w:pPr>
              <w:jc w:val="center"/>
              <w:rPr>
                <w:rFonts w:cs="Arial"/>
                <w:color w:val="000000" w:themeColor="text1"/>
                <w:szCs w:val="16"/>
              </w:rPr>
            </w:pPr>
            <w:r w:rsidRPr="00781112">
              <w:rPr>
                <w:rFonts w:cs="Arial"/>
                <w:color w:val="000000" w:themeColor="text1"/>
                <w:szCs w:val="16"/>
              </w:rPr>
              <w:t>07/30/2025</w:t>
            </w:r>
          </w:p>
        </w:tc>
        <w:tc>
          <w:tcPr>
            <w:tcW w:w="1544" w:type="pct"/>
            <w:vAlign w:val="center"/>
          </w:tcPr>
          <w:p w14:paraId="6D909930" w14:textId="77777777"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c3. Number of children with IEPs aged </w:t>
            </w:r>
            <w:r w:rsidR="00185BA9" w:rsidRPr="00781112">
              <w:rPr>
                <w:rFonts w:cs="Arial"/>
                <w:szCs w:val="16"/>
              </w:rPr>
              <w:t>5 (kindergarten)</w:t>
            </w:r>
            <w:r w:rsidRPr="00781112">
              <w:rPr>
                <w:rFonts w:cs="Arial"/>
                <w:color w:val="000000" w:themeColor="text1"/>
                <w:szCs w:val="16"/>
              </w:rPr>
              <w:t xml:space="preserve"> through 21 in homebound/hospital placements</w:t>
            </w:r>
          </w:p>
        </w:tc>
        <w:tc>
          <w:tcPr>
            <w:tcW w:w="873" w:type="pct"/>
            <w:vAlign w:val="center"/>
          </w:tcPr>
          <w:p w14:paraId="5F51B04F" w14:textId="77777777" w:rsidR="008A3DC6" w:rsidRPr="00781112" w:rsidRDefault="002B7490" w:rsidP="00E0321D">
            <w:pPr>
              <w:jc w:val="center"/>
              <w:rPr>
                <w:rFonts w:cs="Arial"/>
                <w:color w:val="000000" w:themeColor="text1"/>
                <w:szCs w:val="16"/>
              </w:rPr>
            </w:pPr>
            <w:r w:rsidRPr="00781112">
              <w:rPr>
                <w:rFonts w:cs="Arial"/>
                <w:color w:val="000000" w:themeColor="text1"/>
                <w:szCs w:val="16"/>
              </w:rPr>
              <w:t>372</w:t>
            </w:r>
          </w:p>
        </w:tc>
      </w:tr>
    </w:tbl>
    <w:p w14:paraId="17183418" w14:textId="77777777" w:rsidR="004A4803" w:rsidRPr="00781112" w:rsidRDefault="004A4803">
      <w:pPr>
        <w:rPr>
          <w:color w:val="000000" w:themeColor="text1"/>
        </w:rPr>
      </w:pPr>
    </w:p>
    <w:p w14:paraId="16934A46" w14:textId="77777777" w:rsidR="00D60B5F" w:rsidRPr="00781112" w:rsidRDefault="00055C7A">
      <w:pPr>
        <w:rPr>
          <w:b/>
          <w:color w:val="000000" w:themeColor="text1"/>
        </w:rPr>
      </w:pPr>
      <w:r w:rsidRPr="00781112">
        <w:rPr>
          <w:b/>
          <w:color w:val="000000" w:themeColor="text1"/>
        </w:rPr>
        <w:t>Select yes if the data reported in this indicator are not the same as the State’s data reported under section 618 of the IDEA.</w:t>
      </w:r>
    </w:p>
    <w:p w14:paraId="2B9512D5" w14:textId="77777777" w:rsidR="00D60B5F" w:rsidRPr="00781112" w:rsidRDefault="00D60B5F">
      <w:pPr>
        <w:rPr>
          <w:color w:val="000000" w:themeColor="text1"/>
        </w:rPr>
      </w:pPr>
      <w:r w:rsidRPr="00781112">
        <w:rPr>
          <w:color w:val="000000" w:themeColor="text1"/>
        </w:rPr>
        <w:t>NO</w:t>
      </w:r>
    </w:p>
    <w:p w14:paraId="11004016" w14:textId="77777777" w:rsidR="0037431B" w:rsidRPr="00781112" w:rsidRDefault="0037431B" w:rsidP="004369B2">
      <w:pPr>
        <w:rPr>
          <w:color w:val="000000" w:themeColor="text1"/>
        </w:rPr>
      </w:pPr>
    </w:p>
    <w:p w14:paraId="51A74323" w14:textId="77777777" w:rsidR="00805DD3" w:rsidRPr="00781112" w:rsidRDefault="0047313F">
      <w:pPr>
        <w:rPr>
          <w:b/>
          <w:color w:val="000000" w:themeColor="text1"/>
        </w:rPr>
      </w:pPr>
      <w:r>
        <w:rPr>
          <w:b/>
          <w:color w:val="000000" w:themeColor="text1"/>
        </w:rPr>
        <w:t>FFY 2024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CFFYAPRDATA1"/>
      </w:tblPr>
      <w:tblGrid>
        <w:gridCol w:w="2245"/>
        <w:gridCol w:w="1395"/>
        <w:gridCol w:w="1397"/>
        <w:gridCol w:w="1151"/>
        <w:gridCol w:w="1151"/>
        <w:gridCol w:w="1151"/>
        <w:gridCol w:w="1150"/>
        <w:gridCol w:w="1150"/>
      </w:tblGrid>
      <w:tr w:rsidR="00740CBC" w:rsidRPr="00781112" w14:paraId="43B1B591" w14:textId="77777777" w:rsidTr="00360DD6">
        <w:trPr>
          <w:trHeight w:val="440"/>
          <w:tblHeader/>
        </w:trPr>
        <w:tc>
          <w:tcPr>
            <w:tcW w:w="1040" w:type="pct"/>
            <w:vAlign w:val="bottom"/>
          </w:tcPr>
          <w:p w14:paraId="18C789EE" w14:textId="77777777" w:rsidR="00740CBC" w:rsidRPr="00781112" w:rsidRDefault="00740CBC" w:rsidP="00740CBC">
            <w:pPr>
              <w:jc w:val="center"/>
              <w:rPr>
                <w:b/>
                <w:color w:val="000000" w:themeColor="text1"/>
              </w:rPr>
            </w:pPr>
            <w:r w:rsidRPr="00781112">
              <w:rPr>
                <w:b/>
                <w:color w:val="000000" w:themeColor="text1"/>
              </w:rPr>
              <w:t>Education Environments</w:t>
            </w:r>
          </w:p>
        </w:tc>
        <w:tc>
          <w:tcPr>
            <w:tcW w:w="646" w:type="pct"/>
            <w:vAlign w:val="bottom"/>
          </w:tcPr>
          <w:p w14:paraId="3A033EBC" w14:textId="77777777" w:rsidR="00740CBC" w:rsidRPr="00781112" w:rsidRDefault="00740CBC" w:rsidP="00740CBC">
            <w:pPr>
              <w:jc w:val="center"/>
              <w:rPr>
                <w:b/>
                <w:color w:val="000000" w:themeColor="text1"/>
              </w:rPr>
            </w:pPr>
            <w:r w:rsidRPr="00781112">
              <w:rPr>
                <w:b/>
                <w:color w:val="000000" w:themeColor="text1"/>
              </w:rPr>
              <w:t xml:space="preserve">Number of children with IEPs aged </w:t>
            </w:r>
            <w:r w:rsidRPr="00781112">
              <w:rPr>
                <w:rFonts w:cs="Arial"/>
                <w:b/>
                <w:bCs/>
                <w:szCs w:val="16"/>
              </w:rPr>
              <w:t>5 (kindergarten)</w:t>
            </w:r>
            <w:r w:rsidRPr="00781112">
              <w:rPr>
                <w:b/>
                <w:color w:val="000000" w:themeColor="text1"/>
              </w:rPr>
              <w:t xml:space="preserve"> through 21 served</w:t>
            </w:r>
          </w:p>
        </w:tc>
        <w:tc>
          <w:tcPr>
            <w:tcW w:w="647" w:type="pct"/>
            <w:vAlign w:val="bottom"/>
          </w:tcPr>
          <w:p w14:paraId="298A92E2" w14:textId="77777777" w:rsidR="00740CBC" w:rsidRPr="00781112" w:rsidRDefault="00740CBC" w:rsidP="00740CBC">
            <w:pPr>
              <w:jc w:val="center"/>
              <w:rPr>
                <w:b/>
                <w:color w:val="000000" w:themeColor="text1"/>
              </w:rPr>
            </w:pPr>
            <w:r w:rsidRPr="00781112">
              <w:rPr>
                <w:b/>
                <w:color w:val="000000" w:themeColor="text1"/>
              </w:rPr>
              <w:t xml:space="preserve">Total number of children with IEPs aged </w:t>
            </w:r>
            <w:r w:rsidRPr="00781112">
              <w:rPr>
                <w:rFonts w:cs="Arial"/>
                <w:b/>
                <w:bCs/>
                <w:szCs w:val="16"/>
              </w:rPr>
              <w:t>5 (kindergarten)</w:t>
            </w:r>
            <w:r w:rsidRPr="00781112">
              <w:rPr>
                <w:b/>
                <w:color w:val="000000" w:themeColor="text1"/>
              </w:rPr>
              <w:t xml:space="preserve"> through 21</w:t>
            </w:r>
          </w:p>
        </w:tc>
        <w:tc>
          <w:tcPr>
            <w:tcW w:w="533" w:type="pct"/>
            <w:vAlign w:val="bottom"/>
          </w:tcPr>
          <w:p w14:paraId="4431A0BF" w14:textId="77777777" w:rsidR="00740CBC" w:rsidRPr="00CC1061" w:rsidRDefault="00740CBC" w:rsidP="00740CBC">
            <w:pPr>
              <w:jc w:val="center"/>
              <w:rPr>
                <w:b/>
                <w:bCs/>
                <w:color w:val="000000" w:themeColor="text1"/>
              </w:rPr>
            </w:pPr>
            <w:r w:rsidRPr="00CC1061">
              <w:rPr>
                <w:b/>
                <w:bCs/>
              </w:rPr>
              <w:t>FFY 2023 Data</w:t>
            </w:r>
          </w:p>
        </w:tc>
        <w:tc>
          <w:tcPr>
            <w:tcW w:w="533" w:type="pct"/>
            <w:vAlign w:val="bottom"/>
          </w:tcPr>
          <w:p w14:paraId="3EF0A584" w14:textId="77777777" w:rsidR="00740CBC" w:rsidRPr="00CC1061" w:rsidRDefault="00740CBC" w:rsidP="00740CBC">
            <w:pPr>
              <w:jc w:val="center"/>
              <w:rPr>
                <w:b/>
                <w:bCs/>
                <w:color w:val="000000" w:themeColor="text1"/>
              </w:rPr>
            </w:pPr>
            <w:r w:rsidRPr="00CC1061">
              <w:rPr>
                <w:b/>
                <w:bCs/>
              </w:rPr>
              <w:t>FFY 2024 Target</w:t>
            </w:r>
          </w:p>
        </w:tc>
        <w:tc>
          <w:tcPr>
            <w:tcW w:w="533" w:type="pct"/>
            <w:vAlign w:val="bottom"/>
          </w:tcPr>
          <w:p w14:paraId="310A8289" w14:textId="77777777" w:rsidR="00740CBC" w:rsidRPr="00CC1061" w:rsidRDefault="00740CBC" w:rsidP="00740CBC">
            <w:pPr>
              <w:jc w:val="center"/>
              <w:rPr>
                <w:b/>
                <w:bCs/>
                <w:color w:val="000000" w:themeColor="text1"/>
              </w:rPr>
            </w:pPr>
            <w:r w:rsidRPr="00CC1061">
              <w:rPr>
                <w:b/>
                <w:bCs/>
              </w:rPr>
              <w:t>FFY 2024 Data</w:t>
            </w:r>
          </w:p>
        </w:tc>
        <w:tc>
          <w:tcPr>
            <w:tcW w:w="533" w:type="pct"/>
            <w:vAlign w:val="bottom"/>
          </w:tcPr>
          <w:p w14:paraId="7B3E837A" w14:textId="77777777" w:rsidR="00740CBC" w:rsidRPr="00781112" w:rsidRDefault="00740CBC" w:rsidP="00740CBC">
            <w:pPr>
              <w:jc w:val="center"/>
              <w:rPr>
                <w:b/>
                <w:color w:val="000000" w:themeColor="text1"/>
              </w:rPr>
            </w:pPr>
            <w:r w:rsidRPr="00781112">
              <w:rPr>
                <w:b/>
                <w:color w:val="000000" w:themeColor="text1"/>
              </w:rPr>
              <w:t>Status</w:t>
            </w:r>
          </w:p>
        </w:tc>
        <w:tc>
          <w:tcPr>
            <w:tcW w:w="533" w:type="pct"/>
            <w:vAlign w:val="bottom"/>
          </w:tcPr>
          <w:p w14:paraId="2846EAFD" w14:textId="77777777" w:rsidR="00740CBC" w:rsidRPr="00781112" w:rsidRDefault="00740CBC" w:rsidP="00740CBC">
            <w:pPr>
              <w:jc w:val="center"/>
              <w:rPr>
                <w:b/>
                <w:color w:val="000000" w:themeColor="text1"/>
              </w:rPr>
            </w:pPr>
            <w:r w:rsidRPr="00781112">
              <w:rPr>
                <w:b/>
                <w:color w:val="000000" w:themeColor="text1"/>
              </w:rPr>
              <w:t>Slippage</w:t>
            </w:r>
          </w:p>
        </w:tc>
      </w:tr>
      <w:tr w:rsidR="005C29F8" w:rsidRPr="00781112" w14:paraId="1DB9FD25" w14:textId="77777777" w:rsidTr="00360DD6">
        <w:trPr>
          <w:trHeight w:val="361"/>
        </w:trPr>
        <w:tc>
          <w:tcPr>
            <w:tcW w:w="1040" w:type="pct"/>
            <w:vAlign w:val="center"/>
          </w:tcPr>
          <w:p w14:paraId="138F445C" w14:textId="77777777" w:rsidR="00631963" w:rsidRPr="00781112" w:rsidRDefault="00631963" w:rsidP="00631963">
            <w:pPr>
              <w:rPr>
                <w:rFonts w:cs="Arial"/>
                <w:color w:val="000000" w:themeColor="text1"/>
                <w:szCs w:val="16"/>
              </w:rPr>
            </w:pPr>
            <w:r w:rsidRPr="00781112">
              <w:rPr>
                <w:rFonts w:cs="Arial"/>
                <w:color w:val="000000" w:themeColor="text1"/>
                <w:szCs w:val="16"/>
              </w:rPr>
              <w:t>A.</w:t>
            </w:r>
            <w:r w:rsidRPr="00781112">
              <w:rPr>
                <w:rFonts w:cs="Arial"/>
                <w:color w:val="000000" w:themeColor="text1"/>
                <w:szCs w:val="16"/>
                <w:shd w:val="clear" w:color="auto" w:fill="FFFFFF"/>
              </w:rPr>
              <w:t xml:space="preserve"> Number of children with IEPs aged </w:t>
            </w:r>
            <w:r w:rsidR="00D362C5" w:rsidRPr="00781112">
              <w:rPr>
                <w:rFonts w:cs="Arial"/>
                <w:szCs w:val="16"/>
              </w:rPr>
              <w:t>5 (kindergarten)</w:t>
            </w:r>
            <w:r w:rsidRPr="00781112">
              <w:rPr>
                <w:rFonts w:cs="Arial"/>
                <w:color w:val="000000" w:themeColor="text1"/>
                <w:szCs w:val="16"/>
                <w:shd w:val="clear" w:color="auto" w:fill="FFFFFF"/>
              </w:rPr>
              <w:t xml:space="preserve"> through 21 inside the regular class 80% or more of the day</w:t>
            </w:r>
          </w:p>
        </w:tc>
        <w:tc>
          <w:tcPr>
            <w:tcW w:w="646" w:type="pct"/>
            <w:vAlign w:val="center"/>
          </w:tcPr>
          <w:p w14:paraId="7A3E383D" w14:textId="77777777" w:rsidR="00631963" w:rsidRPr="00781112" w:rsidRDefault="002B7490" w:rsidP="00A018D4">
            <w:pPr>
              <w:jc w:val="center"/>
              <w:rPr>
                <w:rFonts w:cs="Arial"/>
                <w:color w:val="000000" w:themeColor="text1"/>
                <w:szCs w:val="16"/>
              </w:rPr>
            </w:pPr>
            <w:r w:rsidRPr="00781112">
              <w:rPr>
                <w:rFonts w:cs="Arial"/>
                <w:color w:val="000000" w:themeColor="text1"/>
                <w:szCs w:val="16"/>
              </w:rPr>
              <w:t>28,739</w:t>
            </w:r>
          </w:p>
        </w:tc>
        <w:tc>
          <w:tcPr>
            <w:tcW w:w="647" w:type="pct"/>
            <w:vAlign w:val="center"/>
          </w:tcPr>
          <w:p w14:paraId="40006C8E" w14:textId="77777777" w:rsidR="00631963" w:rsidRPr="00781112" w:rsidRDefault="002B7490" w:rsidP="00A018D4">
            <w:pPr>
              <w:jc w:val="center"/>
              <w:rPr>
                <w:rFonts w:cs="Arial"/>
                <w:color w:val="000000" w:themeColor="text1"/>
                <w:szCs w:val="16"/>
              </w:rPr>
            </w:pPr>
            <w:r w:rsidRPr="00781112">
              <w:rPr>
                <w:rFonts w:cs="Arial"/>
                <w:color w:val="000000" w:themeColor="text1"/>
                <w:szCs w:val="16"/>
              </w:rPr>
              <w:t>46,301</w:t>
            </w:r>
          </w:p>
        </w:tc>
        <w:tc>
          <w:tcPr>
            <w:tcW w:w="533" w:type="pct"/>
            <w:vAlign w:val="center"/>
          </w:tcPr>
          <w:p w14:paraId="6B5148BE" w14:textId="77777777" w:rsidR="00631963" w:rsidRPr="00781112" w:rsidRDefault="002B7490" w:rsidP="00A018D4">
            <w:pPr>
              <w:jc w:val="center"/>
              <w:rPr>
                <w:rFonts w:cs="Arial"/>
                <w:color w:val="000000" w:themeColor="text1"/>
                <w:szCs w:val="16"/>
              </w:rPr>
            </w:pPr>
            <w:r w:rsidRPr="00781112">
              <w:rPr>
                <w:rFonts w:cs="Arial"/>
                <w:color w:val="000000" w:themeColor="text1"/>
                <w:szCs w:val="16"/>
              </w:rPr>
              <w:t>64.21%</w:t>
            </w:r>
          </w:p>
        </w:tc>
        <w:tc>
          <w:tcPr>
            <w:tcW w:w="533" w:type="pct"/>
            <w:vAlign w:val="center"/>
          </w:tcPr>
          <w:p w14:paraId="286093F7" w14:textId="77777777" w:rsidR="00631963" w:rsidRPr="00781112" w:rsidRDefault="002B7490" w:rsidP="00A018D4">
            <w:pPr>
              <w:jc w:val="center"/>
              <w:rPr>
                <w:rFonts w:cs="Arial"/>
                <w:color w:val="000000" w:themeColor="text1"/>
                <w:szCs w:val="16"/>
              </w:rPr>
            </w:pPr>
            <w:r w:rsidRPr="00781112">
              <w:rPr>
                <w:rFonts w:cs="Arial"/>
                <w:color w:val="000000" w:themeColor="text1"/>
                <w:szCs w:val="16"/>
              </w:rPr>
              <w:t>69.11%</w:t>
            </w:r>
          </w:p>
        </w:tc>
        <w:tc>
          <w:tcPr>
            <w:tcW w:w="533" w:type="pct"/>
            <w:vAlign w:val="center"/>
          </w:tcPr>
          <w:p w14:paraId="1C1936C9" w14:textId="77777777" w:rsidR="00631963" w:rsidRPr="00781112" w:rsidRDefault="002B7490" w:rsidP="00A018D4">
            <w:pPr>
              <w:jc w:val="center"/>
              <w:rPr>
                <w:rFonts w:cs="Arial"/>
                <w:color w:val="000000" w:themeColor="text1"/>
                <w:szCs w:val="16"/>
              </w:rPr>
            </w:pPr>
            <w:r w:rsidRPr="00781112">
              <w:rPr>
                <w:rFonts w:cs="Arial"/>
                <w:color w:val="000000" w:themeColor="text1"/>
                <w:szCs w:val="16"/>
              </w:rPr>
              <w:t>62.07%</w:t>
            </w:r>
          </w:p>
        </w:tc>
        <w:tc>
          <w:tcPr>
            <w:tcW w:w="533" w:type="pct"/>
            <w:vAlign w:val="center"/>
          </w:tcPr>
          <w:p w14:paraId="0E577E83" w14:textId="77777777" w:rsidR="00631963"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533" w:type="pct"/>
            <w:vAlign w:val="center"/>
          </w:tcPr>
          <w:p w14:paraId="4D9D11A0" w14:textId="77777777" w:rsidR="00631963" w:rsidRPr="00781112" w:rsidRDefault="002B7490" w:rsidP="00A018D4">
            <w:pPr>
              <w:jc w:val="center"/>
              <w:rPr>
                <w:rFonts w:cs="Arial"/>
                <w:color w:val="000000" w:themeColor="text1"/>
                <w:szCs w:val="16"/>
              </w:rPr>
            </w:pPr>
            <w:r w:rsidRPr="00781112">
              <w:rPr>
                <w:rFonts w:cs="Arial"/>
                <w:color w:val="000000" w:themeColor="text1"/>
                <w:szCs w:val="16"/>
              </w:rPr>
              <w:t>Slippage</w:t>
            </w:r>
          </w:p>
        </w:tc>
      </w:tr>
      <w:tr w:rsidR="005C29F8" w:rsidRPr="00781112" w14:paraId="7666A076" w14:textId="77777777" w:rsidTr="00360DD6">
        <w:trPr>
          <w:trHeight w:val="361"/>
        </w:trPr>
        <w:tc>
          <w:tcPr>
            <w:tcW w:w="1040" w:type="pct"/>
            <w:vAlign w:val="center"/>
          </w:tcPr>
          <w:p w14:paraId="03313C01" w14:textId="77777777" w:rsidR="00631963" w:rsidRPr="00781112" w:rsidRDefault="00631963" w:rsidP="00631963">
            <w:pPr>
              <w:rPr>
                <w:rFonts w:cs="Arial"/>
                <w:color w:val="000000" w:themeColor="text1"/>
                <w:szCs w:val="16"/>
              </w:rPr>
            </w:pPr>
            <w:r w:rsidRPr="00781112">
              <w:rPr>
                <w:rFonts w:cs="Arial"/>
                <w:color w:val="000000" w:themeColor="text1"/>
                <w:szCs w:val="16"/>
                <w:shd w:val="clear" w:color="auto" w:fill="FFFFFF"/>
              </w:rPr>
              <w:t xml:space="preserve">B. Number of children with IEPs aged </w:t>
            </w:r>
            <w:r w:rsidR="00D362C5" w:rsidRPr="00781112">
              <w:rPr>
                <w:rFonts w:cs="Arial"/>
                <w:szCs w:val="16"/>
              </w:rPr>
              <w:t>5 (kindergarten)</w:t>
            </w:r>
            <w:r w:rsidRPr="00781112">
              <w:rPr>
                <w:rFonts w:cs="Arial"/>
                <w:color w:val="000000" w:themeColor="text1"/>
                <w:szCs w:val="16"/>
                <w:shd w:val="clear" w:color="auto" w:fill="FFFFFF"/>
              </w:rPr>
              <w:t xml:space="preserve"> through 21 inside the regular class less than 40% of the day</w:t>
            </w:r>
          </w:p>
        </w:tc>
        <w:tc>
          <w:tcPr>
            <w:tcW w:w="646" w:type="pct"/>
            <w:vAlign w:val="center"/>
          </w:tcPr>
          <w:p w14:paraId="12D79163" w14:textId="77777777" w:rsidR="00631963" w:rsidRPr="00781112" w:rsidRDefault="002B7490" w:rsidP="00A018D4">
            <w:pPr>
              <w:jc w:val="center"/>
              <w:rPr>
                <w:rFonts w:cs="Arial"/>
                <w:color w:val="000000" w:themeColor="text1"/>
                <w:szCs w:val="16"/>
              </w:rPr>
            </w:pPr>
            <w:r w:rsidRPr="00781112">
              <w:rPr>
                <w:rFonts w:cs="Arial"/>
                <w:color w:val="000000" w:themeColor="text1"/>
                <w:szCs w:val="16"/>
              </w:rPr>
              <w:t>3,433</w:t>
            </w:r>
          </w:p>
        </w:tc>
        <w:tc>
          <w:tcPr>
            <w:tcW w:w="647" w:type="pct"/>
            <w:vAlign w:val="center"/>
          </w:tcPr>
          <w:p w14:paraId="72F13E15" w14:textId="77777777" w:rsidR="00631963" w:rsidRPr="00781112" w:rsidRDefault="002B7490" w:rsidP="00A018D4">
            <w:pPr>
              <w:jc w:val="center"/>
              <w:rPr>
                <w:rFonts w:cs="Arial"/>
                <w:color w:val="000000" w:themeColor="text1"/>
                <w:szCs w:val="16"/>
              </w:rPr>
            </w:pPr>
            <w:r w:rsidRPr="00781112">
              <w:rPr>
                <w:rFonts w:cs="Arial"/>
                <w:color w:val="000000" w:themeColor="text1"/>
                <w:szCs w:val="16"/>
              </w:rPr>
              <w:t>46,301</w:t>
            </w:r>
          </w:p>
        </w:tc>
        <w:tc>
          <w:tcPr>
            <w:tcW w:w="533" w:type="pct"/>
            <w:vAlign w:val="center"/>
          </w:tcPr>
          <w:p w14:paraId="2BE7A889" w14:textId="77777777" w:rsidR="00631963" w:rsidRPr="00781112" w:rsidRDefault="002B7490" w:rsidP="00A018D4">
            <w:pPr>
              <w:jc w:val="center"/>
              <w:rPr>
                <w:rFonts w:cs="Arial"/>
                <w:color w:val="000000" w:themeColor="text1"/>
                <w:szCs w:val="16"/>
              </w:rPr>
            </w:pPr>
            <w:r w:rsidRPr="00781112">
              <w:rPr>
                <w:rFonts w:cs="Arial"/>
                <w:color w:val="000000" w:themeColor="text1"/>
                <w:szCs w:val="16"/>
              </w:rPr>
              <w:t>6.83%</w:t>
            </w:r>
          </w:p>
        </w:tc>
        <w:tc>
          <w:tcPr>
            <w:tcW w:w="533" w:type="pct"/>
            <w:vAlign w:val="center"/>
          </w:tcPr>
          <w:p w14:paraId="713961D0" w14:textId="77777777" w:rsidR="00631963" w:rsidRPr="00781112" w:rsidRDefault="002B7490" w:rsidP="00A018D4">
            <w:pPr>
              <w:jc w:val="center"/>
              <w:rPr>
                <w:rFonts w:cs="Arial"/>
                <w:color w:val="000000" w:themeColor="text1"/>
                <w:szCs w:val="16"/>
              </w:rPr>
            </w:pPr>
            <w:r w:rsidRPr="00781112">
              <w:rPr>
                <w:rFonts w:cs="Arial"/>
                <w:color w:val="000000" w:themeColor="text1"/>
                <w:szCs w:val="16"/>
              </w:rPr>
              <w:t>6.00%</w:t>
            </w:r>
          </w:p>
        </w:tc>
        <w:tc>
          <w:tcPr>
            <w:tcW w:w="533" w:type="pct"/>
            <w:vAlign w:val="center"/>
          </w:tcPr>
          <w:p w14:paraId="416A64CB" w14:textId="77777777" w:rsidR="00631963" w:rsidRPr="00781112" w:rsidRDefault="002B7490" w:rsidP="00A018D4">
            <w:pPr>
              <w:jc w:val="center"/>
              <w:rPr>
                <w:rFonts w:cs="Arial"/>
                <w:color w:val="000000" w:themeColor="text1"/>
                <w:szCs w:val="16"/>
              </w:rPr>
            </w:pPr>
            <w:r w:rsidRPr="00781112">
              <w:rPr>
                <w:rFonts w:cs="Arial"/>
                <w:color w:val="000000" w:themeColor="text1"/>
                <w:szCs w:val="16"/>
              </w:rPr>
              <w:t>7.41%</w:t>
            </w:r>
          </w:p>
        </w:tc>
        <w:tc>
          <w:tcPr>
            <w:tcW w:w="533" w:type="pct"/>
            <w:vAlign w:val="center"/>
          </w:tcPr>
          <w:p w14:paraId="29A99FE1" w14:textId="77777777" w:rsidR="00631963"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533" w:type="pct"/>
            <w:vAlign w:val="center"/>
          </w:tcPr>
          <w:p w14:paraId="6B67564C" w14:textId="77777777" w:rsidR="00631963" w:rsidRPr="00781112" w:rsidRDefault="002B7490" w:rsidP="00A018D4">
            <w:pPr>
              <w:jc w:val="center"/>
              <w:rPr>
                <w:rFonts w:cs="Arial"/>
                <w:color w:val="000000" w:themeColor="text1"/>
                <w:szCs w:val="16"/>
              </w:rPr>
            </w:pPr>
            <w:r w:rsidRPr="00781112">
              <w:rPr>
                <w:rFonts w:cs="Arial"/>
                <w:color w:val="000000" w:themeColor="text1"/>
                <w:szCs w:val="16"/>
              </w:rPr>
              <w:t>Slippage</w:t>
            </w:r>
          </w:p>
        </w:tc>
      </w:tr>
      <w:tr w:rsidR="005C29F8" w:rsidRPr="00781112" w14:paraId="6C370979" w14:textId="77777777" w:rsidTr="00360DD6">
        <w:trPr>
          <w:trHeight w:val="361"/>
        </w:trPr>
        <w:tc>
          <w:tcPr>
            <w:tcW w:w="1040" w:type="pct"/>
            <w:vAlign w:val="center"/>
          </w:tcPr>
          <w:p w14:paraId="5A26BCA3" w14:textId="77777777" w:rsidR="00631963" w:rsidRPr="00781112" w:rsidRDefault="00631963" w:rsidP="00631963">
            <w:pPr>
              <w:pStyle w:val="Explanation"/>
              <w:rPr>
                <w:rFonts w:cs="Arial"/>
                <w:color w:val="000000" w:themeColor="text1"/>
                <w:szCs w:val="16"/>
              </w:rPr>
            </w:pPr>
            <w:r w:rsidRPr="00781112">
              <w:rPr>
                <w:rFonts w:cs="Arial"/>
                <w:i w:val="0"/>
                <w:color w:val="000000" w:themeColor="text1"/>
                <w:szCs w:val="16"/>
                <w:shd w:val="clear" w:color="auto" w:fill="FFFFFF"/>
              </w:rPr>
              <w:t xml:space="preserve">C. Number of children with IEPs aged 5 (kindergarten) through 21 inside separate schools, residential facilities, or homebound/hospital placements </w:t>
            </w:r>
            <w:r w:rsidR="00163FA7" w:rsidRPr="00781112">
              <w:rPr>
                <w:rFonts w:cs="Arial"/>
                <w:color w:val="000000" w:themeColor="text1"/>
                <w:szCs w:val="16"/>
              </w:rPr>
              <w:t>[</w:t>
            </w:r>
            <w:r w:rsidRPr="00781112">
              <w:rPr>
                <w:rFonts w:cs="Arial"/>
                <w:color w:val="000000" w:themeColor="text1"/>
                <w:szCs w:val="16"/>
              </w:rPr>
              <w:t>c1+c2+c3</w:t>
            </w:r>
            <w:r w:rsidR="00163FA7" w:rsidRPr="00781112">
              <w:rPr>
                <w:rFonts w:cs="Arial"/>
                <w:color w:val="000000" w:themeColor="text1"/>
                <w:szCs w:val="16"/>
              </w:rPr>
              <w:t>]</w:t>
            </w:r>
          </w:p>
        </w:tc>
        <w:tc>
          <w:tcPr>
            <w:tcW w:w="646" w:type="pct"/>
            <w:vAlign w:val="center"/>
          </w:tcPr>
          <w:p w14:paraId="1B1F971A" w14:textId="77777777" w:rsidR="00631963" w:rsidRPr="00781112" w:rsidRDefault="002B7490" w:rsidP="00A018D4">
            <w:pPr>
              <w:jc w:val="center"/>
              <w:rPr>
                <w:rFonts w:cs="Arial"/>
                <w:color w:val="000000" w:themeColor="text1"/>
                <w:szCs w:val="16"/>
              </w:rPr>
            </w:pPr>
            <w:r w:rsidRPr="00781112">
              <w:rPr>
                <w:rFonts w:cs="Arial"/>
                <w:color w:val="000000" w:themeColor="text1"/>
                <w:szCs w:val="16"/>
              </w:rPr>
              <w:t>581</w:t>
            </w:r>
          </w:p>
        </w:tc>
        <w:tc>
          <w:tcPr>
            <w:tcW w:w="647" w:type="pct"/>
            <w:vAlign w:val="center"/>
          </w:tcPr>
          <w:p w14:paraId="25F48AC7" w14:textId="77777777" w:rsidR="00631963" w:rsidRPr="00781112" w:rsidRDefault="002B7490" w:rsidP="00A018D4">
            <w:pPr>
              <w:jc w:val="center"/>
              <w:rPr>
                <w:rFonts w:cs="Arial"/>
                <w:color w:val="000000" w:themeColor="text1"/>
                <w:szCs w:val="16"/>
              </w:rPr>
            </w:pPr>
            <w:r w:rsidRPr="00781112">
              <w:rPr>
                <w:rFonts w:cs="Arial"/>
                <w:color w:val="000000" w:themeColor="text1"/>
                <w:szCs w:val="16"/>
              </w:rPr>
              <w:t>46,301</w:t>
            </w:r>
          </w:p>
        </w:tc>
        <w:tc>
          <w:tcPr>
            <w:tcW w:w="533" w:type="pct"/>
            <w:vAlign w:val="center"/>
          </w:tcPr>
          <w:p w14:paraId="317CAEF7" w14:textId="77777777" w:rsidR="00631963" w:rsidRPr="00781112" w:rsidRDefault="002B7490" w:rsidP="00A018D4">
            <w:pPr>
              <w:jc w:val="center"/>
              <w:rPr>
                <w:rFonts w:cs="Arial"/>
                <w:color w:val="000000" w:themeColor="text1"/>
                <w:szCs w:val="16"/>
              </w:rPr>
            </w:pPr>
            <w:r w:rsidRPr="00781112">
              <w:rPr>
                <w:rFonts w:cs="Arial"/>
                <w:color w:val="000000" w:themeColor="text1"/>
                <w:szCs w:val="16"/>
              </w:rPr>
              <w:t>1.27%</w:t>
            </w:r>
          </w:p>
        </w:tc>
        <w:tc>
          <w:tcPr>
            <w:tcW w:w="533" w:type="pct"/>
            <w:vAlign w:val="center"/>
          </w:tcPr>
          <w:p w14:paraId="1750F5D3" w14:textId="77777777" w:rsidR="00631963" w:rsidRPr="00781112" w:rsidRDefault="002B7490" w:rsidP="00A018D4">
            <w:pPr>
              <w:jc w:val="center"/>
              <w:rPr>
                <w:rFonts w:cs="Arial"/>
                <w:color w:val="000000" w:themeColor="text1"/>
                <w:szCs w:val="16"/>
              </w:rPr>
            </w:pPr>
            <w:r w:rsidRPr="00781112">
              <w:rPr>
                <w:rFonts w:cs="Arial"/>
                <w:color w:val="000000" w:themeColor="text1"/>
                <w:szCs w:val="16"/>
              </w:rPr>
              <w:t>1.40%</w:t>
            </w:r>
          </w:p>
        </w:tc>
        <w:tc>
          <w:tcPr>
            <w:tcW w:w="533" w:type="pct"/>
            <w:vAlign w:val="center"/>
          </w:tcPr>
          <w:p w14:paraId="17F36D0E" w14:textId="77777777" w:rsidR="00631963" w:rsidRPr="00781112" w:rsidRDefault="002B7490" w:rsidP="00A018D4">
            <w:pPr>
              <w:jc w:val="center"/>
              <w:rPr>
                <w:rFonts w:cs="Arial"/>
                <w:color w:val="000000" w:themeColor="text1"/>
                <w:szCs w:val="16"/>
              </w:rPr>
            </w:pPr>
            <w:r w:rsidRPr="00781112">
              <w:rPr>
                <w:rFonts w:cs="Arial"/>
                <w:color w:val="000000" w:themeColor="text1"/>
                <w:szCs w:val="16"/>
              </w:rPr>
              <w:t>1.25%</w:t>
            </w:r>
          </w:p>
        </w:tc>
        <w:tc>
          <w:tcPr>
            <w:tcW w:w="533" w:type="pct"/>
            <w:vAlign w:val="center"/>
          </w:tcPr>
          <w:p w14:paraId="70AB7DE9" w14:textId="77777777" w:rsidR="00631963"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33" w:type="pct"/>
            <w:vAlign w:val="center"/>
          </w:tcPr>
          <w:p w14:paraId="7E0A4CF3" w14:textId="77777777" w:rsidR="00631963"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tbl>
      <w:tblPr>
        <w:tblStyle w:val="TableGrid"/>
        <w:tblW w:w="10795" w:type="dxa"/>
        <w:shd w:val="clear" w:color="auto" w:fill="FBD4B4" w:themeFill="accent6" w:themeFillTint="66"/>
        <w:tblLook w:val="04A0" w:firstRow="1" w:lastRow="0" w:firstColumn="1" w:lastColumn="0" w:noHBand="0" w:noVBand="1"/>
        <w:tblCaption w:val="B05CFFYAPRDATA1"/>
      </w:tblPr>
      <w:tblGrid>
        <w:gridCol w:w="715"/>
        <w:gridCol w:w="10080"/>
      </w:tblGrid>
      <w:tr w:rsidR="005C29F8" w:rsidRPr="00781112" w14:paraId="7DE745DF" w14:textId="77777777" w:rsidTr="0033429D">
        <w:trPr>
          <w:tblHeader/>
        </w:trPr>
        <w:tc>
          <w:tcPr>
            <w:tcW w:w="715" w:type="dxa"/>
          </w:tcPr>
          <w:p w14:paraId="16736943" w14:textId="77777777" w:rsidR="009569B8" w:rsidRPr="00781112" w:rsidRDefault="009569B8" w:rsidP="004369B2">
            <w:pPr>
              <w:jc w:val="center"/>
              <w:rPr>
                <w:color w:val="000000" w:themeColor="text1"/>
              </w:rPr>
            </w:pPr>
            <w:r w:rsidRPr="00781112">
              <w:rPr>
                <w:b/>
                <w:color w:val="000000" w:themeColor="text1"/>
              </w:rPr>
              <w:lastRenderedPageBreak/>
              <w:t>Part</w:t>
            </w:r>
          </w:p>
        </w:tc>
        <w:tc>
          <w:tcPr>
            <w:tcW w:w="10080" w:type="dxa"/>
          </w:tcPr>
          <w:p w14:paraId="6499DE05" w14:textId="77777777" w:rsidR="009569B8" w:rsidRPr="00781112" w:rsidRDefault="009569B8" w:rsidP="004369B2">
            <w:pPr>
              <w:jc w:val="center"/>
              <w:rPr>
                <w:color w:val="000000" w:themeColor="text1"/>
              </w:rPr>
            </w:pPr>
            <w:r w:rsidRPr="00781112">
              <w:rPr>
                <w:b/>
                <w:color w:val="000000" w:themeColor="text1"/>
              </w:rPr>
              <w:t>Reasons for slippage, if applicable</w:t>
            </w:r>
          </w:p>
        </w:tc>
      </w:tr>
      <w:tr w:rsidR="005C29F8" w:rsidRPr="00781112" w14:paraId="5EA59A95" w14:textId="77777777" w:rsidTr="00E21107">
        <w:tc>
          <w:tcPr>
            <w:tcW w:w="715" w:type="dxa"/>
            <w:vAlign w:val="center"/>
          </w:tcPr>
          <w:p w14:paraId="2C7076F8" w14:textId="77777777" w:rsidR="009569B8" w:rsidRPr="00781112" w:rsidRDefault="009569B8" w:rsidP="004369B2">
            <w:pPr>
              <w:jc w:val="center"/>
              <w:rPr>
                <w:b/>
                <w:color w:val="000000" w:themeColor="text1"/>
              </w:rPr>
            </w:pPr>
            <w:r w:rsidRPr="00781112">
              <w:rPr>
                <w:b/>
                <w:color w:val="000000" w:themeColor="text1"/>
              </w:rPr>
              <w:t>A</w:t>
            </w:r>
          </w:p>
        </w:tc>
        <w:tc>
          <w:tcPr>
            <w:tcW w:w="10080" w:type="dxa"/>
          </w:tcPr>
          <w:p w14:paraId="7190E4C7" w14:textId="77777777" w:rsidR="009569B8" w:rsidRPr="00781112" w:rsidRDefault="003D7F56" w:rsidP="004369B2">
            <w:pPr>
              <w:rPr>
                <w:color w:val="000000" w:themeColor="text1"/>
              </w:rPr>
            </w:pPr>
            <w:r w:rsidRPr="00781112">
              <w:rPr>
                <w:color w:val="000000" w:themeColor="text1"/>
              </w:rPr>
              <w:t>The percentage of students with disabilities (SWDs) served inside the regular classroom for at least 80% of the day (5A) decreased from 64.21% in FFY 2023 to 62.07% in FFY 2024, representing slippage of 2.14 percentage points. SEA- and LEA-level data indicate that slippage is related to SWDs being redistributed across general education environment categories rather than moved into more restrictive settings, with corresponding increases in the 40–79% and &lt;40% regular class categories and no meaningful change in 5C placements. The decline was concentrated among 15 LEAs, seven of which were higher-population LEAs in the top quartile by school-age SWD enrollment that together serve 36.20% of the State's SWDs, suggesting the slippage reflects localized placement trends rather than a uniform statewide regression.</w:t>
            </w:r>
            <w:r w:rsidRPr="00781112">
              <w:rPr>
                <w:color w:val="000000" w:themeColor="text1"/>
              </w:rPr>
              <w:br/>
              <w:t>Several contextual factors may also contribute to these patterns:</w:t>
            </w:r>
            <w:r w:rsidRPr="00781112">
              <w:rPr>
                <w:color w:val="000000" w:themeColor="text1"/>
              </w:rPr>
              <w:br/>
              <w:t>— Placement categories are calculated based on the proportion of time SWDs receive instruction in general education settings, meaning relatively small adjustments to scheduling or service delivery can result in students falling below the &gt;=80% threshold.</w:t>
            </w:r>
            <w:r w:rsidRPr="00781112">
              <w:rPr>
                <w:color w:val="000000" w:themeColor="text1"/>
              </w:rPr>
              <w:br/>
              <w:t>— Class composition and staffing requirements under state board policy establish enrollment limits and staffing ratios for co-taught and integrated core academic classrooms to ensure instructional environments are appropriately structured to meet the needs of students with the most intensive support needs.</w:t>
            </w:r>
            <w:r w:rsidRPr="00781112">
              <w:rPr>
                <w:color w:val="000000" w:themeColor="text1"/>
              </w:rPr>
              <w:br/>
              <w:t>— These requirements, combined with ongoing special education staffing shortages, may affect how LEAs operationalize inclusive placements as overall enrollment declines and the SWD population continues to grow.</w:t>
            </w:r>
          </w:p>
        </w:tc>
      </w:tr>
      <w:tr w:rsidR="005C29F8" w:rsidRPr="00781112" w14:paraId="3BC3E3D7" w14:textId="77777777" w:rsidTr="00E21107">
        <w:tc>
          <w:tcPr>
            <w:tcW w:w="715" w:type="dxa"/>
            <w:vAlign w:val="center"/>
          </w:tcPr>
          <w:p w14:paraId="12281C60" w14:textId="77777777" w:rsidR="009569B8" w:rsidRPr="00781112" w:rsidRDefault="009569B8" w:rsidP="004369B2">
            <w:pPr>
              <w:jc w:val="center"/>
              <w:rPr>
                <w:b/>
                <w:color w:val="000000" w:themeColor="text1"/>
              </w:rPr>
            </w:pPr>
            <w:r w:rsidRPr="00781112">
              <w:rPr>
                <w:b/>
                <w:color w:val="000000" w:themeColor="text1"/>
              </w:rPr>
              <w:t>B</w:t>
            </w:r>
          </w:p>
        </w:tc>
        <w:tc>
          <w:tcPr>
            <w:tcW w:w="10080" w:type="dxa"/>
          </w:tcPr>
          <w:p w14:paraId="27D544FA" w14:textId="77777777" w:rsidR="009569B8" w:rsidRPr="00781112" w:rsidRDefault="003D7F56" w:rsidP="00B3121C">
            <w:pPr>
              <w:rPr>
                <w:color w:val="000000" w:themeColor="text1"/>
              </w:rPr>
            </w:pPr>
            <w:r w:rsidRPr="00781112">
              <w:rPr>
                <w:color w:val="000000" w:themeColor="text1"/>
              </w:rPr>
              <w:t>The percentage of SWDs served inside the “&lt;40% regular class environment” (5B) increased from 6.83% in FFY 2023 to 7.41% in FFY 2024, an increase of 0.58 pp. The decline in the proportion of students served in the most inclusive setting (5A) combined with modest increases in the proportion of students reported in both the “40–79% regular class environment” and “&lt;40% regular class environment” contributed to the overall shift across placement categories. Although this resulted in slippage for 5B, the pattern reflects ongoing efforts to ensure students receive services aligned with their individual needs.</w:t>
            </w:r>
          </w:p>
        </w:tc>
      </w:tr>
    </w:tbl>
    <w:p w14:paraId="650891B6" w14:textId="77777777" w:rsidR="006C575D" w:rsidRPr="00781112" w:rsidRDefault="006C575D" w:rsidP="004369B2">
      <w:pPr>
        <w:rPr>
          <w:b/>
          <w:color w:val="000000" w:themeColor="text1"/>
        </w:rPr>
      </w:pPr>
      <w:r w:rsidRPr="00781112">
        <w:rPr>
          <w:b/>
          <w:color w:val="000000" w:themeColor="text1"/>
        </w:rPr>
        <w:t>Provide additional information about this indicator (optional)</w:t>
      </w:r>
    </w:p>
    <w:p w14:paraId="14CACE75" w14:textId="77777777" w:rsidR="003C308E" w:rsidRPr="00781112" w:rsidRDefault="002B7490" w:rsidP="007D435F">
      <w:pPr>
        <w:rPr>
          <w:rFonts w:cs="Arial"/>
          <w:color w:val="000000" w:themeColor="text1"/>
          <w:szCs w:val="16"/>
        </w:rPr>
      </w:pPr>
      <w:r w:rsidRPr="00781112">
        <w:rPr>
          <w:rFonts w:cs="Arial"/>
          <w:color w:val="000000" w:themeColor="text1"/>
          <w:szCs w:val="16"/>
        </w:rPr>
        <w:t>To assess whether the observed slippage represented meaningful shifts rather than normal year-to-year variation, WVDE/OSE conducted two-proportion z-tests and calculated Cohen's h to evaluate both statistical significance and effect size.</w:t>
      </w:r>
    </w:p>
    <w:p w14:paraId="435F2217" w14:textId="77777777" w:rsidR="00CA787A" w:rsidRDefault="003169E9">
      <w:r>
        <w:rPr>
          <w:color w:val="000000"/>
        </w:rPr>
        <w:t>SLIPPAGE 5A — The 2.14 pp decrease is statistically significant (p &lt; 0.01); however, the effect size is negligible (Cohen's h = 0.04).</w:t>
      </w:r>
    </w:p>
    <w:p w14:paraId="33ABA00D" w14:textId="77777777" w:rsidR="00CA787A" w:rsidRDefault="003169E9">
      <w:r>
        <w:rPr>
          <w:color w:val="000000"/>
        </w:rPr>
        <w:t>SLIPPAGE 5B — The 0.58 pp increase is statistically significant (p &lt; 0.01); however, the effect size is negligible (Cohen's h = 0.02).</w:t>
      </w:r>
    </w:p>
    <w:p w14:paraId="5A27E870" w14:textId="77777777" w:rsidR="00CA787A" w:rsidRDefault="00CA787A"/>
    <w:p w14:paraId="480D0919" w14:textId="77777777" w:rsidR="00CA787A" w:rsidRDefault="003169E9">
      <w:r>
        <w:rPr>
          <w:color w:val="000000"/>
        </w:rPr>
        <w:t>-------------------------------------------------------------------------</w:t>
      </w:r>
    </w:p>
    <w:p w14:paraId="3722D9F3" w14:textId="77777777" w:rsidR="00CA787A" w:rsidRDefault="003169E9">
      <w:r>
        <w:rPr>
          <w:color w:val="000000"/>
        </w:rPr>
        <w:t>COHEN’S H INTERPRETATION</w:t>
      </w:r>
    </w:p>
    <w:p w14:paraId="4F101F43" w14:textId="77777777" w:rsidR="00CA787A" w:rsidRDefault="003169E9">
      <w:r>
        <w:rPr>
          <w:color w:val="000000"/>
        </w:rPr>
        <w:t>0.20 = Small</w:t>
      </w:r>
    </w:p>
    <w:p w14:paraId="388C1AF7" w14:textId="77777777" w:rsidR="00CA787A" w:rsidRDefault="003169E9">
      <w:r>
        <w:rPr>
          <w:color w:val="000000"/>
        </w:rPr>
        <w:t>0.50 = Medium</w:t>
      </w:r>
    </w:p>
    <w:p w14:paraId="71F35676" w14:textId="77777777" w:rsidR="00CA787A" w:rsidRDefault="003169E9">
      <w:r>
        <w:rPr>
          <w:color w:val="000000"/>
        </w:rPr>
        <w:t>0.80 = Large</w:t>
      </w:r>
    </w:p>
    <w:p w14:paraId="1F48D9D1" w14:textId="77777777" w:rsidR="00CA787A" w:rsidRDefault="00CA787A"/>
    <w:p w14:paraId="48D8DE99" w14:textId="77777777" w:rsidR="00CA787A" w:rsidRDefault="003169E9">
      <w:r>
        <w:rPr>
          <w:color w:val="000000"/>
        </w:rPr>
        <w:t>Adapted from Cohen (1988)</w:t>
      </w:r>
    </w:p>
    <w:p w14:paraId="42E06BD9" w14:textId="77777777" w:rsidR="004A4803" w:rsidRPr="00781112" w:rsidRDefault="004A4803" w:rsidP="004369B2">
      <w:pPr>
        <w:rPr>
          <w:color w:val="000000" w:themeColor="text1"/>
        </w:rPr>
      </w:pPr>
    </w:p>
    <w:p w14:paraId="36963C9F" w14:textId="77777777" w:rsidR="000A2C83" w:rsidRPr="00781112" w:rsidRDefault="007B5383" w:rsidP="008645AD">
      <w:pPr>
        <w:pStyle w:val="Heading2"/>
      </w:pPr>
      <w:r w:rsidRPr="00781112">
        <w:t>5</w:t>
      </w:r>
      <w:r w:rsidR="002203FA" w:rsidRPr="00781112">
        <w:t xml:space="preserve"> </w:t>
      </w:r>
      <w:r w:rsidRPr="00781112">
        <w:t xml:space="preserve">- </w:t>
      </w:r>
      <w:r w:rsidR="000A2C83" w:rsidRPr="00781112">
        <w:t>Prior FFY Required Actions</w:t>
      </w:r>
    </w:p>
    <w:p w14:paraId="3CA082F8" w14:textId="77777777" w:rsidR="00163FA7" w:rsidRPr="00781112" w:rsidRDefault="002B7490" w:rsidP="000A2C83">
      <w:pPr>
        <w:rPr>
          <w:rFonts w:cs="Arial"/>
          <w:color w:val="000000" w:themeColor="text1"/>
          <w:szCs w:val="16"/>
        </w:rPr>
      </w:pPr>
      <w:r w:rsidRPr="00781112">
        <w:rPr>
          <w:rFonts w:cs="Arial"/>
          <w:color w:val="000000" w:themeColor="text1"/>
          <w:szCs w:val="16"/>
        </w:rPr>
        <w:t>None</w:t>
      </w:r>
    </w:p>
    <w:p w14:paraId="74CD2A73" w14:textId="77777777" w:rsidR="006C575D" w:rsidRPr="00781112" w:rsidRDefault="007B5383" w:rsidP="008645AD">
      <w:pPr>
        <w:pStyle w:val="Heading2"/>
      </w:pPr>
      <w:r w:rsidRPr="00781112">
        <w:t>5 - OSEP Response</w:t>
      </w:r>
    </w:p>
    <w:p w14:paraId="7DE26D1E" w14:textId="77777777" w:rsidR="003C308E" w:rsidRPr="00781112" w:rsidRDefault="003C308E" w:rsidP="001F692C">
      <w:pPr>
        <w:rPr>
          <w:rFonts w:cs="Arial"/>
          <w:color w:val="000000" w:themeColor="text1"/>
          <w:szCs w:val="16"/>
        </w:rPr>
      </w:pPr>
    </w:p>
    <w:p w14:paraId="7281151A" w14:textId="77777777" w:rsidR="006C575D" w:rsidRPr="00781112" w:rsidRDefault="007B5383" w:rsidP="008645AD">
      <w:pPr>
        <w:pStyle w:val="Heading2"/>
      </w:pPr>
      <w:r w:rsidRPr="00781112">
        <w:t>5 - Required Actions</w:t>
      </w:r>
    </w:p>
    <w:p w14:paraId="5D13745D" w14:textId="77777777" w:rsidR="003C308E" w:rsidRPr="00781112" w:rsidRDefault="003C308E" w:rsidP="001F692C">
      <w:pPr>
        <w:rPr>
          <w:rFonts w:cs="Arial"/>
          <w:color w:val="000000" w:themeColor="text1"/>
          <w:szCs w:val="16"/>
        </w:rPr>
      </w:pPr>
    </w:p>
    <w:p w14:paraId="4E63FF9B"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6D51C5C2" w14:textId="77777777" w:rsidR="00D21EAA" w:rsidRPr="00781112" w:rsidRDefault="00D21EAA" w:rsidP="000444E2">
      <w:pPr>
        <w:pStyle w:val="Heading1"/>
        <w:rPr>
          <w:color w:val="000000" w:themeColor="text1"/>
          <w:sz w:val="22"/>
        </w:rPr>
      </w:pPr>
      <w:r w:rsidRPr="00781112">
        <w:rPr>
          <w:color w:val="000000" w:themeColor="text1"/>
          <w:sz w:val="22"/>
        </w:rPr>
        <w:lastRenderedPageBreak/>
        <w:t>Indicator 6: Preschool Environments</w:t>
      </w:r>
    </w:p>
    <w:p w14:paraId="751C8541" w14:textId="77777777" w:rsidR="00897094" w:rsidRPr="002C274F" w:rsidRDefault="00897094" w:rsidP="002C274F">
      <w:pPr>
        <w:rPr>
          <w:b/>
          <w:bCs/>
          <w:sz w:val="20"/>
          <w:szCs w:val="20"/>
        </w:rPr>
      </w:pPr>
      <w:bookmarkStart w:id="35" w:name="_Toc392159299"/>
      <w:r w:rsidRPr="002C274F">
        <w:rPr>
          <w:b/>
          <w:bCs/>
          <w:sz w:val="20"/>
          <w:szCs w:val="20"/>
        </w:rPr>
        <w:t>Instructions and Measurement</w:t>
      </w:r>
    </w:p>
    <w:p w14:paraId="62311076" w14:textId="77777777" w:rsidR="00CC634E" w:rsidRPr="00781112" w:rsidRDefault="00CC634E" w:rsidP="004369B2">
      <w:pPr>
        <w:rPr>
          <w:color w:val="000000" w:themeColor="text1"/>
        </w:rPr>
      </w:pPr>
      <w:r w:rsidRPr="00781112">
        <w:rPr>
          <w:b/>
          <w:color w:val="000000" w:themeColor="text1"/>
        </w:rPr>
        <w:t xml:space="preserve">Monitoring Priority: </w:t>
      </w:r>
      <w:r w:rsidRPr="00781112">
        <w:rPr>
          <w:color w:val="000000" w:themeColor="text1"/>
        </w:rPr>
        <w:t>FAPE in the LRE</w:t>
      </w:r>
    </w:p>
    <w:p w14:paraId="0F5176D5" w14:textId="77777777" w:rsidR="00CC634E" w:rsidRPr="00781112" w:rsidRDefault="00CC634E" w:rsidP="0011074D">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children</w:t>
      </w:r>
      <w:r w:rsidR="00BE028C" w:rsidRPr="00781112">
        <w:rPr>
          <w:rFonts w:cs="Arial"/>
          <w:color w:val="000000" w:themeColor="text1"/>
          <w:szCs w:val="16"/>
        </w:rPr>
        <w:t xml:space="preserve"> </w:t>
      </w:r>
      <w:r w:rsidRPr="00781112">
        <w:rPr>
          <w:rFonts w:cs="Arial"/>
          <w:color w:val="000000" w:themeColor="text1"/>
          <w:szCs w:val="16"/>
        </w:rPr>
        <w:t xml:space="preserve">with IEPs </w:t>
      </w:r>
      <w:r w:rsidR="000B1A1B" w:rsidRPr="00781112">
        <w:rPr>
          <w:rFonts w:cs="Arial"/>
          <w:color w:val="000000" w:themeColor="text1"/>
          <w:szCs w:val="16"/>
        </w:rPr>
        <w:t xml:space="preserve">aged 3, 4, and aged 5 who are enrolled in a preschool program </w:t>
      </w:r>
      <w:r w:rsidRPr="00781112">
        <w:rPr>
          <w:rFonts w:cs="Arial"/>
          <w:color w:val="000000" w:themeColor="text1"/>
          <w:szCs w:val="16"/>
        </w:rPr>
        <w:t>attending a:</w:t>
      </w:r>
    </w:p>
    <w:p w14:paraId="43487570" w14:textId="77777777" w:rsidR="00CC634E" w:rsidRPr="00781112" w:rsidRDefault="005F3399" w:rsidP="006A01BD">
      <w:pPr>
        <w:ind w:left="720"/>
        <w:rPr>
          <w:rFonts w:cs="Arial"/>
          <w:color w:val="000000" w:themeColor="text1"/>
          <w:szCs w:val="16"/>
        </w:rPr>
      </w:pPr>
      <w:r w:rsidRPr="00781112">
        <w:rPr>
          <w:rFonts w:cs="Arial"/>
          <w:color w:val="000000" w:themeColor="text1"/>
          <w:szCs w:val="16"/>
        </w:rPr>
        <w:t>A. Regular early childhood program and receiving the majority of special education and related services in the regular early childhood program; and</w:t>
      </w:r>
    </w:p>
    <w:p w14:paraId="4DCE1C08" w14:textId="77777777" w:rsidR="00CC634E" w:rsidRPr="00781112" w:rsidRDefault="005F3399" w:rsidP="006A01BD">
      <w:pPr>
        <w:ind w:firstLine="720"/>
        <w:rPr>
          <w:rFonts w:cs="Arial"/>
          <w:color w:val="000000" w:themeColor="text1"/>
          <w:szCs w:val="16"/>
        </w:rPr>
      </w:pPr>
      <w:r w:rsidRPr="00781112">
        <w:rPr>
          <w:rFonts w:cs="Arial"/>
          <w:color w:val="000000" w:themeColor="text1"/>
          <w:szCs w:val="16"/>
        </w:rPr>
        <w:t>B. Separate special education class, separate school, or residential facility.</w:t>
      </w:r>
    </w:p>
    <w:p w14:paraId="771650A5" w14:textId="77777777" w:rsidR="003608F9" w:rsidRPr="00781112" w:rsidRDefault="003608F9" w:rsidP="00360DD6">
      <w:pPr>
        <w:ind w:left="360"/>
        <w:rPr>
          <w:rFonts w:cs="Arial"/>
          <w:szCs w:val="16"/>
        </w:rPr>
      </w:pPr>
      <w:r w:rsidRPr="00781112">
        <w:rPr>
          <w:rFonts w:cs="Arial"/>
          <w:color w:val="000000" w:themeColor="text1"/>
          <w:szCs w:val="16"/>
        </w:rPr>
        <w:tab/>
        <w:t xml:space="preserve">C. </w:t>
      </w:r>
      <w:r w:rsidRPr="00781112">
        <w:rPr>
          <w:rFonts w:cs="Arial"/>
          <w:szCs w:val="16"/>
        </w:rPr>
        <w:t>Receiving special education and related services in the home.</w:t>
      </w:r>
    </w:p>
    <w:p w14:paraId="2E20BFCE" w14:textId="77777777" w:rsidR="0011074D" w:rsidRPr="00781112" w:rsidRDefault="0011074D" w:rsidP="0011074D">
      <w:pPr>
        <w:rPr>
          <w:rFonts w:cs="Arial"/>
          <w:color w:val="000000" w:themeColor="text1"/>
          <w:szCs w:val="16"/>
        </w:rPr>
      </w:pPr>
      <w:r w:rsidRPr="00781112">
        <w:rPr>
          <w:rFonts w:cs="Arial"/>
          <w:color w:val="000000" w:themeColor="text1"/>
          <w:szCs w:val="16"/>
        </w:rPr>
        <w:t>(20 U.S.C. 1416(a)(3)(A))</w:t>
      </w:r>
    </w:p>
    <w:p w14:paraId="396B1109" w14:textId="77777777" w:rsidR="005322B8" w:rsidRPr="00781112" w:rsidRDefault="005322B8" w:rsidP="004369B2">
      <w:pPr>
        <w:rPr>
          <w:color w:val="000000" w:themeColor="text1"/>
        </w:rPr>
      </w:pPr>
      <w:r w:rsidRPr="00781112">
        <w:rPr>
          <w:b/>
          <w:color w:val="000000" w:themeColor="text1"/>
        </w:rPr>
        <w:t>Data Source</w:t>
      </w:r>
    </w:p>
    <w:p w14:paraId="5B795FE2" w14:textId="77777777" w:rsidR="005322B8" w:rsidRPr="00781112" w:rsidRDefault="005322B8" w:rsidP="00BB7BC9">
      <w:pPr>
        <w:rPr>
          <w:rFonts w:cs="Arial"/>
          <w:color w:val="000000" w:themeColor="text1"/>
          <w:szCs w:val="16"/>
        </w:rPr>
      </w:pPr>
      <w:r w:rsidRPr="00781112">
        <w:rPr>
          <w:rFonts w:cs="Arial"/>
          <w:color w:val="000000" w:themeColor="text1"/>
          <w:szCs w:val="16"/>
        </w:rPr>
        <w:t>S</w:t>
      </w:r>
      <w:r w:rsidRPr="00781112">
        <w:rPr>
          <w:rFonts w:cs="Arial"/>
          <w:color w:val="000000" w:themeColor="text1"/>
          <w:szCs w:val="16"/>
          <w:shd w:val="clear" w:color="auto" w:fill="FFFFFF"/>
        </w:rPr>
        <w:t xml:space="preserve">ame data as used for reporting to the Department under section 618 of the IDEA, using the definitions in </w:t>
      </w:r>
      <w:proofErr w:type="spellStart"/>
      <w:r w:rsidRPr="00781112">
        <w:rPr>
          <w:rFonts w:cs="Arial"/>
          <w:color w:val="000000" w:themeColor="text1"/>
          <w:szCs w:val="16"/>
          <w:shd w:val="clear" w:color="auto" w:fill="FFFFFF"/>
        </w:rPr>
        <w:t>ED</w:t>
      </w:r>
      <w:r w:rsidRPr="00BA3DBE">
        <w:rPr>
          <w:rFonts w:cs="Arial"/>
          <w:i/>
          <w:iCs/>
          <w:color w:val="000000" w:themeColor="text1"/>
          <w:szCs w:val="16"/>
          <w:shd w:val="clear" w:color="auto" w:fill="FFFFFF"/>
        </w:rPr>
        <w:t>Facts</w:t>
      </w:r>
      <w:proofErr w:type="spellEnd"/>
      <w:r w:rsidRPr="00781112">
        <w:rPr>
          <w:rFonts w:cs="Arial"/>
          <w:color w:val="000000" w:themeColor="text1"/>
          <w:szCs w:val="16"/>
          <w:shd w:val="clear" w:color="auto" w:fill="FFFFFF"/>
        </w:rPr>
        <w:t xml:space="preserve"> file specification </w:t>
      </w:r>
      <w:r w:rsidR="00A95280" w:rsidRPr="00781112">
        <w:rPr>
          <w:rFonts w:cs="Arial"/>
          <w:color w:val="000000" w:themeColor="text1"/>
          <w:szCs w:val="16"/>
          <w:shd w:val="clear" w:color="auto" w:fill="FFFFFF"/>
        </w:rPr>
        <w:t>FS</w:t>
      </w:r>
      <w:r w:rsidRPr="00781112">
        <w:rPr>
          <w:rFonts w:cs="Arial"/>
          <w:color w:val="000000" w:themeColor="text1"/>
          <w:szCs w:val="16"/>
          <w:shd w:val="clear" w:color="auto" w:fill="FFFFFF"/>
        </w:rPr>
        <w:t>089.</w:t>
      </w:r>
    </w:p>
    <w:p w14:paraId="5A60443B" w14:textId="77777777" w:rsidR="005322B8" w:rsidRPr="00781112" w:rsidRDefault="005322B8" w:rsidP="004369B2">
      <w:pPr>
        <w:rPr>
          <w:color w:val="000000" w:themeColor="text1"/>
        </w:rPr>
      </w:pPr>
      <w:r w:rsidRPr="00781112">
        <w:rPr>
          <w:b/>
          <w:color w:val="000000" w:themeColor="text1"/>
        </w:rPr>
        <w:t>Measurement</w:t>
      </w:r>
    </w:p>
    <w:p w14:paraId="3A267130" w14:textId="77777777" w:rsidR="005322B8" w:rsidRPr="00781112" w:rsidRDefault="00724BCB" w:rsidP="00286BDF">
      <w:pPr>
        <w:rPr>
          <w:rFonts w:cs="Arial"/>
          <w:color w:val="000000" w:themeColor="text1"/>
          <w:szCs w:val="16"/>
        </w:rPr>
      </w:pPr>
      <w:r w:rsidRPr="00781112">
        <w:rPr>
          <w:rFonts w:cs="Arial"/>
          <w:color w:val="000000" w:themeColor="text1"/>
          <w:szCs w:val="16"/>
        </w:rPr>
        <w:tab/>
        <w:t>A. Percent</w:t>
      </w:r>
      <w:r w:rsidR="005322B8" w:rsidRPr="00781112">
        <w:rPr>
          <w:rFonts w:cs="Arial"/>
          <w:color w:val="000000" w:themeColor="text1"/>
          <w:szCs w:val="16"/>
          <w:shd w:val="clear" w:color="auto" w:fill="FFFFFF"/>
        </w:rPr>
        <w:t xml:space="preserve"> = </w:t>
      </w:r>
      <w:r w:rsidR="00B2497F" w:rsidRPr="00781112">
        <w:rPr>
          <w:rFonts w:cs="Arial"/>
          <w:color w:val="000000" w:themeColor="text1"/>
          <w:szCs w:val="16"/>
          <w:shd w:val="clear" w:color="auto" w:fill="FFFFFF"/>
        </w:rPr>
        <w:t xml:space="preserve">[(# </w:t>
      </w:r>
      <w:r w:rsidR="005322B8" w:rsidRPr="00781112">
        <w:rPr>
          <w:rFonts w:cs="Arial"/>
          <w:color w:val="000000" w:themeColor="text1"/>
          <w:szCs w:val="16"/>
          <w:shd w:val="clear" w:color="auto" w:fill="FFFFFF"/>
        </w:rPr>
        <w:t>of children age</w:t>
      </w:r>
      <w:r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 attending a regular early childhood program and receiving the majority of special </w:t>
      </w:r>
      <w:r w:rsidR="00774DE0"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education and related services in the regular early childhood program) divided by the (total # of children age</w:t>
      </w:r>
      <w:r w:rsidR="00774DE0"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774DE0"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w:t>
      </w:r>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times </w:t>
      </w:r>
      <w:r w:rsidR="00774DE0"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100.</w:t>
      </w:r>
    </w:p>
    <w:p w14:paraId="6FD10B89" w14:textId="77777777" w:rsidR="005322B8" w:rsidRPr="00781112" w:rsidRDefault="00774DE0" w:rsidP="00286BDF">
      <w:pPr>
        <w:rPr>
          <w:rFonts w:cs="Arial"/>
          <w:color w:val="000000" w:themeColor="text1"/>
          <w:szCs w:val="16"/>
          <w:shd w:val="clear" w:color="auto" w:fill="FFFFFF"/>
        </w:rPr>
      </w:pPr>
      <w:r w:rsidRPr="00781112">
        <w:rPr>
          <w:rFonts w:cs="Arial"/>
          <w:color w:val="000000" w:themeColor="text1"/>
          <w:szCs w:val="16"/>
        </w:rPr>
        <w:tab/>
        <w:t xml:space="preserve">B. Percent </w:t>
      </w:r>
      <w:r w:rsidR="00DB1150"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w:t>
      </w:r>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of children age</w:t>
      </w:r>
      <w:r w:rsidR="00633044"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633044"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 attending a separate special education class, separate school</w:t>
      </w:r>
      <w:r w:rsidR="00D23004">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or residential facility) </w:t>
      </w:r>
      <w:r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divided by the (total # of children age</w:t>
      </w:r>
      <w:r w:rsidR="00633044"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633044"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w:t>
      </w:r>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times 100.</w:t>
      </w:r>
    </w:p>
    <w:p w14:paraId="41B48373" w14:textId="77777777" w:rsidR="00774DE0" w:rsidRPr="00781112" w:rsidRDefault="002C5A1B" w:rsidP="00360DD6">
      <w:pPr>
        <w:ind w:left="360"/>
        <w:rPr>
          <w:rFonts w:cs="Arial"/>
          <w:szCs w:val="16"/>
        </w:rPr>
      </w:pPr>
      <w:r w:rsidRPr="00781112">
        <w:rPr>
          <w:rFonts w:cs="Arial"/>
          <w:color w:val="000000" w:themeColor="text1"/>
          <w:szCs w:val="16"/>
          <w:shd w:val="clear" w:color="auto" w:fill="FFFFFF"/>
        </w:rPr>
        <w:tab/>
      </w:r>
      <w:r w:rsidR="007E77D6" w:rsidRPr="00781112">
        <w:rPr>
          <w:rFonts w:cs="Arial"/>
          <w:color w:val="000000" w:themeColor="text1"/>
          <w:szCs w:val="16"/>
          <w:shd w:val="clear" w:color="auto" w:fill="FFFFFF"/>
        </w:rPr>
        <w:t xml:space="preserve">C. </w:t>
      </w:r>
      <w:r w:rsidRPr="00781112">
        <w:rPr>
          <w:rFonts w:cs="Arial"/>
          <w:szCs w:val="16"/>
        </w:rPr>
        <w:t xml:space="preserve">Percent = [(# of children ages 3, 4, and 5 with IEPs receiving special education and related services in the home) divided by the (total # of </w:t>
      </w:r>
      <w:r w:rsidRPr="00781112">
        <w:rPr>
          <w:rFonts w:cs="Arial"/>
          <w:szCs w:val="16"/>
        </w:rPr>
        <w:tab/>
        <w:t>children ages 3, 4, and 5 with IEPs)] times 100.</w:t>
      </w:r>
    </w:p>
    <w:p w14:paraId="4523B635" w14:textId="77777777" w:rsidR="005322B8" w:rsidRPr="00781112" w:rsidRDefault="005322B8" w:rsidP="004369B2">
      <w:pPr>
        <w:rPr>
          <w:color w:val="000000" w:themeColor="text1"/>
        </w:rPr>
      </w:pPr>
      <w:r w:rsidRPr="00781112">
        <w:rPr>
          <w:b/>
          <w:color w:val="000000" w:themeColor="text1"/>
        </w:rPr>
        <w:t>Instructions</w:t>
      </w:r>
    </w:p>
    <w:p w14:paraId="0611EA85" w14:textId="77777777" w:rsidR="005322B8" w:rsidRPr="00781112" w:rsidRDefault="005322B8" w:rsidP="00BB7BC9">
      <w:pPr>
        <w:rPr>
          <w:rFonts w:cs="Arial"/>
          <w:i/>
          <w:iCs/>
          <w:color w:val="000000" w:themeColor="text1"/>
          <w:szCs w:val="16"/>
        </w:rPr>
      </w:pPr>
      <w:r w:rsidRPr="00781112">
        <w:rPr>
          <w:rFonts w:cs="Arial"/>
          <w:i/>
          <w:iCs/>
          <w:color w:val="000000" w:themeColor="text1"/>
          <w:szCs w:val="16"/>
        </w:rPr>
        <w:t>Sampling from the State’s 618 data is not allowed.</w:t>
      </w:r>
    </w:p>
    <w:p w14:paraId="785EACEE" w14:textId="77777777" w:rsidR="00426EC6" w:rsidRPr="00781112" w:rsidRDefault="00426EC6" w:rsidP="00426EC6">
      <w:pPr>
        <w:rPr>
          <w:rFonts w:cs="Arial"/>
          <w:szCs w:val="16"/>
        </w:rPr>
      </w:pPr>
      <w:r w:rsidRPr="00781112">
        <w:rPr>
          <w:rFonts w:cs="Arial"/>
          <w:szCs w:val="16"/>
        </w:rPr>
        <w:t>States must report five-year-old children with disabilities who are enrolled in preschool programs in this indicator. Five-year-old children with disabilities who are enrolled in kindergarten are included in Indicator 5.</w:t>
      </w:r>
    </w:p>
    <w:p w14:paraId="631D24A3" w14:textId="77777777" w:rsidR="00426EC6" w:rsidRPr="00781112" w:rsidRDefault="00426EC6" w:rsidP="00426EC6">
      <w:pPr>
        <w:rPr>
          <w:rFonts w:cs="Arial"/>
          <w:szCs w:val="16"/>
        </w:rPr>
      </w:pPr>
      <w:r w:rsidRPr="00781112">
        <w:rPr>
          <w:rFonts w:cs="Arial"/>
          <w:szCs w:val="16"/>
        </w:rPr>
        <w:t>States may choose to set one target that is inclusive of children ages 3, 4, and 5, or set individual targets for each age.</w:t>
      </w:r>
    </w:p>
    <w:p w14:paraId="70137CEB" w14:textId="77777777" w:rsidR="00633044" w:rsidRPr="00781112" w:rsidRDefault="00633044" w:rsidP="00633044">
      <w:pPr>
        <w:rPr>
          <w:rFonts w:cs="Arial"/>
          <w:szCs w:val="16"/>
        </w:rPr>
      </w:pPr>
      <w:r w:rsidRPr="00781112">
        <w:rPr>
          <w:rFonts w:cs="Arial"/>
          <w:szCs w:val="16"/>
        </w:rPr>
        <w:t>For Indicator 6C: States are not required to establish a baseline or targets if the number of children receiving special education and related services in the home is less than 10, regardless of whether the State chooses to set one target that is inclusive of children ages 3, 4, and 5, or set individual targets for each age. In a reporting period during which the number of children receiving special education and related services in the home reaches 10 or greater, States are required to develop baseline and targets and report on them in the corresponding SPP/APR.</w:t>
      </w:r>
    </w:p>
    <w:p w14:paraId="36AC3F4E" w14:textId="77777777" w:rsidR="00085D61" w:rsidRDefault="00633044" w:rsidP="00BB7BC9">
      <w:pPr>
        <w:rPr>
          <w:rFonts w:cs="Arial"/>
          <w:iCs/>
          <w:szCs w:val="16"/>
        </w:rPr>
      </w:pPr>
      <w:r w:rsidRPr="00781112">
        <w:rPr>
          <w:rFonts w:cs="Arial"/>
          <w:szCs w:val="16"/>
        </w:rPr>
        <w:t xml:space="preserve">For Indicator 6C: </w:t>
      </w:r>
      <w:r w:rsidRPr="00781112">
        <w:rPr>
          <w:rFonts w:cs="Arial"/>
          <w:iCs/>
          <w:szCs w:val="16"/>
        </w:rPr>
        <w:t>States may express their targets in a range (</w:t>
      </w:r>
      <w:r w:rsidRPr="00781112">
        <w:rPr>
          <w:rFonts w:cs="Arial"/>
          <w:i/>
          <w:iCs/>
          <w:szCs w:val="16"/>
        </w:rPr>
        <w:t>e.g.</w:t>
      </w:r>
      <w:r w:rsidRPr="00781112">
        <w:rPr>
          <w:rFonts w:cs="Arial"/>
          <w:iCs/>
          <w:szCs w:val="16"/>
        </w:rPr>
        <w:t>, 75-85%).</w:t>
      </w:r>
    </w:p>
    <w:p w14:paraId="09055799" w14:textId="77777777" w:rsidR="005322B8" w:rsidRPr="00781112" w:rsidRDefault="005322B8" w:rsidP="00BB7BC9">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2CFE4E44" w14:textId="77777777" w:rsidR="005322B8" w:rsidRPr="00781112" w:rsidRDefault="005322B8" w:rsidP="00BB7BC9">
      <w:pPr>
        <w:rPr>
          <w:rFonts w:cs="Arial"/>
          <w:color w:val="000000" w:themeColor="text1"/>
          <w:szCs w:val="16"/>
        </w:rPr>
      </w:pPr>
      <w:r w:rsidRPr="00781112">
        <w:rPr>
          <w:rFonts w:cs="Arial"/>
          <w:color w:val="000000" w:themeColor="text1"/>
          <w:szCs w:val="16"/>
        </w:rPr>
        <w:t>If the data reported in this indicator are not the same as the State’s data reported under IDEA section 618, explain.</w:t>
      </w:r>
    </w:p>
    <w:bookmarkEnd w:id="35"/>
    <w:p w14:paraId="330D5DB2" w14:textId="77777777" w:rsidR="008D3484" w:rsidRPr="00781112" w:rsidRDefault="00C96236" w:rsidP="008645AD">
      <w:pPr>
        <w:pStyle w:val="Heading2"/>
      </w:pPr>
      <w:r w:rsidRPr="00781112">
        <w:t>6</w:t>
      </w:r>
      <w:r w:rsidR="00C91B94" w:rsidRPr="00781112">
        <w:t xml:space="preserve"> </w:t>
      </w:r>
      <w:r w:rsidRPr="00781112">
        <w:t xml:space="preserve">- </w:t>
      </w:r>
      <w:r w:rsidR="008D3484" w:rsidRPr="00781112">
        <w:t>Indicator Data</w:t>
      </w:r>
    </w:p>
    <w:p w14:paraId="22D04B16" w14:textId="77777777" w:rsidR="0091098C" w:rsidRPr="00781112" w:rsidRDefault="0091098C" w:rsidP="004369B2">
      <w:pPr>
        <w:rPr>
          <w:color w:val="000000" w:themeColor="text1"/>
        </w:rPr>
      </w:pPr>
      <w:r w:rsidRPr="00781112">
        <w:rPr>
          <w:b/>
          <w:color w:val="000000" w:themeColor="text1"/>
        </w:rPr>
        <w:t>Not Applicable</w:t>
      </w:r>
    </w:p>
    <w:p w14:paraId="2BDD412B" w14:textId="77777777" w:rsidR="004B75EC" w:rsidRPr="00781112" w:rsidRDefault="003229FA">
      <w:pPr>
        <w:rPr>
          <w:b/>
          <w:color w:val="000000" w:themeColor="text1"/>
        </w:rPr>
      </w:pPr>
      <w:r w:rsidRPr="00781112">
        <w:rPr>
          <w:b/>
          <w:color w:val="000000" w:themeColor="text1"/>
        </w:rPr>
        <w:t xml:space="preserve">Select yes if this indicator is not applicable. </w:t>
      </w:r>
    </w:p>
    <w:p w14:paraId="6219CE9C" w14:textId="77777777" w:rsidR="00043AC9" w:rsidRPr="00781112" w:rsidRDefault="00043AC9" w:rsidP="004369B2">
      <w:pPr>
        <w:rPr>
          <w:rFonts w:cs="Arial"/>
          <w:color w:val="000000" w:themeColor="text1"/>
          <w:szCs w:val="16"/>
        </w:rPr>
      </w:pPr>
      <w:r w:rsidRPr="00781112">
        <w:rPr>
          <w:rFonts w:cs="Arial"/>
          <w:color w:val="000000" w:themeColor="text1"/>
          <w:szCs w:val="16"/>
        </w:rPr>
        <w:t>NO</w:t>
      </w:r>
    </w:p>
    <w:p w14:paraId="13181529" w14:textId="77777777" w:rsidR="00AE3B11" w:rsidRPr="00781112" w:rsidRDefault="00AE3B11" w:rsidP="002441FF">
      <w:pPr>
        <w:rPr>
          <w:color w:val="000000" w:themeColor="text1"/>
        </w:rPr>
      </w:pPr>
    </w:p>
    <w:p w14:paraId="1DF07B3F" w14:textId="77777777" w:rsidR="006309D0" w:rsidRPr="00781112" w:rsidRDefault="006309D0" w:rsidP="006309D0">
      <w:pPr>
        <w:rPr>
          <w:b/>
          <w:color w:val="000000" w:themeColor="text1"/>
        </w:rPr>
      </w:pPr>
      <w:r w:rsidRPr="00781112">
        <w:rPr>
          <w:b/>
          <w:color w:val="000000" w:themeColor="text1"/>
        </w:rPr>
        <w:t>Historical Data (Inclusive) – 6A, 6B, 6C</w:t>
      </w:r>
    </w:p>
    <w:tbl>
      <w:tblPr>
        <w:tblW w:w="45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6HISTDATA"/>
      </w:tblPr>
      <w:tblGrid>
        <w:gridCol w:w="625"/>
        <w:gridCol w:w="1036"/>
        <w:gridCol w:w="1618"/>
        <w:gridCol w:w="1619"/>
        <w:gridCol w:w="1618"/>
        <w:gridCol w:w="1619"/>
        <w:gridCol w:w="1619"/>
      </w:tblGrid>
      <w:tr w:rsidR="001F2C34" w:rsidRPr="00781112" w14:paraId="3CC8B21E" w14:textId="77777777" w:rsidTr="005F5FE9">
        <w:trPr>
          <w:trHeight w:val="485"/>
        </w:trPr>
        <w:tc>
          <w:tcPr>
            <w:tcW w:w="625" w:type="dxa"/>
            <w:tcBorders>
              <w:top w:val="single" w:sz="4" w:space="0" w:color="auto"/>
              <w:left w:val="single" w:sz="4" w:space="0" w:color="auto"/>
              <w:bottom w:val="single" w:sz="4" w:space="0" w:color="auto"/>
              <w:right w:val="single" w:sz="4" w:space="0" w:color="auto"/>
            </w:tcBorders>
          </w:tcPr>
          <w:p w14:paraId="2DB4DFF4" w14:textId="77777777"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Part</w:t>
            </w:r>
          </w:p>
        </w:tc>
        <w:tc>
          <w:tcPr>
            <w:tcW w:w="1036" w:type="dxa"/>
            <w:tcBorders>
              <w:top w:val="single" w:sz="4" w:space="0" w:color="auto"/>
              <w:left w:val="single" w:sz="4" w:space="0" w:color="auto"/>
              <w:bottom w:val="single" w:sz="4" w:space="0" w:color="auto"/>
              <w:right w:val="single" w:sz="4" w:space="0" w:color="auto"/>
            </w:tcBorders>
          </w:tcPr>
          <w:p w14:paraId="0F0052BC" w14:textId="77777777"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FFY</w:t>
            </w:r>
          </w:p>
        </w:tc>
        <w:tc>
          <w:tcPr>
            <w:tcW w:w="1618" w:type="dxa"/>
            <w:tcBorders>
              <w:top w:val="single" w:sz="4" w:space="0" w:color="auto"/>
              <w:left w:val="single" w:sz="4" w:space="0" w:color="auto"/>
              <w:bottom w:val="single" w:sz="4" w:space="0" w:color="auto"/>
              <w:right w:val="single" w:sz="4" w:space="0" w:color="auto"/>
            </w:tcBorders>
            <w:hideMark/>
          </w:tcPr>
          <w:p w14:paraId="1A72A787" w14:textId="77777777"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2019</w:t>
            </w:r>
          </w:p>
        </w:tc>
        <w:tc>
          <w:tcPr>
            <w:tcW w:w="1619" w:type="dxa"/>
            <w:tcBorders>
              <w:top w:val="single" w:sz="4" w:space="0" w:color="auto"/>
              <w:left w:val="single" w:sz="4" w:space="0" w:color="auto"/>
              <w:bottom w:val="single" w:sz="4" w:space="0" w:color="auto"/>
              <w:right w:val="single" w:sz="4" w:space="0" w:color="auto"/>
            </w:tcBorders>
            <w:hideMark/>
          </w:tcPr>
          <w:p w14:paraId="3B91A67B" w14:textId="77777777"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2020</w:t>
            </w:r>
          </w:p>
        </w:tc>
        <w:tc>
          <w:tcPr>
            <w:tcW w:w="1618" w:type="dxa"/>
            <w:tcBorders>
              <w:top w:val="single" w:sz="4" w:space="0" w:color="auto"/>
              <w:left w:val="single" w:sz="4" w:space="0" w:color="auto"/>
              <w:bottom w:val="single" w:sz="4" w:space="0" w:color="auto"/>
              <w:right w:val="single" w:sz="4" w:space="0" w:color="auto"/>
            </w:tcBorders>
          </w:tcPr>
          <w:p w14:paraId="5DAC9E9D" w14:textId="77777777"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2021</w:t>
            </w:r>
          </w:p>
        </w:tc>
        <w:tc>
          <w:tcPr>
            <w:tcW w:w="1619" w:type="dxa"/>
            <w:tcBorders>
              <w:top w:val="single" w:sz="4" w:space="0" w:color="auto"/>
              <w:left w:val="single" w:sz="4" w:space="0" w:color="auto"/>
              <w:bottom w:val="single" w:sz="4" w:space="0" w:color="auto"/>
              <w:right w:val="single" w:sz="4" w:space="0" w:color="auto"/>
            </w:tcBorders>
            <w:hideMark/>
          </w:tcPr>
          <w:p w14:paraId="424DD662" w14:textId="77777777"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2022</w:t>
            </w:r>
          </w:p>
        </w:tc>
        <w:tc>
          <w:tcPr>
            <w:tcW w:w="1619" w:type="dxa"/>
            <w:tcBorders>
              <w:top w:val="single" w:sz="4" w:space="0" w:color="auto"/>
              <w:left w:val="single" w:sz="4" w:space="0" w:color="auto"/>
              <w:bottom w:val="single" w:sz="4" w:space="0" w:color="auto"/>
              <w:right w:val="single" w:sz="4" w:space="0" w:color="auto"/>
            </w:tcBorders>
            <w:hideMark/>
          </w:tcPr>
          <w:p w14:paraId="3F265647" w14:textId="77777777"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2023</w:t>
            </w:r>
          </w:p>
        </w:tc>
      </w:tr>
      <w:tr w:rsidR="001F2C34" w:rsidRPr="00781112" w14:paraId="613A9B33" w14:textId="77777777" w:rsidTr="005F5FE9">
        <w:trPr>
          <w:trHeight w:val="357"/>
        </w:trPr>
        <w:tc>
          <w:tcPr>
            <w:tcW w:w="625" w:type="dxa"/>
            <w:tcBorders>
              <w:top w:val="single" w:sz="4" w:space="0" w:color="auto"/>
              <w:left w:val="single" w:sz="4" w:space="0" w:color="auto"/>
              <w:right w:val="single" w:sz="4" w:space="0" w:color="auto"/>
            </w:tcBorders>
            <w:vAlign w:val="center"/>
          </w:tcPr>
          <w:p w14:paraId="7A65F7F2" w14:textId="77777777" w:rsidR="001F2C34" w:rsidRPr="00781112" w:rsidRDefault="001F2C34">
            <w:pPr>
              <w:spacing w:line="276" w:lineRule="auto"/>
              <w:jc w:val="center"/>
              <w:rPr>
                <w:rFonts w:cs="Arial"/>
                <w:b/>
                <w:bCs/>
                <w:color w:val="000000" w:themeColor="text1"/>
                <w:szCs w:val="16"/>
              </w:rPr>
            </w:pPr>
            <w:r w:rsidRPr="00781112">
              <w:rPr>
                <w:rFonts w:cs="Arial"/>
                <w:b/>
                <w:bCs/>
                <w:color w:val="000000" w:themeColor="text1"/>
                <w:szCs w:val="16"/>
              </w:rPr>
              <w:t>A</w:t>
            </w:r>
          </w:p>
        </w:tc>
        <w:tc>
          <w:tcPr>
            <w:tcW w:w="1036" w:type="dxa"/>
            <w:tcBorders>
              <w:top w:val="single" w:sz="4" w:space="0" w:color="auto"/>
              <w:left w:val="single" w:sz="4" w:space="0" w:color="auto"/>
              <w:bottom w:val="single" w:sz="4" w:space="0" w:color="auto"/>
              <w:right w:val="single" w:sz="4" w:space="0" w:color="auto"/>
            </w:tcBorders>
            <w:vAlign w:val="center"/>
            <w:hideMark/>
          </w:tcPr>
          <w:p w14:paraId="34E5F0F5" w14:textId="77777777" w:rsidR="001F2C34" w:rsidRPr="00781112" w:rsidRDefault="001F2C34"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1618" w:type="dxa"/>
            <w:tcBorders>
              <w:top w:val="single" w:sz="4" w:space="0" w:color="auto"/>
              <w:left w:val="single" w:sz="4" w:space="0" w:color="auto"/>
              <w:bottom w:val="single" w:sz="4" w:space="0" w:color="auto"/>
              <w:right w:val="single" w:sz="4" w:space="0" w:color="auto"/>
            </w:tcBorders>
            <w:vAlign w:val="center"/>
          </w:tcPr>
          <w:p w14:paraId="7459AC29" w14:textId="77777777" w:rsidR="001F2C34" w:rsidRPr="00781112" w:rsidRDefault="001F2C34" w:rsidP="00A018D4">
            <w:pPr>
              <w:jc w:val="center"/>
              <w:rPr>
                <w:rFonts w:cs="Arial"/>
                <w:color w:val="000000" w:themeColor="text1"/>
                <w:szCs w:val="16"/>
              </w:rPr>
            </w:pPr>
            <w:r w:rsidRPr="00781112">
              <w:rPr>
                <w:rFonts w:cs="Arial"/>
                <w:color w:val="000000" w:themeColor="text1"/>
                <w:szCs w:val="16"/>
              </w:rPr>
              <w:t>32.80%</w:t>
            </w:r>
          </w:p>
        </w:tc>
        <w:tc>
          <w:tcPr>
            <w:tcW w:w="1619" w:type="dxa"/>
            <w:tcBorders>
              <w:top w:val="single" w:sz="4" w:space="0" w:color="auto"/>
              <w:left w:val="single" w:sz="4" w:space="0" w:color="auto"/>
              <w:bottom w:val="single" w:sz="4" w:space="0" w:color="auto"/>
              <w:right w:val="single" w:sz="4" w:space="0" w:color="auto"/>
            </w:tcBorders>
            <w:vAlign w:val="center"/>
          </w:tcPr>
          <w:p w14:paraId="2F2E93D6" w14:textId="77777777" w:rsidR="001F2C34" w:rsidRPr="00781112" w:rsidRDefault="001F2C34" w:rsidP="00A018D4">
            <w:pPr>
              <w:jc w:val="center"/>
              <w:rPr>
                <w:rFonts w:cs="Arial"/>
                <w:color w:val="000000" w:themeColor="text1"/>
                <w:szCs w:val="16"/>
              </w:rPr>
            </w:pPr>
            <w:r w:rsidRPr="00781112">
              <w:rPr>
                <w:rFonts w:cs="Arial"/>
                <w:color w:val="000000" w:themeColor="text1"/>
                <w:szCs w:val="16"/>
              </w:rPr>
              <w:t>49.24%</w:t>
            </w:r>
          </w:p>
        </w:tc>
        <w:tc>
          <w:tcPr>
            <w:tcW w:w="1618" w:type="dxa"/>
            <w:tcBorders>
              <w:top w:val="single" w:sz="4" w:space="0" w:color="auto"/>
              <w:left w:val="single" w:sz="4" w:space="0" w:color="auto"/>
              <w:bottom w:val="single" w:sz="4" w:space="0" w:color="auto"/>
              <w:right w:val="single" w:sz="4" w:space="0" w:color="auto"/>
            </w:tcBorders>
            <w:vAlign w:val="center"/>
          </w:tcPr>
          <w:p w14:paraId="28EA44CC" w14:textId="77777777" w:rsidR="001F2C34" w:rsidRPr="00781112" w:rsidRDefault="001F2C34" w:rsidP="00A018D4">
            <w:pPr>
              <w:jc w:val="center"/>
              <w:rPr>
                <w:rFonts w:cs="Arial"/>
                <w:color w:val="000000" w:themeColor="text1"/>
                <w:szCs w:val="16"/>
              </w:rPr>
            </w:pPr>
            <w:r w:rsidRPr="00781112">
              <w:rPr>
                <w:rFonts w:cs="Arial"/>
                <w:color w:val="000000" w:themeColor="text1"/>
                <w:szCs w:val="16"/>
              </w:rPr>
              <w:t>49.75%</w:t>
            </w:r>
          </w:p>
        </w:tc>
        <w:tc>
          <w:tcPr>
            <w:tcW w:w="1619" w:type="dxa"/>
            <w:tcBorders>
              <w:top w:val="single" w:sz="4" w:space="0" w:color="auto"/>
              <w:left w:val="single" w:sz="4" w:space="0" w:color="auto"/>
              <w:bottom w:val="single" w:sz="4" w:space="0" w:color="auto"/>
              <w:right w:val="single" w:sz="4" w:space="0" w:color="auto"/>
            </w:tcBorders>
            <w:vAlign w:val="center"/>
          </w:tcPr>
          <w:p w14:paraId="3E5E0799" w14:textId="77777777" w:rsidR="001F2C34" w:rsidRPr="00781112" w:rsidRDefault="001F2C34" w:rsidP="00A018D4">
            <w:pPr>
              <w:jc w:val="center"/>
              <w:rPr>
                <w:rFonts w:cs="Arial"/>
                <w:color w:val="000000" w:themeColor="text1"/>
                <w:szCs w:val="16"/>
              </w:rPr>
            </w:pPr>
            <w:r w:rsidRPr="00781112">
              <w:rPr>
                <w:rFonts w:cs="Arial"/>
                <w:color w:val="000000" w:themeColor="text1"/>
                <w:szCs w:val="16"/>
              </w:rPr>
              <w:t>50.25%</w:t>
            </w:r>
          </w:p>
        </w:tc>
        <w:tc>
          <w:tcPr>
            <w:tcW w:w="1619" w:type="dxa"/>
            <w:tcBorders>
              <w:top w:val="single" w:sz="4" w:space="0" w:color="auto"/>
              <w:left w:val="single" w:sz="4" w:space="0" w:color="auto"/>
              <w:bottom w:val="single" w:sz="4" w:space="0" w:color="auto"/>
              <w:right w:val="single" w:sz="4" w:space="0" w:color="auto"/>
            </w:tcBorders>
            <w:vAlign w:val="center"/>
          </w:tcPr>
          <w:p w14:paraId="385648FB" w14:textId="77777777" w:rsidR="001F2C34" w:rsidRPr="00781112" w:rsidRDefault="001F2C34" w:rsidP="00A018D4">
            <w:pPr>
              <w:jc w:val="center"/>
              <w:rPr>
                <w:rFonts w:cs="Arial"/>
                <w:color w:val="000000" w:themeColor="text1"/>
                <w:szCs w:val="16"/>
              </w:rPr>
            </w:pPr>
            <w:r w:rsidRPr="00781112">
              <w:rPr>
                <w:rFonts w:cs="Arial"/>
                <w:color w:val="000000" w:themeColor="text1"/>
                <w:szCs w:val="16"/>
              </w:rPr>
              <w:t>50.75%</w:t>
            </w:r>
          </w:p>
        </w:tc>
      </w:tr>
      <w:tr w:rsidR="001F2C34" w:rsidRPr="00781112" w14:paraId="32AA0F82" w14:textId="77777777" w:rsidTr="005F5FE9">
        <w:trPr>
          <w:trHeight w:val="85"/>
        </w:trPr>
        <w:tc>
          <w:tcPr>
            <w:tcW w:w="625" w:type="dxa"/>
            <w:tcBorders>
              <w:left w:val="single" w:sz="4" w:space="0" w:color="auto"/>
              <w:right w:val="single" w:sz="4" w:space="0" w:color="auto"/>
            </w:tcBorders>
            <w:vAlign w:val="center"/>
          </w:tcPr>
          <w:p w14:paraId="2060E173" w14:textId="77777777" w:rsidR="001F2C34" w:rsidRPr="00781112" w:rsidRDefault="001F2C34" w:rsidP="004369B2">
            <w:pPr>
              <w:spacing w:line="276" w:lineRule="auto"/>
              <w:jc w:val="center"/>
              <w:rPr>
                <w:rFonts w:cs="Arial"/>
                <w:b/>
                <w:bCs/>
                <w:color w:val="000000" w:themeColor="text1"/>
                <w:szCs w:val="16"/>
              </w:rPr>
            </w:pPr>
            <w:r w:rsidRPr="00781112">
              <w:rPr>
                <w:rFonts w:cs="Arial"/>
                <w:b/>
                <w:bCs/>
                <w:color w:val="000000" w:themeColor="text1"/>
                <w:szCs w:val="16"/>
              </w:rPr>
              <w:t>A</w:t>
            </w:r>
          </w:p>
        </w:tc>
        <w:tc>
          <w:tcPr>
            <w:tcW w:w="1036" w:type="dxa"/>
            <w:tcBorders>
              <w:top w:val="single" w:sz="4" w:space="0" w:color="auto"/>
              <w:left w:val="single" w:sz="4" w:space="0" w:color="auto"/>
              <w:bottom w:val="single" w:sz="4" w:space="0" w:color="auto"/>
              <w:right w:val="single" w:sz="4" w:space="0" w:color="auto"/>
            </w:tcBorders>
            <w:vAlign w:val="center"/>
            <w:hideMark/>
          </w:tcPr>
          <w:p w14:paraId="3FB5BE29" w14:textId="77777777" w:rsidR="001F2C34" w:rsidRPr="00781112" w:rsidRDefault="001F2C34" w:rsidP="00BA3DBE">
            <w:pPr>
              <w:spacing w:line="276" w:lineRule="auto"/>
              <w:jc w:val="center"/>
              <w:rPr>
                <w:rFonts w:cs="Arial"/>
                <w:color w:val="000000" w:themeColor="text1"/>
                <w:szCs w:val="16"/>
              </w:rPr>
            </w:pPr>
            <w:r w:rsidRPr="00781112">
              <w:rPr>
                <w:rFonts w:cs="Arial"/>
                <w:color w:val="000000" w:themeColor="text1"/>
                <w:szCs w:val="16"/>
              </w:rPr>
              <w:t>Data</w:t>
            </w:r>
          </w:p>
        </w:tc>
        <w:tc>
          <w:tcPr>
            <w:tcW w:w="1618" w:type="dxa"/>
            <w:tcBorders>
              <w:top w:val="single" w:sz="4" w:space="0" w:color="auto"/>
              <w:left w:val="single" w:sz="4" w:space="0" w:color="auto"/>
              <w:bottom w:val="single" w:sz="4" w:space="0" w:color="auto"/>
              <w:right w:val="single" w:sz="4" w:space="0" w:color="auto"/>
            </w:tcBorders>
            <w:vAlign w:val="center"/>
          </w:tcPr>
          <w:p w14:paraId="3A4D0C60" w14:textId="77777777" w:rsidR="001F2C34" w:rsidRPr="00781112" w:rsidRDefault="001F2C34" w:rsidP="00A018D4">
            <w:pPr>
              <w:jc w:val="center"/>
              <w:rPr>
                <w:rFonts w:cs="Arial"/>
                <w:color w:val="000000" w:themeColor="text1"/>
                <w:szCs w:val="16"/>
              </w:rPr>
            </w:pPr>
            <w:r w:rsidRPr="00781112">
              <w:rPr>
                <w:rFonts w:cs="Arial"/>
                <w:color w:val="000000" w:themeColor="text1"/>
                <w:szCs w:val="16"/>
              </w:rPr>
              <w:t>39.60%</w:t>
            </w:r>
          </w:p>
        </w:tc>
        <w:tc>
          <w:tcPr>
            <w:tcW w:w="1619" w:type="dxa"/>
            <w:tcBorders>
              <w:top w:val="single" w:sz="4" w:space="0" w:color="auto"/>
              <w:left w:val="single" w:sz="4" w:space="0" w:color="auto"/>
              <w:bottom w:val="single" w:sz="4" w:space="0" w:color="auto"/>
              <w:right w:val="single" w:sz="4" w:space="0" w:color="auto"/>
            </w:tcBorders>
            <w:vAlign w:val="center"/>
          </w:tcPr>
          <w:p w14:paraId="38E0A4C7" w14:textId="77777777" w:rsidR="001F2C34" w:rsidRPr="00781112" w:rsidRDefault="001F2C34" w:rsidP="00A018D4">
            <w:pPr>
              <w:jc w:val="center"/>
              <w:rPr>
                <w:rFonts w:cs="Arial"/>
                <w:color w:val="000000" w:themeColor="text1"/>
                <w:szCs w:val="16"/>
              </w:rPr>
            </w:pPr>
            <w:r w:rsidRPr="00781112">
              <w:rPr>
                <w:rFonts w:cs="Arial"/>
                <w:color w:val="000000" w:themeColor="text1"/>
                <w:szCs w:val="16"/>
              </w:rPr>
              <w:t>49.24%</w:t>
            </w:r>
          </w:p>
        </w:tc>
        <w:tc>
          <w:tcPr>
            <w:tcW w:w="1618" w:type="dxa"/>
            <w:tcBorders>
              <w:top w:val="single" w:sz="4" w:space="0" w:color="auto"/>
              <w:left w:val="single" w:sz="4" w:space="0" w:color="auto"/>
              <w:bottom w:val="single" w:sz="4" w:space="0" w:color="auto"/>
              <w:right w:val="single" w:sz="4" w:space="0" w:color="auto"/>
            </w:tcBorders>
            <w:vAlign w:val="center"/>
          </w:tcPr>
          <w:p w14:paraId="1D1E4155" w14:textId="77777777" w:rsidR="001F2C34" w:rsidRPr="00781112" w:rsidRDefault="001F2C34" w:rsidP="00A018D4">
            <w:pPr>
              <w:jc w:val="center"/>
              <w:rPr>
                <w:rFonts w:cs="Arial"/>
                <w:color w:val="000000" w:themeColor="text1"/>
                <w:szCs w:val="16"/>
              </w:rPr>
            </w:pPr>
            <w:r w:rsidRPr="00781112">
              <w:rPr>
                <w:rFonts w:cs="Arial"/>
                <w:color w:val="000000" w:themeColor="text1"/>
                <w:szCs w:val="16"/>
              </w:rPr>
              <w:t>53.08%</w:t>
            </w:r>
          </w:p>
        </w:tc>
        <w:tc>
          <w:tcPr>
            <w:tcW w:w="1619" w:type="dxa"/>
            <w:tcBorders>
              <w:top w:val="single" w:sz="4" w:space="0" w:color="auto"/>
              <w:left w:val="single" w:sz="4" w:space="0" w:color="auto"/>
              <w:bottom w:val="single" w:sz="4" w:space="0" w:color="auto"/>
              <w:right w:val="single" w:sz="4" w:space="0" w:color="auto"/>
            </w:tcBorders>
            <w:vAlign w:val="center"/>
          </w:tcPr>
          <w:p w14:paraId="2CBD27F5" w14:textId="77777777" w:rsidR="001F2C34" w:rsidRPr="00781112" w:rsidRDefault="001F2C34" w:rsidP="00A018D4">
            <w:pPr>
              <w:jc w:val="center"/>
              <w:rPr>
                <w:rFonts w:cs="Arial"/>
                <w:color w:val="000000" w:themeColor="text1"/>
                <w:szCs w:val="16"/>
              </w:rPr>
            </w:pPr>
            <w:r w:rsidRPr="00781112">
              <w:rPr>
                <w:rFonts w:cs="Arial"/>
                <w:color w:val="000000" w:themeColor="text1"/>
                <w:szCs w:val="16"/>
              </w:rPr>
              <w:t>54.48%</w:t>
            </w:r>
          </w:p>
        </w:tc>
        <w:tc>
          <w:tcPr>
            <w:tcW w:w="1619" w:type="dxa"/>
            <w:tcBorders>
              <w:top w:val="single" w:sz="4" w:space="0" w:color="auto"/>
              <w:left w:val="single" w:sz="4" w:space="0" w:color="auto"/>
              <w:bottom w:val="single" w:sz="4" w:space="0" w:color="auto"/>
              <w:right w:val="single" w:sz="4" w:space="0" w:color="auto"/>
            </w:tcBorders>
            <w:vAlign w:val="center"/>
          </w:tcPr>
          <w:p w14:paraId="6FB29FD1" w14:textId="77777777" w:rsidR="001F2C34" w:rsidRPr="00781112" w:rsidRDefault="001F2C34" w:rsidP="00A018D4">
            <w:pPr>
              <w:jc w:val="center"/>
              <w:rPr>
                <w:rFonts w:cs="Arial"/>
                <w:color w:val="000000" w:themeColor="text1"/>
                <w:szCs w:val="16"/>
              </w:rPr>
            </w:pPr>
            <w:r w:rsidRPr="00781112">
              <w:rPr>
                <w:rFonts w:cs="Arial"/>
                <w:color w:val="000000" w:themeColor="text1"/>
                <w:szCs w:val="16"/>
              </w:rPr>
              <w:t>64.65%</w:t>
            </w:r>
          </w:p>
        </w:tc>
      </w:tr>
      <w:tr w:rsidR="001F2C34" w:rsidRPr="00781112" w14:paraId="01179358" w14:textId="77777777" w:rsidTr="005F5FE9">
        <w:trPr>
          <w:trHeight w:val="357"/>
        </w:trPr>
        <w:tc>
          <w:tcPr>
            <w:tcW w:w="625" w:type="dxa"/>
            <w:tcBorders>
              <w:top w:val="single" w:sz="4" w:space="0" w:color="auto"/>
              <w:left w:val="single" w:sz="4" w:space="0" w:color="auto"/>
              <w:right w:val="single" w:sz="4" w:space="0" w:color="auto"/>
            </w:tcBorders>
            <w:vAlign w:val="center"/>
          </w:tcPr>
          <w:p w14:paraId="4121CE5C" w14:textId="77777777" w:rsidR="001F2C34" w:rsidRPr="00781112" w:rsidRDefault="001F2C34">
            <w:pPr>
              <w:spacing w:line="276" w:lineRule="auto"/>
              <w:jc w:val="center"/>
              <w:rPr>
                <w:rFonts w:cs="Arial"/>
                <w:b/>
                <w:bCs/>
                <w:color w:val="000000" w:themeColor="text1"/>
                <w:szCs w:val="16"/>
              </w:rPr>
            </w:pPr>
            <w:r w:rsidRPr="00781112">
              <w:rPr>
                <w:rFonts w:cs="Arial"/>
                <w:b/>
                <w:bCs/>
                <w:color w:val="000000" w:themeColor="text1"/>
                <w:szCs w:val="16"/>
              </w:rPr>
              <w:t>B</w:t>
            </w:r>
          </w:p>
        </w:tc>
        <w:tc>
          <w:tcPr>
            <w:tcW w:w="1036" w:type="dxa"/>
            <w:tcBorders>
              <w:top w:val="single" w:sz="4" w:space="0" w:color="auto"/>
              <w:left w:val="single" w:sz="4" w:space="0" w:color="auto"/>
              <w:bottom w:val="single" w:sz="4" w:space="0" w:color="auto"/>
              <w:right w:val="single" w:sz="4" w:space="0" w:color="auto"/>
            </w:tcBorders>
            <w:vAlign w:val="center"/>
            <w:hideMark/>
          </w:tcPr>
          <w:p w14:paraId="48F67AFC" w14:textId="77777777" w:rsidR="001F2C34" w:rsidRPr="00781112" w:rsidRDefault="001F2C34" w:rsidP="00BA3DBE">
            <w:pPr>
              <w:spacing w:line="276" w:lineRule="auto"/>
              <w:jc w:val="center"/>
              <w:rPr>
                <w:rFonts w:cs="Arial"/>
                <w:color w:val="000000" w:themeColor="text1"/>
                <w:szCs w:val="16"/>
              </w:rPr>
            </w:pPr>
            <w:r w:rsidRPr="00781112">
              <w:rPr>
                <w:rFonts w:cs="Arial"/>
                <w:color w:val="000000" w:themeColor="text1"/>
                <w:szCs w:val="16"/>
              </w:rPr>
              <w:t>Target &lt;=</w:t>
            </w:r>
          </w:p>
        </w:tc>
        <w:tc>
          <w:tcPr>
            <w:tcW w:w="1618" w:type="dxa"/>
            <w:tcBorders>
              <w:top w:val="single" w:sz="4" w:space="0" w:color="auto"/>
              <w:left w:val="single" w:sz="4" w:space="0" w:color="auto"/>
              <w:bottom w:val="single" w:sz="4" w:space="0" w:color="auto"/>
              <w:right w:val="single" w:sz="4" w:space="0" w:color="auto"/>
            </w:tcBorders>
            <w:vAlign w:val="center"/>
          </w:tcPr>
          <w:p w14:paraId="32D8EE0A" w14:textId="77777777" w:rsidR="001F2C34" w:rsidRPr="00781112" w:rsidRDefault="001F2C34" w:rsidP="00A018D4">
            <w:pPr>
              <w:jc w:val="center"/>
              <w:rPr>
                <w:rFonts w:cs="Arial"/>
                <w:color w:val="000000" w:themeColor="text1"/>
                <w:szCs w:val="16"/>
              </w:rPr>
            </w:pPr>
            <w:r w:rsidRPr="00781112">
              <w:rPr>
                <w:rFonts w:cs="Arial"/>
                <w:color w:val="000000" w:themeColor="text1"/>
                <w:szCs w:val="16"/>
              </w:rPr>
              <w:t>10.20%</w:t>
            </w:r>
          </w:p>
        </w:tc>
        <w:tc>
          <w:tcPr>
            <w:tcW w:w="1619" w:type="dxa"/>
            <w:tcBorders>
              <w:top w:val="single" w:sz="4" w:space="0" w:color="auto"/>
              <w:left w:val="single" w:sz="4" w:space="0" w:color="auto"/>
              <w:bottom w:val="single" w:sz="4" w:space="0" w:color="auto"/>
              <w:right w:val="single" w:sz="4" w:space="0" w:color="auto"/>
            </w:tcBorders>
            <w:vAlign w:val="center"/>
          </w:tcPr>
          <w:p w14:paraId="4730BCF7" w14:textId="77777777" w:rsidR="001F2C34" w:rsidRPr="00781112" w:rsidRDefault="001F2C34" w:rsidP="00A018D4">
            <w:pPr>
              <w:jc w:val="center"/>
              <w:rPr>
                <w:rFonts w:cs="Arial"/>
                <w:color w:val="000000" w:themeColor="text1"/>
                <w:szCs w:val="16"/>
              </w:rPr>
            </w:pPr>
            <w:r w:rsidRPr="00781112">
              <w:rPr>
                <w:rFonts w:cs="Arial"/>
                <w:color w:val="000000" w:themeColor="text1"/>
                <w:szCs w:val="16"/>
              </w:rPr>
              <w:t>9.67%</w:t>
            </w:r>
          </w:p>
        </w:tc>
        <w:tc>
          <w:tcPr>
            <w:tcW w:w="1618" w:type="dxa"/>
            <w:tcBorders>
              <w:top w:val="single" w:sz="4" w:space="0" w:color="auto"/>
              <w:left w:val="single" w:sz="4" w:space="0" w:color="auto"/>
              <w:bottom w:val="single" w:sz="4" w:space="0" w:color="auto"/>
              <w:right w:val="single" w:sz="4" w:space="0" w:color="auto"/>
            </w:tcBorders>
            <w:vAlign w:val="center"/>
          </w:tcPr>
          <w:p w14:paraId="33CE2693" w14:textId="77777777" w:rsidR="001F2C34" w:rsidRPr="00781112" w:rsidRDefault="001F2C34" w:rsidP="00A018D4">
            <w:pPr>
              <w:jc w:val="center"/>
              <w:rPr>
                <w:rFonts w:cs="Arial"/>
                <w:color w:val="000000" w:themeColor="text1"/>
                <w:szCs w:val="16"/>
              </w:rPr>
            </w:pPr>
            <w:r w:rsidRPr="00781112">
              <w:rPr>
                <w:rFonts w:cs="Arial"/>
                <w:color w:val="000000" w:themeColor="text1"/>
                <w:szCs w:val="16"/>
              </w:rPr>
              <w:t>9.50%</w:t>
            </w:r>
          </w:p>
        </w:tc>
        <w:tc>
          <w:tcPr>
            <w:tcW w:w="1619" w:type="dxa"/>
            <w:tcBorders>
              <w:top w:val="single" w:sz="4" w:space="0" w:color="auto"/>
              <w:left w:val="single" w:sz="4" w:space="0" w:color="auto"/>
              <w:bottom w:val="single" w:sz="4" w:space="0" w:color="auto"/>
              <w:right w:val="single" w:sz="4" w:space="0" w:color="auto"/>
            </w:tcBorders>
            <w:vAlign w:val="center"/>
          </w:tcPr>
          <w:p w14:paraId="06AA9CE3" w14:textId="77777777" w:rsidR="001F2C34" w:rsidRPr="00781112" w:rsidRDefault="001F2C34">
            <w:pPr>
              <w:jc w:val="center"/>
              <w:rPr>
                <w:color w:val="000000" w:themeColor="text1"/>
              </w:rPr>
            </w:pPr>
            <w:r w:rsidRPr="00781112">
              <w:rPr>
                <w:color w:val="000000" w:themeColor="text1"/>
              </w:rPr>
              <w:t>9.40%</w:t>
            </w:r>
          </w:p>
        </w:tc>
        <w:tc>
          <w:tcPr>
            <w:tcW w:w="1619" w:type="dxa"/>
            <w:tcBorders>
              <w:top w:val="single" w:sz="4" w:space="0" w:color="auto"/>
              <w:left w:val="single" w:sz="4" w:space="0" w:color="auto"/>
              <w:bottom w:val="single" w:sz="4" w:space="0" w:color="auto"/>
              <w:right w:val="single" w:sz="4" w:space="0" w:color="auto"/>
            </w:tcBorders>
            <w:vAlign w:val="center"/>
          </w:tcPr>
          <w:p w14:paraId="5A516EE1" w14:textId="77777777" w:rsidR="001F2C34" w:rsidRPr="00781112" w:rsidRDefault="001F2C34" w:rsidP="00A018D4">
            <w:pPr>
              <w:jc w:val="center"/>
              <w:rPr>
                <w:rFonts w:cs="Arial"/>
                <w:color w:val="000000" w:themeColor="text1"/>
                <w:szCs w:val="16"/>
              </w:rPr>
            </w:pPr>
            <w:r w:rsidRPr="00781112">
              <w:rPr>
                <w:rFonts w:cs="Arial"/>
                <w:color w:val="000000" w:themeColor="text1"/>
                <w:szCs w:val="16"/>
              </w:rPr>
              <w:t>9.30%</w:t>
            </w:r>
          </w:p>
        </w:tc>
      </w:tr>
      <w:tr w:rsidR="001F2C34" w:rsidRPr="00781112" w14:paraId="74B46A94" w14:textId="77777777" w:rsidTr="005F5FE9">
        <w:trPr>
          <w:trHeight w:val="85"/>
        </w:trPr>
        <w:tc>
          <w:tcPr>
            <w:tcW w:w="625" w:type="dxa"/>
            <w:tcBorders>
              <w:left w:val="single" w:sz="4" w:space="0" w:color="auto"/>
              <w:right w:val="single" w:sz="4" w:space="0" w:color="auto"/>
            </w:tcBorders>
            <w:vAlign w:val="center"/>
          </w:tcPr>
          <w:p w14:paraId="007C5623" w14:textId="77777777" w:rsidR="001F2C34" w:rsidRPr="00781112" w:rsidRDefault="001F2C34" w:rsidP="004369B2">
            <w:pPr>
              <w:spacing w:line="276" w:lineRule="auto"/>
              <w:jc w:val="center"/>
              <w:rPr>
                <w:rFonts w:cs="Arial"/>
                <w:b/>
                <w:bCs/>
                <w:color w:val="000000" w:themeColor="text1"/>
                <w:szCs w:val="16"/>
              </w:rPr>
            </w:pPr>
            <w:r w:rsidRPr="00781112">
              <w:rPr>
                <w:rFonts w:cs="Arial"/>
                <w:b/>
                <w:bCs/>
                <w:color w:val="000000" w:themeColor="text1"/>
                <w:szCs w:val="16"/>
              </w:rPr>
              <w:t>B</w:t>
            </w:r>
          </w:p>
        </w:tc>
        <w:tc>
          <w:tcPr>
            <w:tcW w:w="1036" w:type="dxa"/>
            <w:tcBorders>
              <w:top w:val="single" w:sz="4" w:space="0" w:color="auto"/>
              <w:left w:val="single" w:sz="4" w:space="0" w:color="auto"/>
              <w:bottom w:val="single" w:sz="4" w:space="0" w:color="auto"/>
              <w:right w:val="single" w:sz="4" w:space="0" w:color="auto"/>
            </w:tcBorders>
            <w:vAlign w:val="center"/>
            <w:hideMark/>
          </w:tcPr>
          <w:p w14:paraId="3D0134EA" w14:textId="77777777" w:rsidR="001F2C34" w:rsidRPr="00781112" w:rsidRDefault="001F2C34" w:rsidP="00BA3DBE">
            <w:pPr>
              <w:spacing w:line="276" w:lineRule="auto"/>
              <w:jc w:val="center"/>
              <w:rPr>
                <w:rFonts w:cs="Arial"/>
                <w:color w:val="000000" w:themeColor="text1"/>
                <w:szCs w:val="16"/>
              </w:rPr>
            </w:pPr>
            <w:r w:rsidRPr="00781112">
              <w:rPr>
                <w:rFonts w:cs="Arial"/>
                <w:color w:val="000000" w:themeColor="text1"/>
                <w:szCs w:val="16"/>
              </w:rPr>
              <w:t>Data</w:t>
            </w:r>
          </w:p>
        </w:tc>
        <w:tc>
          <w:tcPr>
            <w:tcW w:w="1618" w:type="dxa"/>
            <w:tcBorders>
              <w:top w:val="single" w:sz="4" w:space="0" w:color="auto"/>
              <w:left w:val="single" w:sz="4" w:space="0" w:color="auto"/>
              <w:bottom w:val="single" w:sz="4" w:space="0" w:color="auto"/>
              <w:right w:val="single" w:sz="4" w:space="0" w:color="auto"/>
            </w:tcBorders>
            <w:vAlign w:val="center"/>
          </w:tcPr>
          <w:p w14:paraId="7257BCD2" w14:textId="77777777" w:rsidR="001F2C34" w:rsidRPr="00781112" w:rsidRDefault="001F2C34" w:rsidP="00A018D4">
            <w:pPr>
              <w:jc w:val="center"/>
              <w:rPr>
                <w:rFonts w:cs="Arial"/>
                <w:color w:val="000000" w:themeColor="text1"/>
                <w:szCs w:val="16"/>
              </w:rPr>
            </w:pPr>
            <w:r w:rsidRPr="00781112">
              <w:rPr>
                <w:rFonts w:cs="Arial"/>
                <w:color w:val="000000" w:themeColor="text1"/>
                <w:szCs w:val="16"/>
              </w:rPr>
              <w:t>9.74%</w:t>
            </w:r>
          </w:p>
        </w:tc>
        <w:tc>
          <w:tcPr>
            <w:tcW w:w="1619" w:type="dxa"/>
            <w:tcBorders>
              <w:top w:val="single" w:sz="4" w:space="0" w:color="auto"/>
              <w:left w:val="single" w:sz="4" w:space="0" w:color="auto"/>
              <w:bottom w:val="single" w:sz="4" w:space="0" w:color="auto"/>
              <w:right w:val="single" w:sz="4" w:space="0" w:color="auto"/>
            </w:tcBorders>
            <w:vAlign w:val="center"/>
          </w:tcPr>
          <w:p w14:paraId="2AF3C4A5" w14:textId="77777777" w:rsidR="001F2C34" w:rsidRPr="00781112" w:rsidRDefault="001F2C34" w:rsidP="00A018D4">
            <w:pPr>
              <w:jc w:val="center"/>
              <w:rPr>
                <w:rFonts w:cs="Arial"/>
                <w:color w:val="000000" w:themeColor="text1"/>
                <w:szCs w:val="16"/>
              </w:rPr>
            </w:pPr>
            <w:r w:rsidRPr="00781112">
              <w:rPr>
                <w:rFonts w:cs="Arial"/>
                <w:color w:val="000000" w:themeColor="text1"/>
                <w:szCs w:val="16"/>
              </w:rPr>
              <w:t>9.67%</w:t>
            </w:r>
          </w:p>
        </w:tc>
        <w:tc>
          <w:tcPr>
            <w:tcW w:w="1618" w:type="dxa"/>
            <w:tcBorders>
              <w:top w:val="single" w:sz="4" w:space="0" w:color="auto"/>
              <w:left w:val="single" w:sz="4" w:space="0" w:color="auto"/>
              <w:bottom w:val="single" w:sz="4" w:space="0" w:color="auto"/>
              <w:right w:val="single" w:sz="4" w:space="0" w:color="auto"/>
            </w:tcBorders>
            <w:vAlign w:val="center"/>
          </w:tcPr>
          <w:p w14:paraId="64CBA742" w14:textId="77777777" w:rsidR="001F2C34" w:rsidRPr="00781112" w:rsidRDefault="001F2C34" w:rsidP="00A018D4">
            <w:pPr>
              <w:jc w:val="center"/>
              <w:rPr>
                <w:rFonts w:cs="Arial"/>
                <w:color w:val="000000" w:themeColor="text1"/>
                <w:szCs w:val="16"/>
              </w:rPr>
            </w:pPr>
            <w:r w:rsidRPr="00781112">
              <w:rPr>
                <w:rFonts w:cs="Arial"/>
                <w:color w:val="000000" w:themeColor="text1"/>
                <w:szCs w:val="16"/>
              </w:rPr>
              <w:t>6.30%</w:t>
            </w:r>
          </w:p>
        </w:tc>
        <w:tc>
          <w:tcPr>
            <w:tcW w:w="1619" w:type="dxa"/>
            <w:tcBorders>
              <w:top w:val="single" w:sz="4" w:space="0" w:color="auto"/>
              <w:left w:val="single" w:sz="4" w:space="0" w:color="auto"/>
              <w:bottom w:val="single" w:sz="4" w:space="0" w:color="auto"/>
              <w:right w:val="single" w:sz="4" w:space="0" w:color="auto"/>
            </w:tcBorders>
            <w:vAlign w:val="center"/>
          </w:tcPr>
          <w:p w14:paraId="73DC8D74" w14:textId="77777777" w:rsidR="001F2C34" w:rsidRPr="00781112" w:rsidRDefault="001F2C34" w:rsidP="00A018D4">
            <w:pPr>
              <w:jc w:val="center"/>
              <w:rPr>
                <w:rFonts w:cs="Arial"/>
                <w:color w:val="000000" w:themeColor="text1"/>
                <w:szCs w:val="16"/>
              </w:rPr>
            </w:pPr>
            <w:r w:rsidRPr="00781112">
              <w:rPr>
                <w:rFonts w:cs="Arial"/>
                <w:color w:val="000000" w:themeColor="text1"/>
                <w:szCs w:val="16"/>
              </w:rPr>
              <w:t>13.35%</w:t>
            </w:r>
          </w:p>
        </w:tc>
        <w:tc>
          <w:tcPr>
            <w:tcW w:w="1619" w:type="dxa"/>
            <w:tcBorders>
              <w:top w:val="single" w:sz="4" w:space="0" w:color="auto"/>
              <w:left w:val="single" w:sz="4" w:space="0" w:color="auto"/>
              <w:bottom w:val="single" w:sz="4" w:space="0" w:color="auto"/>
              <w:right w:val="single" w:sz="4" w:space="0" w:color="auto"/>
            </w:tcBorders>
            <w:vAlign w:val="center"/>
          </w:tcPr>
          <w:p w14:paraId="6F2B8C5B" w14:textId="77777777" w:rsidR="001F2C34" w:rsidRPr="00781112" w:rsidRDefault="001F2C34" w:rsidP="00A018D4">
            <w:pPr>
              <w:jc w:val="center"/>
              <w:rPr>
                <w:rFonts w:cs="Arial"/>
                <w:color w:val="000000" w:themeColor="text1"/>
                <w:szCs w:val="16"/>
              </w:rPr>
            </w:pPr>
            <w:r w:rsidRPr="00781112">
              <w:rPr>
                <w:rFonts w:cs="Arial"/>
                <w:color w:val="000000" w:themeColor="text1"/>
                <w:szCs w:val="16"/>
              </w:rPr>
              <w:t>11.33%</w:t>
            </w:r>
          </w:p>
        </w:tc>
      </w:tr>
      <w:tr w:rsidR="001B1B03" w:rsidRPr="00781112" w14:paraId="7C39E24E" w14:textId="77777777" w:rsidTr="005F5FE9">
        <w:trPr>
          <w:trHeight w:val="85"/>
        </w:trPr>
        <w:tc>
          <w:tcPr>
            <w:tcW w:w="625" w:type="dxa"/>
            <w:tcBorders>
              <w:left w:val="single" w:sz="4" w:space="0" w:color="auto"/>
              <w:right w:val="single" w:sz="4" w:space="0" w:color="auto"/>
            </w:tcBorders>
            <w:vAlign w:val="center"/>
          </w:tcPr>
          <w:p w14:paraId="4869A2C8" w14:textId="77777777" w:rsidR="001B1B03" w:rsidRPr="00781112" w:rsidRDefault="001B1B03" w:rsidP="001B1B03">
            <w:pPr>
              <w:spacing w:line="276" w:lineRule="auto"/>
              <w:jc w:val="center"/>
              <w:rPr>
                <w:rFonts w:cs="Arial"/>
                <w:b/>
                <w:bCs/>
                <w:color w:val="000000" w:themeColor="text1"/>
                <w:szCs w:val="16"/>
              </w:rPr>
            </w:pPr>
            <w:r>
              <w:rPr>
                <w:rFonts w:cs="Arial"/>
                <w:b/>
                <w:bCs/>
                <w:color w:val="000000" w:themeColor="text1"/>
                <w:szCs w:val="16"/>
              </w:rPr>
              <w:t>C</w:t>
            </w:r>
          </w:p>
        </w:tc>
        <w:tc>
          <w:tcPr>
            <w:tcW w:w="1036" w:type="dxa"/>
            <w:tcBorders>
              <w:top w:val="single" w:sz="4" w:space="0" w:color="auto"/>
              <w:left w:val="single" w:sz="4" w:space="0" w:color="auto"/>
              <w:bottom w:val="single" w:sz="4" w:space="0" w:color="auto"/>
              <w:right w:val="single" w:sz="4" w:space="0" w:color="auto"/>
            </w:tcBorders>
            <w:vAlign w:val="center"/>
          </w:tcPr>
          <w:p w14:paraId="1796A59B" w14:textId="77777777" w:rsidR="001B1B03" w:rsidRPr="00781112" w:rsidRDefault="001B1B03" w:rsidP="00BA3DBE">
            <w:pPr>
              <w:spacing w:line="276" w:lineRule="auto"/>
              <w:jc w:val="center"/>
              <w:rPr>
                <w:rFonts w:cs="Arial"/>
                <w:color w:val="000000" w:themeColor="text1"/>
                <w:szCs w:val="16"/>
              </w:rPr>
            </w:pPr>
            <w:r w:rsidRPr="00781112">
              <w:rPr>
                <w:rFonts w:cs="Arial"/>
                <w:color w:val="000000" w:themeColor="text1"/>
                <w:szCs w:val="16"/>
              </w:rPr>
              <w:t>Target &lt;=</w:t>
            </w:r>
          </w:p>
        </w:tc>
        <w:tc>
          <w:tcPr>
            <w:tcW w:w="1618" w:type="dxa"/>
            <w:tcBorders>
              <w:top w:val="single" w:sz="4" w:space="0" w:color="auto"/>
              <w:left w:val="single" w:sz="4" w:space="0" w:color="auto"/>
              <w:bottom w:val="single" w:sz="4" w:space="0" w:color="auto"/>
              <w:right w:val="single" w:sz="4" w:space="0" w:color="auto"/>
            </w:tcBorders>
            <w:vAlign w:val="center"/>
          </w:tcPr>
          <w:p w14:paraId="095BE1B6" w14:textId="77777777" w:rsidR="001B1B03" w:rsidRPr="00781112" w:rsidRDefault="001B1B03" w:rsidP="001B1B03">
            <w:pPr>
              <w:jc w:val="center"/>
              <w:rPr>
                <w:rFonts w:cs="Arial"/>
                <w:color w:val="000000" w:themeColor="text1"/>
                <w:szCs w:val="16"/>
              </w:rPr>
            </w:pPr>
          </w:p>
        </w:tc>
        <w:tc>
          <w:tcPr>
            <w:tcW w:w="1619" w:type="dxa"/>
            <w:tcBorders>
              <w:top w:val="single" w:sz="4" w:space="0" w:color="auto"/>
              <w:left w:val="single" w:sz="4" w:space="0" w:color="auto"/>
              <w:bottom w:val="single" w:sz="4" w:space="0" w:color="auto"/>
              <w:right w:val="single" w:sz="4" w:space="0" w:color="auto"/>
            </w:tcBorders>
            <w:vAlign w:val="center"/>
          </w:tcPr>
          <w:p w14:paraId="24EEB1A6" w14:textId="77777777" w:rsidR="001B1B03" w:rsidRPr="00781112" w:rsidRDefault="001B1B03" w:rsidP="001B1B03">
            <w:pPr>
              <w:jc w:val="center"/>
              <w:rPr>
                <w:rFonts w:cs="Arial"/>
                <w:color w:val="000000" w:themeColor="text1"/>
                <w:szCs w:val="16"/>
              </w:rPr>
            </w:pPr>
            <w:r w:rsidRPr="00781112">
              <w:rPr>
                <w:rFonts w:cs="Arial"/>
                <w:color w:val="000000" w:themeColor="text1"/>
                <w:szCs w:val="16"/>
              </w:rPr>
              <w:t>2.26%</w:t>
            </w:r>
          </w:p>
        </w:tc>
        <w:tc>
          <w:tcPr>
            <w:tcW w:w="1618" w:type="dxa"/>
            <w:tcBorders>
              <w:top w:val="single" w:sz="4" w:space="0" w:color="auto"/>
              <w:left w:val="single" w:sz="4" w:space="0" w:color="auto"/>
              <w:bottom w:val="single" w:sz="4" w:space="0" w:color="auto"/>
              <w:right w:val="single" w:sz="4" w:space="0" w:color="auto"/>
            </w:tcBorders>
            <w:vAlign w:val="center"/>
          </w:tcPr>
          <w:p w14:paraId="7421FF6C" w14:textId="77777777" w:rsidR="001B1B03" w:rsidRPr="00781112" w:rsidRDefault="001B1B03" w:rsidP="001B1B03">
            <w:pPr>
              <w:jc w:val="center"/>
              <w:rPr>
                <w:rFonts w:cs="Arial"/>
                <w:color w:val="000000" w:themeColor="text1"/>
                <w:szCs w:val="16"/>
              </w:rPr>
            </w:pPr>
            <w:r w:rsidRPr="00781112">
              <w:rPr>
                <w:rFonts w:cs="Arial"/>
                <w:color w:val="000000" w:themeColor="text1"/>
                <w:szCs w:val="16"/>
              </w:rPr>
              <w:t>2.25%</w:t>
            </w:r>
          </w:p>
        </w:tc>
        <w:tc>
          <w:tcPr>
            <w:tcW w:w="1619" w:type="dxa"/>
            <w:tcBorders>
              <w:top w:val="single" w:sz="4" w:space="0" w:color="auto"/>
              <w:left w:val="single" w:sz="4" w:space="0" w:color="auto"/>
              <w:bottom w:val="single" w:sz="4" w:space="0" w:color="auto"/>
              <w:right w:val="single" w:sz="4" w:space="0" w:color="auto"/>
            </w:tcBorders>
            <w:vAlign w:val="center"/>
          </w:tcPr>
          <w:p w14:paraId="5750D56F" w14:textId="77777777" w:rsidR="001B1B03" w:rsidRPr="00781112" w:rsidRDefault="001B1B03" w:rsidP="001B1B03">
            <w:pPr>
              <w:jc w:val="center"/>
              <w:rPr>
                <w:rFonts w:cs="Arial"/>
                <w:color w:val="000000" w:themeColor="text1"/>
                <w:szCs w:val="16"/>
              </w:rPr>
            </w:pPr>
            <w:r w:rsidRPr="00781112">
              <w:rPr>
                <w:color w:val="000000" w:themeColor="text1"/>
              </w:rPr>
              <w:t>2.24%</w:t>
            </w:r>
          </w:p>
        </w:tc>
        <w:tc>
          <w:tcPr>
            <w:tcW w:w="1619" w:type="dxa"/>
            <w:tcBorders>
              <w:top w:val="single" w:sz="4" w:space="0" w:color="auto"/>
              <w:left w:val="single" w:sz="4" w:space="0" w:color="auto"/>
              <w:bottom w:val="single" w:sz="4" w:space="0" w:color="auto"/>
              <w:right w:val="single" w:sz="4" w:space="0" w:color="auto"/>
            </w:tcBorders>
            <w:vAlign w:val="center"/>
          </w:tcPr>
          <w:p w14:paraId="5318DF43" w14:textId="77777777" w:rsidR="001B1B03" w:rsidRPr="00781112" w:rsidRDefault="001B1B03" w:rsidP="001B1B03">
            <w:pPr>
              <w:jc w:val="center"/>
              <w:rPr>
                <w:rFonts w:cs="Arial"/>
                <w:color w:val="000000" w:themeColor="text1"/>
                <w:szCs w:val="16"/>
              </w:rPr>
            </w:pPr>
            <w:r w:rsidRPr="00781112">
              <w:rPr>
                <w:rFonts w:cs="Arial"/>
                <w:color w:val="000000" w:themeColor="text1"/>
                <w:szCs w:val="16"/>
              </w:rPr>
              <w:t>2.23%</w:t>
            </w:r>
          </w:p>
        </w:tc>
      </w:tr>
      <w:tr w:rsidR="001B1B03" w:rsidRPr="00781112" w14:paraId="1F3C8695" w14:textId="77777777" w:rsidTr="005F5FE9">
        <w:trPr>
          <w:trHeight w:val="85"/>
        </w:trPr>
        <w:tc>
          <w:tcPr>
            <w:tcW w:w="625" w:type="dxa"/>
            <w:tcBorders>
              <w:left w:val="single" w:sz="4" w:space="0" w:color="auto"/>
              <w:right w:val="single" w:sz="4" w:space="0" w:color="auto"/>
            </w:tcBorders>
            <w:vAlign w:val="center"/>
          </w:tcPr>
          <w:p w14:paraId="53ABC9CA" w14:textId="77777777" w:rsidR="001B1B03" w:rsidRPr="00781112" w:rsidRDefault="001B1B03" w:rsidP="001B1B03">
            <w:pPr>
              <w:spacing w:line="276" w:lineRule="auto"/>
              <w:jc w:val="center"/>
              <w:rPr>
                <w:rFonts w:cs="Arial"/>
                <w:b/>
                <w:bCs/>
                <w:color w:val="000000" w:themeColor="text1"/>
                <w:szCs w:val="16"/>
              </w:rPr>
            </w:pPr>
            <w:r>
              <w:rPr>
                <w:rFonts w:cs="Arial"/>
                <w:b/>
                <w:bCs/>
                <w:color w:val="000000" w:themeColor="text1"/>
                <w:szCs w:val="16"/>
              </w:rPr>
              <w:t>C</w:t>
            </w:r>
          </w:p>
        </w:tc>
        <w:tc>
          <w:tcPr>
            <w:tcW w:w="1036" w:type="dxa"/>
            <w:tcBorders>
              <w:top w:val="single" w:sz="4" w:space="0" w:color="auto"/>
              <w:left w:val="single" w:sz="4" w:space="0" w:color="auto"/>
              <w:bottom w:val="single" w:sz="4" w:space="0" w:color="auto"/>
              <w:right w:val="single" w:sz="4" w:space="0" w:color="auto"/>
            </w:tcBorders>
            <w:vAlign w:val="center"/>
          </w:tcPr>
          <w:p w14:paraId="0069232D" w14:textId="77777777" w:rsidR="001B1B03" w:rsidRPr="00781112" w:rsidRDefault="001B1B03" w:rsidP="00BA3DBE">
            <w:pPr>
              <w:spacing w:line="276" w:lineRule="auto"/>
              <w:jc w:val="center"/>
              <w:rPr>
                <w:rFonts w:cs="Arial"/>
                <w:color w:val="000000" w:themeColor="text1"/>
                <w:szCs w:val="16"/>
              </w:rPr>
            </w:pPr>
            <w:r w:rsidRPr="00781112">
              <w:rPr>
                <w:rFonts w:cs="Arial"/>
                <w:color w:val="000000" w:themeColor="text1"/>
                <w:szCs w:val="16"/>
              </w:rPr>
              <w:t>Data</w:t>
            </w:r>
          </w:p>
        </w:tc>
        <w:tc>
          <w:tcPr>
            <w:tcW w:w="1618" w:type="dxa"/>
            <w:tcBorders>
              <w:top w:val="single" w:sz="4" w:space="0" w:color="auto"/>
              <w:left w:val="single" w:sz="4" w:space="0" w:color="auto"/>
              <w:bottom w:val="single" w:sz="4" w:space="0" w:color="auto"/>
              <w:right w:val="single" w:sz="4" w:space="0" w:color="auto"/>
            </w:tcBorders>
            <w:vAlign w:val="center"/>
          </w:tcPr>
          <w:p w14:paraId="5C773230" w14:textId="77777777" w:rsidR="001B1B03" w:rsidRPr="00781112" w:rsidRDefault="001B1B03" w:rsidP="001B1B03">
            <w:pPr>
              <w:jc w:val="center"/>
              <w:rPr>
                <w:rFonts w:cs="Arial"/>
                <w:color w:val="000000" w:themeColor="text1"/>
                <w:szCs w:val="16"/>
              </w:rPr>
            </w:pPr>
          </w:p>
        </w:tc>
        <w:tc>
          <w:tcPr>
            <w:tcW w:w="1619" w:type="dxa"/>
            <w:tcBorders>
              <w:top w:val="single" w:sz="4" w:space="0" w:color="auto"/>
              <w:left w:val="single" w:sz="4" w:space="0" w:color="auto"/>
              <w:bottom w:val="single" w:sz="4" w:space="0" w:color="auto"/>
              <w:right w:val="single" w:sz="4" w:space="0" w:color="auto"/>
            </w:tcBorders>
            <w:vAlign w:val="center"/>
          </w:tcPr>
          <w:p w14:paraId="63CD4828" w14:textId="77777777" w:rsidR="001B1B03" w:rsidRPr="00781112" w:rsidRDefault="001B1B03" w:rsidP="001B1B03">
            <w:pPr>
              <w:jc w:val="center"/>
              <w:rPr>
                <w:rFonts w:cs="Arial"/>
                <w:color w:val="000000" w:themeColor="text1"/>
                <w:szCs w:val="16"/>
              </w:rPr>
            </w:pPr>
            <w:r w:rsidRPr="00781112">
              <w:rPr>
                <w:rFonts w:cs="Arial"/>
                <w:color w:val="000000" w:themeColor="text1"/>
                <w:szCs w:val="16"/>
              </w:rPr>
              <w:t>2.26%</w:t>
            </w:r>
          </w:p>
        </w:tc>
        <w:tc>
          <w:tcPr>
            <w:tcW w:w="1618" w:type="dxa"/>
            <w:tcBorders>
              <w:top w:val="single" w:sz="4" w:space="0" w:color="auto"/>
              <w:left w:val="single" w:sz="4" w:space="0" w:color="auto"/>
              <w:bottom w:val="single" w:sz="4" w:space="0" w:color="auto"/>
              <w:right w:val="single" w:sz="4" w:space="0" w:color="auto"/>
            </w:tcBorders>
            <w:vAlign w:val="center"/>
          </w:tcPr>
          <w:p w14:paraId="55562443" w14:textId="77777777" w:rsidR="001B1B03" w:rsidRPr="00781112" w:rsidRDefault="001B1B03" w:rsidP="001B1B03">
            <w:pPr>
              <w:jc w:val="center"/>
              <w:rPr>
                <w:rFonts w:cs="Arial"/>
                <w:color w:val="000000" w:themeColor="text1"/>
                <w:szCs w:val="16"/>
              </w:rPr>
            </w:pPr>
            <w:r w:rsidRPr="00781112">
              <w:rPr>
                <w:rFonts w:cs="Arial"/>
                <w:color w:val="000000" w:themeColor="text1"/>
                <w:szCs w:val="16"/>
              </w:rPr>
              <w:t>0.89%</w:t>
            </w:r>
          </w:p>
        </w:tc>
        <w:tc>
          <w:tcPr>
            <w:tcW w:w="1619" w:type="dxa"/>
            <w:tcBorders>
              <w:top w:val="single" w:sz="4" w:space="0" w:color="auto"/>
              <w:left w:val="single" w:sz="4" w:space="0" w:color="auto"/>
              <w:bottom w:val="single" w:sz="4" w:space="0" w:color="auto"/>
              <w:right w:val="single" w:sz="4" w:space="0" w:color="auto"/>
            </w:tcBorders>
            <w:vAlign w:val="center"/>
          </w:tcPr>
          <w:p w14:paraId="64B9F03C" w14:textId="77777777" w:rsidR="001B1B03" w:rsidRPr="00781112" w:rsidRDefault="001B1B03" w:rsidP="001B1B03">
            <w:pPr>
              <w:jc w:val="center"/>
              <w:rPr>
                <w:rFonts w:cs="Arial"/>
                <w:color w:val="000000" w:themeColor="text1"/>
                <w:szCs w:val="16"/>
              </w:rPr>
            </w:pPr>
            <w:r w:rsidRPr="00781112">
              <w:rPr>
                <w:rFonts w:cs="Arial"/>
                <w:color w:val="000000" w:themeColor="text1"/>
                <w:szCs w:val="16"/>
              </w:rPr>
              <w:t>0.62%</w:t>
            </w:r>
          </w:p>
        </w:tc>
        <w:tc>
          <w:tcPr>
            <w:tcW w:w="1619" w:type="dxa"/>
            <w:tcBorders>
              <w:top w:val="single" w:sz="4" w:space="0" w:color="auto"/>
              <w:left w:val="single" w:sz="4" w:space="0" w:color="auto"/>
              <w:bottom w:val="single" w:sz="4" w:space="0" w:color="auto"/>
              <w:right w:val="single" w:sz="4" w:space="0" w:color="auto"/>
            </w:tcBorders>
            <w:vAlign w:val="center"/>
          </w:tcPr>
          <w:p w14:paraId="4C421C17" w14:textId="77777777" w:rsidR="001B1B03" w:rsidRPr="00781112" w:rsidRDefault="001B1B03" w:rsidP="001B1B03">
            <w:pPr>
              <w:jc w:val="center"/>
              <w:rPr>
                <w:rFonts w:cs="Arial"/>
                <w:color w:val="000000" w:themeColor="text1"/>
                <w:szCs w:val="16"/>
              </w:rPr>
            </w:pPr>
            <w:r w:rsidRPr="00781112">
              <w:rPr>
                <w:rFonts w:cs="Arial"/>
                <w:color w:val="000000" w:themeColor="text1"/>
                <w:szCs w:val="16"/>
              </w:rPr>
              <w:t>0.51%</w:t>
            </w:r>
          </w:p>
        </w:tc>
      </w:tr>
    </w:tbl>
    <w:p w14:paraId="7003CF01" w14:textId="77777777" w:rsidR="00AE3B11" w:rsidRDefault="00AE3B11" w:rsidP="004369B2">
      <w:pPr>
        <w:rPr>
          <w:color w:val="000000" w:themeColor="text1"/>
        </w:rPr>
      </w:pPr>
    </w:p>
    <w:p w14:paraId="5D294123" w14:textId="77777777" w:rsidR="00AE3B11" w:rsidRPr="00651552" w:rsidRDefault="00AE3B11" w:rsidP="0059735F">
      <w:pPr>
        <w:rPr>
          <w:bCs/>
          <w:color w:val="000000" w:themeColor="text1"/>
        </w:rPr>
      </w:pPr>
    </w:p>
    <w:p w14:paraId="12B4CB96" w14:textId="77777777" w:rsidR="0059735F" w:rsidRPr="00781112" w:rsidRDefault="0059735F" w:rsidP="0059735F">
      <w:pPr>
        <w:rPr>
          <w:b/>
          <w:color w:val="000000" w:themeColor="text1"/>
        </w:rPr>
      </w:pPr>
      <w:r w:rsidRPr="00781112">
        <w:rPr>
          <w:b/>
          <w:color w:val="000000" w:themeColor="text1"/>
        </w:rPr>
        <w:t xml:space="preserve">Targets: Description of Stakeholder Input </w:t>
      </w:r>
    </w:p>
    <w:p w14:paraId="3CF2F43D" w14:textId="77777777" w:rsidR="0059735F" w:rsidRPr="00781112" w:rsidRDefault="0059735F" w:rsidP="0059735F">
      <w:pPr>
        <w:rPr>
          <w:rFonts w:cs="Arial"/>
          <w:color w:val="000000" w:themeColor="text1"/>
          <w:szCs w:val="16"/>
        </w:rPr>
      </w:pPr>
      <w:r w:rsidRPr="00781112">
        <w:rPr>
          <w:rFonts w:cs="Arial"/>
          <w:color w:val="000000" w:themeColor="text1"/>
          <w:szCs w:val="16"/>
        </w:rPr>
        <w:t>WVDE/OSE maintains robust stakeholder engagement through multiple communication and collaboration channels:</w:t>
      </w:r>
    </w:p>
    <w:p w14:paraId="4F908B38" w14:textId="77777777" w:rsidR="00CA787A" w:rsidRDefault="003169E9">
      <w:r>
        <w:rPr>
          <w:color w:val="000000"/>
        </w:rPr>
        <w:t>*DIRECT COMMUNICATION/CONSULTATION*</w:t>
      </w:r>
    </w:p>
    <w:p w14:paraId="7739D2FC" w14:textId="77777777" w:rsidR="00CA787A" w:rsidRDefault="003169E9">
      <w:r>
        <w:rPr>
          <w:color w:val="000000"/>
        </w:rPr>
        <w:t>—Engaging in one-on-one calls with parents, advocates, educators, and community stakeholders.</w:t>
      </w:r>
    </w:p>
    <w:p w14:paraId="0060001E" w14:textId="77777777" w:rsidR="00CA787A" w:rsidRDefault="003169E9">
      <w:r>
        <w:rPr>
          <w:color w:val="000000"/>
        </w:rPr>
        <w:t>—Distributing emails and surveys to solicit input from diverse stakeholder groups.</w:t>
      </w:r>
    </w:p>
    <w:p w14:paraId="7DF12808" w14:textId="77777777" w:rsidR="00CA787A" w:rsidRDefault="003169E9">
      <w:r>
        <w:rPr>
          <w:color w:val="000000"/>
        </w:rPr>
        <w:t>—Hosting bi-monthly secondary transition office hours to address Indicator 13 compliance and results, and to provide technical assistance for IEP development.</w:t>
      </w:r>
    </w:p>
    <w:p w14:paraId="2799B066" w14:textId="77777777" w:rsidR="00CA787A" w:rsidRDefault="003169E9">
      <w:r>
        <w:rPr>
          <w:color w:val="000000"/>
        </w:rPr>
        <w:t>—Monthly virtual meetings with stakeholders to identify and troubleshoot areas of concern throughout the state.</w:t>
      </w:r>
    </w:p>
    <w:p w14:paraId="4E10F3B9" w14:textId="77777777" w:rsidR="00CA787A" w:rsidRDefault="003169E9">
      <w:r>
        <w:rPr>
          <w:color w:val="000000"/>
        </w:rPr>
        <w:t>*INFORMATION SHARING*</w:t>
      </w:r>
    </w:p>
    <w:p w14:paraId="7B62E2A9" w14:textId="77777777" w:rsidR="00CA787A" w:rsidRDefault="003169E9">
      <w:r>
        <w:rPr>
          <w:color w:val="000000"/>
        </w:rPr>
        <w:t>—Utilizing a dedicated Microsoft Teams platform for communication with LEAs.</w:t>
      </w:r>
    </w:p>
    <w:p w14:paraId="1B9E6129" w14:textId="77777777" w:rsidR="00CA787A" w:rsidRDefault="003169E9">
      <w:r>
        <w:rPr>
          <w:color w:val="000000"/>
        </w:rPr>
        <w:lastRenderedPageBreak/>
        <w:t>—Maintaining a public input form on the WVDE website specifically for SSIP feedback.</w:t>
      </w:r>
    </w:p>
    <w:p w14:paraId="26022DCC" w14:textId="77777777" w:rsidR="00CA787A" w:rsidRDefault="003169E9">
      <w:r>
        <w:rPr>
          <w:color w:val="000000"/>
        </w:rPr>
        <w:t xml:space="preserve">—Collecting input from parents, students, and school personnel as required components of monitoring activities. </w:t>
      </w:r>
    </w:p>
    <w:p w14:paraId="3CA3C506" w14:textId="77777777" w:rsidR="00CA787A" w:rsidRDefault="003169E9">
      <w:r>
        <w:rPr>
          <w:color w:val="000000"/>
        </w:rPr>
        <w:t>—Facilitating cross-office communication and coordination on general and special education initiatives.</w:t>
      </w:r>
    </w:p>
    <w:p w14:paraId="71CA4FD1" w14:textId="77777777" w:rsidR="00CA787A" w:rsidRDefault="003169E9">
      <w:r>
        <w:rPr>
          <w:color w:val="000000"/>
        </w:rPr>
        <w:t>*COLLABORATIVE PARTNERSHIPS*</w:t>
      </w:r>
    </w:p>
    <w:p w14:paraId="7965008E" w14:textId="77777777" w:rsidR="00CA787A" w:rsidRDefault="003169E9">
      <w:r>
        <w:rPr>
          <w:color w:val="000000"/>
        </w:rPr>
        <w:t>—Engaging in ongoing meetings and interagency teams dedicated to enhancing outcomes for individuals with disabilities.</w:t>
      </w:r>
    </w:p>
    <w:p w14:paraId="32D33CB3" w14:textId="77777777" w:rsidR="00CA787A" w:rsidRDefault="003169E9">
      <w:r>
        <w:rPr>
          <w:color w:val="000000"/>
        </w:rPr>
        <w:t>—Ensuring the state director's active participation in all WVACEEC meetings, including involvement in sessions, capacity-building efforts, and feedback collection from LEAs, parents, and community organizations.</w:t>
      </w:r>
    </w:p>
    <w:p w14:paraId="6CCC7544" w14:textId="77777777" w:rsidR="00CA787A" w:rsidRDefault="003169E9">
      <w:r>
        <w:rPr>
          <w:color w:val="000000"/>
        </w:rPr>
        <w:t>—Maintaining regular meetings and collaborative relationships with legislators, advocacy organizations, educator associations, and other stakeholders to strengthen stakeholder knowledge of IDEA procedures, improve SEA-stakeholder dialogue, and collaboratively develop strategies for ongoing improvement toward special education goals (e.g., the Developmental Disability Council (DD Council), Statewide Independent Living Council (SILC), State Rehabilitation Council (SRC), Employment First Task Force, Olmstead Council).</w:t>
      </w:r>
    </w:p>
    <w:p w14:paraId="7ABBB486" w14:textId="77777777" w:rsidR="0059735F" w:rsidRPr="00781112" w:rsidRDefault="0059735F" w:rsidP="0059735F">
      <w:pPr>
        <w:rPr>
          <w:rFonts w:cs="Arial"/>
          <w:color w:val="000000" w:themeColor="text1"/>
          <w:szCs w:val="16"/>
        </w:rPr>
      </w:pPr>
      <w:r w:rsidRPr="00781112">
        <w:rPr>
          <w:rFonts w:cs="Arial"/>
          <w:color w:val="000000" w:themeColor="text1"/>
          <w:szCs w:val="16"/>
        </w:rPr>
        <w:t>Stakeholders did not indicate any interest in revising the Preschool Environments targets during meetings held throughout the reporting period. However, WVDE/OSE remains open to considering any concerns or recommendations stakeholders may have regarding these targets.</w:t>
      </w:r>
    </w:p>
    <w:p w14:paraId="0E097E94" w14:textId="77777777" w:rsidR="0059735F" w:rsidRPr="00781112" w:rsidRDefault="0059735F" w:rsidP="004369B2">
      <w:pPr>
        <w:rPr>
          <w:color w:val="000000" w:themeColor="text1"/>
        </w:rPr>
      </w:pPr>
    </w:p>
    <w:p w14:paraId="1D49BE06" w14:textId="77777777" w:rsidR="00AA04BD" w:rsidRPr="00781112" w:rsidRDefault="00AA04BD" w:rsidP="004369B2">
      <w:pPr>
        <w:rPr>
          <w:b/>
          <w:color w:val="000000" w:themeColor="text1"/>
        </w:rPr>
      </w:pPr>
      <w:r w:rsidRPr="00781112">
        <w:rPr>
          <w:b/>
          <w:color w:val="000000" w:themeColor="text1"/>
        </w:rPr>
        <w:t>Targets</w:t>
      </w:r>
    </w:p>
    <w:p w14:paraId="310B9FE2" w14:textId="77777777" w:rsidR="001C2B29" w:rsidRPr="001C443D" w:rsidRDefault="007F67C7" w:rsidP="001C443D">
      <w:pPr>
        <w:rPr>
          <w:b/>
          <w:bCs/>
        </w:rPr>
      </w:pPr>
      <w:r w:rsidRPr="001C443D">
        <w:rPr>
          <w:b/>
          <w:bCs/>
        </w:rPr>
        <w:t xml:space="preserve">Please select if the State wants to set baselines and targets based on individual age ranges (i.e., separate baseline and targets for each age), or inclusive of all children ages 3, 4, and 5. </w:t>
      </w:r>
    </w:p>
    <w:p w14:paraId="26016151" w14:textId="77777777" w:rsidR="00794672" w:rsidRPr="00781112" w:rsidRDefault="00794672" w:rsidP="00794672">
      <w:pPr>
        <w:rPr>
          <w:color w:val="000000" w:themeColor="text1"/>
        </w:rPr>
      </w:pPr>
      <w:r w:rsidRPr="00781112">
        <w:rPr>
          <w:rFonts w:cs="Arial"/>
          <w:color w:val="000000" w:themeColor="text1"/>
          <w:szCs w:val="16"/>
        </w:rPr>
        <w:t>Inclusive Targets</w:t>
      </w:r>
    </w:p>
    <w:p w14:paraId="1DFF2D74" w14:textId="77777777" w:rsidR="00794672" w:rsidRPr="001C443D" w:rsidRDefault="00E20E93" w:rsidP="001C443D">
      <w:pPr>
        <w:rPr>
          <w:b/>
          <w:bCs/>
        </w:rPr>
      </w:pPr>
      <w:r w:rsidRPr="001C443D">
        <w:rPr>
          <w:b/>
          <w:bCs/>
        </w:rPr>
        <w:t>Please select if the State wants to use target ranges for 6C.</w:t>
      </w:r>
    </w:p>
    <w:p w14:paraId="617F8A7D" w14:textId="77777777" w:rsidR="00794672" w:rsidRDefault="00794672" w:rsidP="00794672">
      <w:pPr>
        <w:rPr>
          <w:rFonts w:cs="Arial"/>
          <w:color w:val="000000" w:themeColor="text1"/>
          <w:szCs w:val="16"/>
        </w:rPr>
      </w:pPr>
      <w:r w:rsidRPr="00781112">
        <w:rPr>
          <w:rFonts w:cs="Arial"/>
          <w:color w:val="000000" w:themeColor="text1"/>
          <w:szCs w:val="16"/>
        </w:rPr>
        <w:t>Target Range not used</w:t>
      </w:r>
    </w:p>
    <w:p w14:paraId="74F0C4F5" w14:textId="77777777" w:rsidR="0073461B" w:rsidRDefault="0073461B" w:rsidP="0073461B">
      <w:pPr>
        <w:pStyle w:val="Subhed"/>
        <w:rPr>
          <w:b w:val="0"/>
          <w:bCs/>
          <w:color w:val="C00000"/>
        </w:rPr>
      </w:pPr>
    </w:p>
    <w:p w14:paraId="53C0EC41" w14:textId="77777777" w:rsidR="004D796B" w:rsidRPr="00781112" w:rsidRDefault="004D796B" w:rsidP="004369B2">
      <w:pPr>
        <w:rPr>
          <w:color w:val="000000" w:themeColor="text1"/>
        </w:rPr>
      </w:pPr>
    </w:p>
    <w:p w14:paraId="2B346031" w14:textId="77777777" w:rsidR="008C34A2" w:rsidRPr="0075451F" w:rsidRDefault="008C34A2" w:rsidP="008C34A2">
      <w:pPr>
        <w:pStyle w:val="Subhed"/>
        <w:rPr>
          <w:b w:val="0"/>
        </w:rPr>
      </w:pPr>
      <w:r>
        <w:t>Baselines for Inclusive Targets option (A, B, C)</w:t>
      </w:r>
    </w:p>
    <w:tbl>
      <w:tblPr>
        <w:tblW w:w="25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6BASELINEDATAINCL"/>
      </w:tblPr>
      <w:tblGrid>
        <w:gridCol w:w="1436"/>
        <w:gridCol w:w="2025"/>
        <w:gridCol w:w="2025"/>
      </w:tblGrid>
      <w:tr w:rsidR="008C34A2" w:rsidRPr="00781112" w14:paraId="62EF2121" w14:textId="77777777" w:rsidTr="00DF5DC9">
        <w:trPr>
          <w:trHeight w:val="485"/>
          <w:tblHeader/>
        </w:trPr>
        <w:tc>
          <w:tcPr>
            <w:tcW w:w="1436" w:type="dxa"/>
            <w:tcBorders>
              <w:top w:val="single" w:sz="4" w:space="0" w:color="auto"/>
              <w:left w:val="single" w:sz="4" w:space="0" w:color="auto"/>
              <w:bottom w:val="single" w:sz="4" w:space="0" w:color="auto"/>
              <w:right w:val="single" w:sz="4" w:space="0" w:color="auto"/>
            </w:tcBorders>
          </w:tcPr>
          <w:p w14:paraId="135B04D5" w14:textId="77777777" w:rsidR="008C34A2" w:rsidRPr="00781112" w:rsidRDefault="008C34A2" w:rsidP="00DF5DC9">
            <w:pPr>
              <w:spacing w:line="276" w:lineRule="auto"/>
              <w:jc w:val="center"/>
              <w:rPr>
                <w:rFonts w:cs="Arial"/>
                <w:b/>
                <w:color w:val="000000" w:themeColor="text1"/>
                <w:szCs w:val="16"/>
              </w:rPr>
            </w:pPr>
            <w:r w:rsidRPr="00781112">
              <w:rPr>
                <w:rFonts w:cs="Arial"/>
                <w:b/>
                <w:color w:val="000000" w:themeColor="text1"/>
                <w:szCs w:val="16"/>
              </w:rPr>
              <w:t>Part</w:t>
            </w:r>
          </w:p>
        </w:tc>
        <w:tc>
          <w:tcPr>
            <w:tcW w:w="2025" w:type="dxa"/>
            <w:tcBorders>
              <w:top w:val="single" w:sz="4" w:space="0" w:color="auto"/>
              <w:left w:val="single" w:sz="4" w:space="0" w:color="auto"/>
              <w:bottom w:val="single" w:sz="4" w:space="0" w:color="auto"/>
              <w:right w:val="single" w:sz="4" w:space="0" w:color="auto"/>
            </w:tcBorders>
          </w:tcPr>
          <w:p w14:paraId="25D5085E" w14:textId="77777777" w:rsidR="008C34A2" w:rsidRPr="00781112" w:rsidRDefault="008C34A2" w:rsidP="00DF5DC9">
            <w:pPr>
              <w:spacing w:line="276" w:lineRule="auto"/>
              <w:jc w:val="center"/>
              <w:rPr>
                <w:rFonts w:cs="Arial"/>
                <w:b/>
                <w:color w:val="000000" w:themeColor="text1"/>
                <w:szCs w:val="16"/>
              </w:rPr>
            </w:pPr>
            <w:r w:rsidRPr="00781112">
              <w:rPr>
                <w:rFonts w:cs="Arial"/>
                <w:b/>
                <w:color w:val="000000" w:themeColor="text1"/>
                <w:szCs w:val="16"/>
              </w:rPr>
              <w:t>Baseline  Year</w:t>
            </w:r>
          </w:p>
        </w:tc>
        <w:tc>
          <w:tcPr>
            <w:tcW w:w="2025" w:type="dxa"/>
            <w:tcBorders>
              <w:top w:val="single" w:sz="4" w:space="0" w:color="auto"/>
              <w:left w:val="single" w:sz="4" w:space="0" w:color="auto"/>
              <w:bottom w:val="single" w:sz="4" w:space="0" w:color="auto"/>
              <w:right w:val="single" w:sz="4" w:space="0" w:color="auto"/>
            </w:tcBorders>
          </w:tcPr>
          <w:p w14:paraId="78AEBF55" w14:textId="77777777" w:rsidR="008C34A2" w:rsidRPr="00781112" w:rsidRDefault="008C34A2" w:rsidP="00DF5DC9">
            <w:pPr>
              <w:spacing w:line="276" w:lineRule="auto"/>
              <w:jc w:val="center"/>
              <w:rPr>
                <w:rFonts w:cs="Arial"/>
                <w:b/>
                <w:color w:val="000000" w:themeColor="text1"/>
                <w:szCs w:val="16"/>
              </w:rPr>
            </w:pPr>
            <w:r w:rsidRPr="00781112">
              <w:rPr>
                <w:rFonts w:cs="Arial"/>
                <w:b/>
                <w:color w:val="000000" w:themeColor="text1"/>
                <w:szCs w:val="16"/>
              </w:rPr>
              <w:t>Baseline Data</w:t>
            </w:r>
          </w:p>
        </w:tc>
      </w:tr>
      <w:tr w:rsidR="008C34A2" w:rsidRPr="00781112" w14:paraId="00AE0A4A" w14:textId="77777777" w:rsidTr="00DF5DC9">
        <w:trPr>
          <w:trHeight w:val="357"/>
        </w:trPr>
        <w:tc>
          <w:tcPr>
            <w:tcW w:w="1436" w:type="dxa"/>
            <w:tcBorders>
              <w:top w:val="single" w:sz="4" w:space="0" w:color="auto"/>
              <w:left w:val="single" w:sz="4" w:space="0" w:color="auto"/>
              <w:right w:val="single" w:sz="4" w:space="0" w:color="auto"/>
            </w:tcBorders>
            <w:vAlign w:val="center"/>
          </w:tcPr>
          <w:p w14:paraId="0AD6D592"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A</w:t>
            </w:r>
          </w:p>
        </w:tc>
        <w:tc>
          <w:tcPr>
            <w:tcW w:w="2025" w:type="dxa"/>
            <w:tcBorders>
              <w:top w:val="single" w:sz="4" w:space="0" w:color="auto"/>
              <w:left w:val="single" w:sz="4" w:space="0" w:color="auto"/>
              <w:right w:val="single" w:sz="4" w:space="0" w:color="auto"/>
            </w:tcBorders>
          </w:tcPr>
          <w:p w14:paraId="6ECBE8B3"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2020</w:t>
            </w:r>
          </w:p>
        </w:tc>
        <w:tc>
          <w:tcPr>
            <w:tcW w:w="2025" w:type="dxa"/>
            <w:tcBorders>
              <w:top w:val="single" w:sz="4" w:space="0" w:color="auto"/>
              <w:left w:val="single" w:sz="4" w:space="0" w:color="auto"/>
              <w:right w:val="single" w:sz="4" w:space="0" w:color="auto"/>
            </w:tcBorders>
          </w:tcPr>
          <w:p w14:paraId="1FAB10BE"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49.24%</w:t>
            </w:r>
          </w:p>
        </w:tc>
      </w:tr>
      <w:tr w:rsidR="008C34A2" w:rsidRPr="00781112" w14:paraId="444AFB47" w14:textId="77777777" w:rsidTr="00DF5DC9">
        <w:trPr>
          <w:trHeight w:val="357"/>
        </w:trPr>
        <w:tc>
          <w:tcPr>
            <w:tcW w:w="1436" w:type="dxa"/>
            <w:tcBorders>
              <w:top w:val="single" w:sz="4" w:space="0" w:color="auto"/>
              <w:left w:val="single" w:sz="4" w:space="0" w:color="auto"/>
              <w:right w:val="single" w:sz="4" w:space="0" w:color="auto"/>
            </w:tcBorders>
            <w:vAlign w:val="center"/>
          </w:tcPr>
          <w:p w14:paraId="2FCD7461"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B</w:t>
            </w:r>
          </w:p>
        </w:tc>
        <w:tc>
          <w:tcPr>
            <w:tcW w:w="2025" w:type="dxa"/>
            <w:tcBorders>
              <w:top w:val="single" w:sz="4" w:space="0" w:color="auto"/>
              <w:left w:val="single" w:sz="4" w:space="0" w:color="auto"/>
              <w:right w:val="single" w:sz="4" w:space="0" w:color="auto"/>
            </w:tcBorders>
          </w:tcPr>
          <w:p w14:paraId="77F66941"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2020</w:t>
            </w:r>
          </w:p>
        </w:tc>
        <w:tc>
          <w:tcPr>
            <w:tcW w:w="2025" w:type="dxa"/>
            <w:tcBorders>
              <w:top w:val="single" w:sz="4" w:space="0" w:color="auto"/>
              <w:left w:val="single" w:sz="4" w:space="0" w:color="auto"/>
              <w:right w:val="single" w:sz="4" w:space="0" w:color="auto"/>
            </w:tcBorders>
          </w:tcPr>
          <w:p w14:paraId="4330DAE9"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9.67%</w:t>
            </w:r>
          </w:p>
        </w:tc>
      </w:tr>
      <w:tr w:rsidR="008C34A2" w:rsidRPr="00781112" w14:paraId="6069458C" w14:textId="77777777" w:rsidTr="00DF5DC9">
        <w:trPr>
          <w:trHeight w:val="85"/>
        </w:trPr>
        <w:tc>
          <w:tcPr>
            <w:tcW w:w="1436" w:type="dxa"/>
            <w:tcBorders>
              <w:left w:val="single" w:sz="4" w:space="0" w:color="auto"/>
              <w:right w:val="single" w:sz="4" w:space="0" w:color="auto"/>
            </w:tcBorders>
            <w:vAlign w:val="center"/>
          </w:tcPr>
          <w:p w14:paraId="0B96BC72"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C</w:t>
            </w:r>
          </w:p>
        </w:tc>
        <w:tc>
          <w:tcPr>
            <w:tcW w:w="2025" w:type="dxa"/>
            <w:tcBorders>
              <w:left w:val="single" w:sz="4" w:space="0" w:color="auto"/>
              <w:right w:val="single" w:sz="4" w:space="0" w:color="auto"/>
            </w:tcBorders>
          </w:tcPr>
          <w:p w14:paraId="30C8193D"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2020</w:t>
            </w:r>
          </w:p>
        </w:tc>
        <w:tc>
          <w:tcPr>
            <w:tcW w:w="2025" w:type="dxa"/>
            <w:tcBorders>
              <w:left w:val="single" w:sz="4" w:space="0" w:color="auto"/>
              <w:right w:val="single" w:sz="4" w:space="0" w:color="auto"/>
            </w:tcBorders>
          </w:tcPr>
          <w:p w14:paraId="077CF901"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2.26%</w:t>
            </w:r>
          </w:p>
        </w:tc>
      </w:tr>
    </w:tbl>
    <w:p w14:paraId="419DEFD0" w14:textId="77777777" w:rsidR="008C34A2" w:rsidRPr="00992ACE" w:rsidRDefault="008C34A2" w:rsidP="00992ACE">
      <w:pPr>
        <w:rPr>
          <w:rFonts w:cs="Arial"/>
          <w:color w:val="000000" w:themeColor="text1"/>
          <w:szCs w:val="16"/>
        </w:rPr>
      </w:pPr>
    </w:p>
    <w:p w14:paraId="6305E43D" w14:textId="77777777" w:rsidR="0059735F" w:rsidRPr="00781112" w:rsidRDefault="0059735F" w:rsidP="0059735F">
      <w:pPr>
        <w:rPr>
          <w:b/>
          <w:bCs/>
          <w:color w:val="000000" w:themeColor="text1"/>
        </w:rPr>
      </w:pPr>
      <w:r w:rsidRPr="00781112">
        <w:rPr>
          <w:b/>
          <w:bCs/>
        </w:rPr>
        <w:t>Inclusive Targets – 6A, 6B</w:t>
      </w:r>
    </w:p>
    <w:tbl>
      <w:tblPr>
        <w:tblW w:w="1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ABTARGETSINCL"/>
      </w:tblPr>
      <w:tblGrid>
        <w:gridCol w:w="1078"/>
        <w:gridCol w:w="1617"/>
        <w:gridCol w:w="1617"/>
      </w:tblGrid>
      <w:tr w:rsidR="008B52D3" w:rsidRPr="00781112" w14:paraId="51D33809" w14:textId="77777777" w:rsidTr="00924AD9">
        <w:trPr>
          <w:trHeight w:val="297"/>
        </w:trPr>
        <w:tc>
          <w:tcPr>
            <w:tcW w:w="1250" w:type="pct"/>
            <w:tcBorders>
              <w:bottom w:val="single" w:sz="4" w:space="0" w:color="auto"/>
            </w:tcBorders>
          </w:tcPr>
          <w:p w14:paraId="7411E4A7" w14:textId="77777777" w:rsidR="008B52D3" w:rsidRPr="00781112" w:rsidRDefault="008B52D3" w:rsidP="00D62058">
            <w:pPr>
              <w:jc w:val="center"/>
              <w:rPr>
                <w:b/>
                <w:color w:val="000000" w:themeColor="text1"/>
              </w:rPr>
            </w:pPr>
            <w:r w:rsidRPr="00781112">
              <w:rPr>
                <w:b/>
                <w:color w:val="000000" w:themeColor="text1"/>
              </w:rPr>
              <w:t>FFY</w:t>
            </w:r>
          </w:p>
        </w:tc>
        <w:tc>
          <w:tcPr>
            <w:tcW w:w="1875" w:type="pct"/>
          </w:tcPr>
          <w:p w14:paraId="6D7DDB78" w14:textId="77777777" w:rsidR="008B52D3" w:rsidRPr="00781112" w:rsidRDefault="008B52D3" w:rsidP="00D62058">
            <w:pPr>
              <w:jc w:val="center"/>
              <w:rPr>
                <w:b/>
                <w:color w:val="000000" w:themeColor="text1"/>
              </w:rPr>
            </w:pPr>
            <w:r w:rsidRPr="00781112">
              <w:rPr>
                <w:b/>
                <w:color w:val="000000" w:themeColor="text1"/>
              </w:rPr>
              <w:t>2024</w:t>
            </w:r>
          </w:p>
        </w:tc>
        <w:tc>
          <w:tcPr>
            <w:tcW w:w="1875" w:type="pct"/>
          </w:tcPr>
          <w:p w14:paraId="10596DBA" w14:textId="77777777" w:rsidR="008B52D3" w:rsidRPr="00781112" w:rsidRDefault="008B52D3" w:rsidP="00360DD6">
            <w:pPr>
              <w:jc w:val="center"/>
              <w:rPr>
                <w:b/>
                <w:color w:val="000000" w:themeColor="text1"/>
              </w:rPr>
            </w:pPr>
            <w:r w:rsidRPr="00781112">
              <w:rPr>
                <w:b/>
                <w:color w:val="000000" w:themeColor="text1"/>
              </w:rPr>
              <w:t>2025</w:t>
            </w:r>
          </w:p>
        </w:tc>
      </w:tr>
      <w:tr w:rsidR="008B52D3" w:rsidRPr="00781112" w14:paraId="307AB389" w14:textId="77777777" w:rsidTr="00924AD9">
        <w:trPr>
          <w:trHeight w:val="303"/>
        </w:trPr>
        <w:tc>
          <w:tcPr>
            <w:tcW w:w="1250" w:type="pct"/>
            <w:vAlign w:val="center"/>
          </w:tcPr>
          <w:p w14:paraId="2F198557" w14:textId="77777777" w:rsidR="008B52D3" w:rsidRPr="00781112" w:rsidRDefault="008B52D3" w:rsidP="00BA3DBE">
            <w:pPr>
              <w:jc w:val="center"/>
              <w:rPr>
                <w:rFonts w:cs="Arial"/>
                <w:color w:val="000000" w:themeColor="text1"/>
                <w:szCs w:val="16"/>
              </w:rPr>
            </w:pPr>
            <w:r w:rsidRPr="00781112">
              <w:rPr>
                <w:rFonts w:cs="Arial"/>
                <w:color w:val="000000" w:themeColor="text1"/>
                <w:szCs w:val="16"/>
              </w:rPr>
              <w:t>Target A &gt;=</w:t>
            </w:r>
          </w:p>
        </w:tc>
        <w:tc>
          <w:tcPr>
            <w:tcW w:w="1875" w:type="pct"/>
            <w:vAlign w:val="center"/>
          </w:tcPr>
          <w:p w14:paraId="011D2CCE" w14:textId="77777777" w:rsidR="008B52D3" w:rsidRPr="00781112" w:rsidRDefault="008B52D3" w:rsidP="00D62058">
            <w:pPr>
              <w:jc w:val="center"/>
              <w:rPr>
                <w:rFonts w:cs="Arial"/>
                <w:color w:val="000000" w:themeColor="text1"/>
                <w:szCs w:val="16"/>
              </w:rPr>
            </w:pPr>
            <w:r w:rsidRPr="00781112">
              <w:rPr>
                <w:rFonts w:cs="Arial"/>
                <w:color w:val="000000" w:themeColor="text1"/>
                <w:szCs w:val="16"/>
              </w:rPr>
              <w:t>51.25%</w:t>
            </w:r>
          </w:p>
        </w:tc>
        <w:tc>
          <w:tcPr>
            <w:tcW w:w="1875" w:type="pct"/>
          </w:tcPr>
          <w:p w14:paraId="574C9847" w14:textId="77777777" w:rsidR="008B52D3" w:rsidRPr="00781112" w:rsidRDefault="008B52D3" w:rsidP="00360DD6">
            <w:pPr>
              <w:jc w:val="center"/>
              <w:rPr>
                <w:rFonts w:cs="Arial"/>
                <w:color w:val="000000" w:themeColor="text1"/>
                <w:szCs w:val="16"/>
              </w:rPr>
            </w:pPr>
            <w:r w:rsidRPr="00781112">
              <w:rPr>
                <w:rFonts w:cs="Arial"/>
                <w:color w:val="000000" w:themeColor="text1"/>
                <w:szCs w:val="16"/>
              </w:rPr>
              <w:t>51.75%</w:t>
            </w:r>
          </w:p>
        </w:tc>
      </w:tr>
      <w:tr w:rsidR="008B52D3" w:rsidRPr="00781112" w14:paraId="07E0E664" w14:textId="77777777" w:rsidTr="00924AD9">
        <w:trPr>
          <w:trHeight w:val="303"/>
        </w:trPr>
        <w:tc>
          <w:tcPr>
            <w:tcW w:w="1250" w:type="pct"/>
            <w:vAlign w:val="center"/>
          </w:tcPr>
          <w:p w14:paraId="6E46689B" w14:textId="77777777" w:rsidR="008B52D3" w:rsidRPr="00781112" w:rsidRDefault="008B52D3" w:rsidP="00BA3DBE">
            <w:pPr>
              <w:jc w:val="center"/>
              <w:rPr>
                <w:rFonts w:cs="Arial"/>
                <w:color w:val="000000" w:themeColor="text1"/>
                <w:szCs w:val="16"/>
              </w:rPr>
            </w:pPr>
            <w:r w:rsidRPr="00781112">
              <w:rPr>
                <w:rFonts w:cs="Arial"/>
                <w:color w:val="000000" w:themeColor="text1"/>
                <w:szCs w:val="16"/>
              </w:rPr>
              <w:t>Target B &lt;=</w:t>
            </w:r>
          </w:p>
        </w:tc>
        <w:tc>
          <w:tcPr>
            <w:tcW w:w="1875" w:type="pct"/>
            <w:vAlign w:val="center"/>
          </w:tcPr>
          <w:p w14:paraId="1E27FA59" w14:textId="77777777" w:rsidR="008B52D3" w:rsidRPr="00781112" w:rsidRDefault="008B52D3" w:rsidP="00D62058">
            <w:pPr>
              <w:jc w:val="center"/>
              <w:rPr>
                <w:rFonts w:cs="Arial"/>
                <w:color w:val="000000" w:themeColor="text1"/>
                <w:szCs w:val="16"/>
              </w:rPr>
            </w:pPr>
            <w:r w:rsidRPr="00781112">
              <w:rPr>
                <w:rFonts w:cs="Arial"/>
                <w:color w:val="000000" w:themeColor="text1"/>
                <w:szCs w:val="16"/>
              </w:rPr>
              <w:t>9.20%</w:t>
            </w:r>
          </w:p>
        </w:tc>
        <w:tc>
          <w:tcPr>
            <w:tcW w:w="1875" w:type="pct"/>
          </w:tcPr>
          <w:p w14:paraId="7EBBDB81" w14:textId="77777777" w:rsidR="008B52D3" w:rsidRPr="00781112" w:rsidRDefault="008B52D3" w:rsidP="00360DD6">
            <w:pPr>
              <w:jc w:val="center"/>
              <w:rPr>
                <w:rFonts w:cs="Arial"/>
                <w:color w:val="000000" w:themeColor="text1"/>
                <w:szCs w:val="16"/>
              </w:rPr>
            </w:pPr>
            <w:r w:rsidRPr="00781112">
              <w:rPr>
                <w:rFonts w:cs="Arial"/>
                <w:color w:val="000000" w:themeColor="text1"/>
                <w:szCs w:val="16"/>
              </w:rPr>
              <w:t>9.10%</w:t>
            </w:r>
          </w:p>
        </w:tc>
      </w:tr>
    </w:tbl>
    <w:p w14:paraId="59F34DFD" w14:textId="77777777" w:rsidR="00E428BD" w:rsidRDefault="00E428BD" w:rsidP="004369B2">
      <w:pPr>
        <w:rPr>
          <w:color w:val="000000" w:themeColor="text1"/>
        </w:rPr>
      </w:pPr>
      <w:bookmarkStart w:id="36" w:name="_Toc382082378"/>
      <w:bookmarkStart w:id="37" w:name="_Toc392159302"/>
    </w:p>
    <w:p w14:paraId="6603BD92" w14:textId="77777777" w:rsidR="0040181B" w:rsidRPr="00781112" w:rsidRDefault="0040181B" w:rsidP="0040181B">
      <w:pPr>
        <w:rPr>
          <w:b/>
          <w:bCs/>
          <w:color w:val="000000" w:themeColor="text1"/>
        </w:rPr>
      </w:pPr>
      <w:r w:rsidRPr="00781112">
        <w:rPr>
          <w:b/>
          <w:bCs/>
        </w:rPr>
        <w:t>Inclusive Targets – 6C</w:t>
      </w:r>
    </w:p>
    <w:tbl>
      <w:tblPr>
        <w:tblW w:w="1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CTARGETSINCL"/>
      </w:tblPr>
      <w:tblGrid>
        <w:gridCol w:w="1078"/>
        <w:gridCol w:w="1617"/>
        <w:gridCol w:w="1617"/>
      </w:tblGrid>
      <w:tr w:rsidR="008B52D3" w:rsidRPr="00781112" w14:paraId="2B3BE882" w14:textId="77777777" w:rsidTr="00924AD9">
        <w:trPr>
          <w:trHeight w:val="297"/>
        </w:trPr>
        <w:tc>
          <w:tcPr>
            <w:tcW w:w="1250" w:type="pct"/>
            <w:tcBorders>
              <w:bottom w:val="single" w:sz="4" w:space="0" w:color="auto"/>
            </w:tcBorders>
          </w:tcPr>
          <w:p w14:paraId="388C8200" w14:textId="77777777" w:rsidR="008B52D3" w:rsidRPr="00781112" w:rsidRDefault="008B52D3" w:rsidP="00992ACE">
            <w:pPr>
              <w:jc w:val="center"/>
              <w:rPr>
                <w:b/>
                <w:color w:val="000000" w:themeColor="text1"/>
              </w:rPr>
            </w:pPr>
            <w:r w:rsidRPr="00781112">
              <w:rPr>
                <w:b/>
                <w:color w:val="000000" w:themeColor="text1"/>
              </w:rPr>
              <w:t>FFY</w:t>
            </w:r>
          </w:p>
        </w:tc>
        <w:tc>
          <w:tcPr>
            <w:tcW w:w="1875" w:type="pct"/>
          </w:tcPr>
          <w:p w14:paraId="01640C6D" w14:textId="77777777" w:rsidR="008B52D3" w:rsidRPr="00781112" w:rsidRDefault="008B52D3" w:rsidP="00992ACE">
            <w:pPr>
              <w:jc w:val="center"/>
              <w:rPr>
                <w:b/>
                <w:color w:val="000000" w:themeColor="text1"/>
              </w:rPr>
            </w:pPr>
            <w:r w:rsidRPr="00781112">
              <w:rPr>
                <w:b/>
                <w:color w:val="000000" w:themeColor="text1"/>
              </w:rPr>
              <w:t>2024</w:t>
            </w:r>
          </w:p>
        </w:tc>
        <w:tc>
          <w:tcPr>
            <w:tcW w:w="1875" w:type="pct"/>
          </w:tcPr>
          <w:p w14:paraId="763D5D94" w14:textId="77777777" w:rsidR="008B52D3" w:rsidRPr="00781112" w:rsidRDefault="008B52D3" w:rsidP="00992ACE">
            <w:pPr>
              <w:jc w:val="center"/>
              <w:rPr>
                <w:b/>
                <w:color w:val="000000" w:themeColor="text1"/>
              </w:rPr>
            </w:pPr>
            <w:r w:rsidRPr="00781112">
              <w:rPr>
                <w:b/>
                <w:color w:val="000000" w:themeColor="text1"/>
              </w:rPr>
              <w:t>2025</w:t>
            </w:r>
          </w:p>
        </w:tc>
      </w:tr>
      <w:tr w:rsidR="008B52D3" w:rsidRPr="00781112" w14:paraId="244C982E" w14:textId="77777777" w:rsidTr="00924AD9">
        <w:trPr>
          <w:trHeight w:val="303"/>
        </w:trPr>
        <w:tc>
          <w:tcPr>
            <w:tcW w:w="1250" w:type="pct"/>
            <w:vAlign w:val="center"/>
          </w:tcPr>
          <w:p w14:paraId="34539E44" w14:textId="77777777" w:rsidR="008B52D3" w:rsidRPr="00781112" w:rsidRDefault="008B52D3" w:rsidP="00BA3DBE">
            <w:pPr>
              <w:jc w:val="center"/>
              <w:rPr>
                <w:rFonts w:cs="Arial"/>
                <w:color w:val="000000" w:themeColor="text1"/>
                <w:szCs w:val="16"/>
              </w:rPr>
            </w:pPr>
            <w:r w:rsidRPr="00781112">
              <w:rPr>
                <w:rFonts w:cs="Arial"/>
                <w:color w:val="000000" w:themeColor="text1"/>
                <w:szCs w:val="16"/>
              </w:rPr>
              <w:t>Target C &lt;=</w:t>
            </w:r>
          </w:p>
        </w:tc>
        <w:tc>
          <w:tcPr>
            <w:tcW w:w="1875" w:type="pct"/>
            <w:vAlign w:val="center"/>
          </w:tcPr>
          <w:p w14:paraId="06EB64C8" w14:textId="77777777" w:rsidR="008B52D3" w:rsidRPr="00781112" w:rsidRDefault="008B52D3" w:rsidP="00992ACE">
            <w:pPr>
              <w:jc w:val="center"/>
              <w:rPr>
                <w:rFonts w:cs="Arial"/>
                <w:color w:val="000000" w:themeColor="text1"/>
                <w:szCs w:val="16"/>
              </w:rPr>
            </w:pPr>
            <w:r w:rsidRPr="00781112">
              <w:rPr>
                <w:rFonts w:cs="Arial"/>
                <w:color w:val="000000" w:themeColor="text1"/>
                <w:szCs w:val="16"/>
              </w:rPr>
              <w:t>2.22%</w:t>
            </w:r>
          </w:p>
        </w:tc>
        <w:tc>
          <w:tcPr>
            <w:tcW w:w="1875" w:type="pct"/>
          </w:tcPr>
          <w:p w14:paraId="0F860A7A" w14:textId="77777777" w:rsidR="008B52D3" w:rsidRPr="00781112" w:rsidRDefault="008B52D3" w:rsidP="00992ACE">
            <w:pPr>
              <w:jc w:val="center"/>
              <w:rPr>
                <w:rFonts w:cs="Arial"/>
                <w:color w:val="000000" w:themeColor="text1"/>
                <w:szCs w:val="16"/>
              </w:rPr>
            </w:pPr>
            <w:r w:rsidRPr="00781112">
              <w:rPr>
                <w:rFonts w:cs="Arial"/>
                <w:color w:val="000000" w:themeColor="text1"/>
                <w:szCs w:val="16"/>
              </w:rPr>
              <w:t>2.21%</w:t>
            </w:r>
          </w:p>
        </w:tc>
      </w:tr>
    </w:tbl>
    <w:p w14:paraId="2976D67B" w14:textId="77777777" w:rsidR="0040181B" w:rsidRPr="00781112" w:rsidRDefault="0040181B" w:rsidP="0040181B">
      <w:pPr>
        <w:rPr>
          <w:color w:val="000000" w:themeColor="text1"/>
        </w:rPr>
      </w:pPr>
    </w:p>
    <w:p w14:paraId="4F0F083F" w14:textId="77777777" w:rsidR="008751D3" w:rsidRPr="00781112" w:rsidRDefault="008751D3" w:rsidP="004369B2">
      <w:pPr>
        <w:rPr>
          <w:b/>
          <w:color w:val="000000" w:themeColor="text1"/>
        </w:rPr>
      </w:pPr>
      <w:r w:rsidRPr="00781112">
        <w:rPr>
          <w:b/>
          <w:color w:val="000000" w:themeColor="text1"/>
        </w:rPr>
        <w:t>Prepopulated Data</w:t>
      </w:r>
    </w:p>
    <w:p w14:paraId="0EBC3161" w14:textId="77777777" w:rsidR="004F4564" w:rsidRPr="00781112" w:rsidRDefault="004F4564" w:rsidP="004F4564">
      <w:pPr>
        <w:rPr>
          <w:rFonts w:cs="Arial"/>
          <w:b/>
          <w:color w:val="000000" w:themeColor="text1"/>
          <w:szCs w:val="16"/>
        </w:rPr>
      </w:pPr>
      <w:r w:rsidRPr="00781112">
        <w:rPr>
          <w:rFonts w:cs="Arial"/>
          <w:b/>
          <w:color w:val="000000" w:themeColor="text1"/>
          <w:szCs w:val="16"/>
        </w:rPr>
        <w:t xml:space="preserve">Data Source:  </w:t>
      </w:r>
    </w:p>
    <w:p w14:paraId="64BF1D91" w14:textId="77777777" w:rsidR="004F4564" w:rsidRPr="00781112" w:rsidRDefault="004F4564" w:rsidP="004F4564">
      <w:pPr>
        <w:rPr>
          <w:rFonts w:cs="Arial"/>
          <w:color w:val="000000" w:themeColor="text1"/>
          <w:szCs w:val="16"/>
        </w:rPr>
      </w:pPr>
      <w:r w:rsidRPr="00781112">
        <w:rPr>
          <w:rFonts w:cs="Arial"/>
          <w:color w:val="000000" w:themeColor="text1"/>
          <w:szCs w:val="16"/>
        </w:rPr>
        <w:t>SY 2024-25 Children with Disabilities (IDEA) Early Childhood (</w:t>
      </w:r>
      <w:proofErr w:type="spellStart"/>
      <w:r w:rsidRPr="00781112">
        <w:rPr>
          <w:rFonts w:cs="Arial"/>
          <w:color w:val="000000" w:themeColor="text1"/>
          <w:szCs w:val="16"/>
        </w:rPr>
        <w:t>EDFacts</w:t>
      </w:r>
      <w:proofErr w:type="spellEnd"/>
      <w:r w:rsidRPr="00781112">
        <w:rPr>
          <w:rFonts w:cs="Arial"/>
          <w:color w:val="000000" w:themeColor="text1"/>
          <w:szCs w:val="16"/>
        </w:rPr>
        <w:t xml:space="preserve"> file spec FS089; Data group 613)</w:t>
      </w:r>
    </w:p>
    <w:p w14:paraId="12DE40E2" w14:textId="77777777" w:rsidR="004F4564" w:rsidRPr="00781112" w:rsidRDefault="004F4564" w:rsidP="004F4564">
      <w:pPr>
        <w:rPr>
          <w:rFonts w:cs="Arial"/>
          <w:b/>
          <w:color w:val="000000" w:themeColor="text1"/>
          <w:szCs w:val="16"/>
        </w:rPr>
      </w:pPr>
      <w:r w:rsidRPr="00781112">
        <w:rPr>
          <w:rFonts w:cs="Arial"/>
          <w:b/>
          <w:color w:val="000000" w:themeColor="text1"/>
          <w:szCs w:val="16"/>
        </w:rPr>
        <w:t xml:space="preserve">Date: </w:t>
      </w:r>
    </w:p>
    <w:p w14:paraId="736BE595" w14:textId="77777777" w:rsidR="004F4564" w:rsidRPr="00781112" w:rsidRDefault="004F4564" w:rsidP="004F4564">
      <w:pPr>
        <w:rPr>
          <w:rFonts w:cs="Arial"/>
          <w:color w:val="000000" w:themeColor="text1"/>
          <w:szCs w:val="16"/>
        </w:rPr>
      </w:pPr>
      <w:r w:rsidRPr="00781112">
        <w:rPr>
          <w:rFonts w:cs="Arial"/>
          <w:color w:val="000000" w:themeColor="text1"/>
          <w:szCs w:val="16"/>
        </w:rPr>
        <w:t>07/30/2025</w:t>
      </w:r>
    </w:p>
    <w:p w14:paraId="0D5369E9" w14:textId="77777777" w:rsidR="004F4564" w:rsidRPr="00781112" w:rsidRDefault="004F4564"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06PREPOPDATA"/>
      </w:tblPr>
      <w:tblGrid>
        <w:gridCol w:w="3348"/>
        <w:gridCol w:w="1862"/>
        <w:gridCol w:w="1862"/>
        <w:gridCol w:w="1862"/>
        <w:gridCol w:w="1856"/>
      </w:tblGrid>
      <w:tr w:rsidR="00E25159" w:rsidRPr="00781112" w14:paraId="157DF1C3" w14:textId="77777777" w:rsidTr="00360DD6">
        <w:trPr>
          <w:cantSplit/>
          <w:tblHeader/>
        </w:trPr>
        <w:tc>
          <w:tcPr>
            <w:tcW w:w="1551" w:type="pct"/>
          </w:tcPr>
          <w:p w14:paraId="5412CEF5" w14:textId="77777777" w:rsidR="00E25159" w:rsidRPr="00781112" w:rsidRDefault="00E25159" w:rsidP="009C613A">
            <w:pPr>
              <w:spacing w:after="0"/>
              <w:jc w:val="center"/>
              <w:rPr>
                <w:rFonts w:cs="Arial"/>
                <w:b/>
                <w:color w:val="000000" w:themeColor="text1"/>
                <w:szCs w:val="16"/>
              </w:rPr>
            </w:pPr>
            <w:r w:rsidRPr="00781112">
              <w:rPr>
                <w:rFonts w:cs="Arial"/>
                <w:b/>
                <w:color w:val="000000" w:themeColor="text1"/>
                <w:szCs w:val="16"/>
              </w:rPr>
              <w:t>Description</w:t>
            </w:r>
          </w:p>
        </w:tc>
        <w:tc>
          <w:tcPr>
            <w:tcW w:w="863" w:type="pct"/>
          </w:tcPr>
          <w:p w14:paraId="709A797F" w14:textId="77777777"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3</w:t>
            </w:r>
          </w:p>
        </w:tc>
        <w:tc>
          <w:tcPr>
            <w:tcW w:w="863" w:type="pct"/>
          </w:tcPr>
          <w:p w14:paraId="7133FDF0" w14:textId="77777777"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4</w:t>
            </w:r>
          </w:p>
        </w:tc>
        <w:tc>
          <w:tcPr>
            <w:tcW w:w="863" w:type="pct"/>
          </w:tcPr>
          <w:p w14:paraId="72A1C351" w14:textId="77777777"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5</w:t>
            </w:r>
          </w:p>
        </w:tc>
        <w:tc>
          <w:tcPr>
            <w:tcW w:w="860" w:type="pct"/>
          </w:tcPr>
          <w:p w14:paraId="42CEE041" w14:textId="77777777" w:rsidR="00E25159" w:rsidRPr="00781112" w:rsidRDefault="00BB48E9" w:rsidP="009C613A">
            <w:pPr>
              <w:spacing w:after="0"/>
              <w:jc w:val="center"/>
              <w:rPr>
                <w:rFonts w:cs="Arial"/>
                <w:b/>
                <w:color w:val="000000" w:themeColor="text1"/>
                <w:szCs w:val="16"/>
              </w:rPr>
            </w:pPr>
            <w:r w:rsidRPr="00781112">
              <w:rPr>
                <w:rFonts w:cs="Arial"/>
                <w:b/>
                <w:szCs w:val="16"/>
              </w:rPr>
              <w:t>3 through 5 - Total</w:t>
            </w:r>
          </w:p>
        </w:tc>
      </w:tr>
      <w:tr w:rsidR="00DC09CA" w:rsidRPr="00781112" w14:paraId="134966FD" w14:textId="77777777" w:rsidTr="00360DD6">
        <w:trPr>
          <w:cantSplit/>
        </w:trPr>
        <w:tc>
          <w:tcPr>
            <w:tcW w:w="1551" w:type="pct"/>
            <w:vAlign w:val="bottom"/>
          </w:tcPr>
          <w:p w14:paraId="1BB078A5" w14:textId="77777777" w:rsidR="00DC09CA" w:rsidRPr="00781112" w:rsidRDefault="00DC09CA" w:rsidP="00DC09CA">
            <w:pPr>
              <w:rPr>
                <w:rFonts w:cs="Arial"/>
                <w:color w:val="000000" w:themeColor="text1"/>
                <w:szCs w:val="16"/>
              </w:rPr>
            </w:pPr>
            <w:r w:rsidRPr="00781112">
              <w:rPr>
                <w:rFonts w:cs="Arial"/>
                <w:color w:val="000000" w:themeColor="text1"/>
                <w:szCs w:val="16"/>
              </w:rPr>
              <w:t>Total number of children with IEPs</w:t>
            </w:r>
          </w:p>
        </w:tc>
        <w:tc>
          <w:tcPr>
            <w:tcW w:w="863" w:type="pct"/>
            <w:vAlign w:val="bottom"/>
          </w:tcPr>
          <w:p w14:paraId="5C110B43" w14:textId="77777777" w:rsidR="00DC09CA" w:rsidRPr="00781112" w:rsidRDefault="00DC09CA" w:rsidP="00DC09CA">
            <w:pPr>
              <w:jc w:val="center"/>
              <w:rPr>
                <w:rFonts w:cs="Arial"/>
                <w:color w:val="000000" w:themeColor="text1"/>
                <w:szCs w:val="16"/>
              </w:rPr>
            </w:pPr>
            <w:r w:rsidRPr="00781112">
              <w:rPr>
                <w:rFonts w:cs="Arial"/>
                <w:color w:val="000000" w:themeColor="text1"/>
                <w:szCs w:val="16"/>
              </w:rPr>
              <w:t>1,148</w:t>
            </w:r>
          </w:p>
        </w:tc>
        <w:tc>
          <w:tcPr>
            <w:tcW w:w="863" w:type="pct"/>
          </w:tcPr>
          <w:p w14:paraId="14E9E175" w14:textId="77777777" w:rsidR="00DC09CA" w:rsidRPr="00781112" w:rsidRDefault="00DC09CA" w:rsidP="00DC09CA">
            <w:pPr>
              <w:jc w:val="center"/>
              <w:rPr>
                <w:rFonts w:cs="Arial"/>
                <w:color w:val="000000" w:themeColor="text1"/>
                <w:szCs w:val="16"/>
              </w:rPr>
            </w:pPr>
            <w:r w:rsidRPr="00781112">
              <w:rPr>
                <w:rFonts w:cs="Arial"/>
                <w:color w:val="000000" w:themeColor="text1"/>
                <w:szCs w:val="16"/>
              </w:rPr>
              <w:t>1,811</w:t>
            </w:r>
          </w:p>
        </w:tc>
        <w:tc>
          <w:tcPr>
            <w:tcW w:w="863" w:type="pct"/>
          </w:tcPr>
          <w:p w14:paraId="6B7B105B" w14:textId="77777777" w:rsidR="00DC09CA" w:rsidRPr="00781112" w:rsidRDefault="00DC09CA" w:rsidP="00DC09CA">
            <w:pPr>
              <w:jc w:val="center"/>
              <w:rPr>
                <w:rFonts w:cs="Arial"/>
                <w:color w:val="000000" w:themeColor="text1"/>
                <w:szCs w:val="16"/>
              </w:rPr>
            </w:pPr>
            <w:r w:rsidRPr="00781112">
              <w:rPr>
                <w:rFonts w:cs="Arial"/>
                <w:color w:val="000000" w:themeColor="text1"/>
                <w:szCs w:val="16"/>
              </w:rPr>
              <w:t>974</w:t>
            </w:r>
          </w:p>
        </w:tc>
        <w:tc>
          <w:tcPr>
            <w:tcW w:w="860" w:type="pct"/>
            <w:vAlign w:val="bottom"/>
          </w:tcPr>
          <w:p w14:paraId="6B2F5E81" w14:textId="77777777" w:rsidR="00DC09CA" w:rsidRPr="00781112" w:rsidRDefault="00DC09CA" w:rsidP="00DC09CA">
            <w:pPr>
              <w:jc w:val="center"/>
              <w:rPr>
                <w:rFonts w:cs="Arial"/>
                <w:color w:val="000000" w:themeColor="text1"/>
                <w:szCs w:val="16"/>
              </w:rPr>
            </w:pPr>
            <w:r w:rsidRPr="00781112">
              <w:rPr>
                <w:rFonts w:cs="Arial"/>
                <w:color w:val="000000" w:themeColor="text1"/>
                <w:szCs w:val="16"/>
              </w:rPr>
              <w:t>3,933</w:t>
            </w:r>
          </w:p>
        </w:tc>
      </w:tr>
      <w:tr w:rsidR="00AA6D68" w:rsidRPr="00781112" w14:paraId="6AF0F2D9" w14:textId="77777777" w:rsidTr="00360DD6">
        <w:trPr>
          <w:cantSplit/>
        </w:trPr>
        <w:tc>
          <w:tcPr>
            <w:tcW w:w="1551" w:type="pct"/>
            <w:vAlign w:val="bottom"/>
          </w:tcPr>
          <w:p w14:paraId="0200AF96" w14:textId="77777777" w:rsidR="00AA6D68" w:rsidRPr="00781112" w:rsidRDefault="00AA6D68" w:rsidP="00AA6D68">
            <w:pPr>
              <w:rPr>
                <w:rFonts w:cs="Arial"/>
                <w:color w:val="000000" w:themeColor="text1"/>
                <w:szCs w:val="16"/>
              </w:rPr>
            </w:pPr>
            <w:r w:rsidRPr="00781112">
              <w:rPr>
                <w:rFonts w:cs="Arial"/>
                <w:color w:val="000000" w:themeColor="text1"/>
                <w:szCs w:val="16"/>
              </w:rPr>
              <w:t>a1. Number of children attending a regular early childhood program and receiving the majority of special education and related services in the regular early childhood program</w:t>
            </w:r>
          </w:p>
        </w:tc>
        <w:tc>
          <w:tcPr>
            <w:tcW w:w="863" w:type="pct"/>
            <w:vAlign w:val="bottom"/>
          </w:tcPr>
          <w:p w14:paraId="6F5CBF64" w14:textId="77777777" w:rsidR="00AA6D68" w:rsidRPr="00781112" w:rsidRDefault="00AA6D68" w:rsidP="00AA6D68">
            <w:pPr>
              <w:jc w:val="center"/>
              <w:rPr>
                <w:rFonts w:cs="Arial"/>
                <w:color w:val="000000" w:themeColor="text1"/>
                <w:szCs w:val="16"/>
              </w:rPr>
            </w:pPr>
            <w:r w:rsidRPr="00781112">
              <w:rPr>
                <w:rFonts w:cs="Arial"/>
                <w:color w:val="000000" w:themeColor="text1"/>
                <w:szCs w:val="16"/>
              </w:rPr>
              <w:t>735</w:t>
            </w:r>
          </w:p>
        </w:tc>
        <w:tc>
          <w:tcPr>
            <w:tcW w:w="863" w:type="pct"/>
            <w:vAlign w:val="bottom"/>
          </w:tcPr>
          <w:p w14:paraId="54275E7C" w14:textId="77777777" w:rsidR="00AA6D68" w:rsidRPr="00781112" w:rsidRDefault="00AA6D68" w:rsidP="00AA6D68">
            <w:pPr>
              <w:jc w:val="center"/>
              <w:rPr>
                <w:rFonts w:cs="Arial"/>
                <w:color w:val="000000" w:themeColor="text1"/>
                <w:szCs w:val="16"/>
              </w:rPr>
            </w:pPr>
            <w:r w:rsidRPr="00781112">
              <w:rPr>
                <w:rFonts w:cs="Arial"/>
                <w:color w:val="000000" w:themeColor="text1"/>
                <w:szCs w:val="16"/>
              </w:rPr>
              <w:t>1,313</w:t>
            </w:r>
          </w:p>
        </w:tc>
        <w:tc>
          <w:tcPr>
            <w:tcW w:w="863" w:type="pct"/>
            <w:vAlign w:val="bottom"/>
          </w:tcPr>
          <w:p w14:paraId="05608EE5" w14:textId="77777777" w:rsidR="00AA6D68" w:rsidRPr="00781112" w:rsidRDefault="00AA6D68" w:rsidP="00AA6D68">
            <w:pPr>
              <w:jc w:val="center"/>
              <w:rPr>
                <w:rFonts w:cs="Arial"/>
                <w:color w:val="000000" w:themeColor="text1"/>
                <w:szCs w:val="16"/>
              </w:rPr>
            </w:pPr>
            <w:r w:rsidRPr="00781112">
              <w:rPr>
                <w:rFonts w:cs="Arial"/>
                <w:color w:val="000000" w:themeColor="text1"/>
                <w:szCs w:val="16"/>
              </w:rPr>
              <w:t>710</w:t>
            </w:r>
          </w:p>
        </w:tc>
        <w:tc>
          <w:tcPr>
            <w:tcW w:w="860" w:type="pct"/>
            <w:vAlign w:val="bottom"/>
          </w:tcPr>
          <w:p w14:paraId="6456A47B" w14:textId="77777777" w:rsidR="00AA6D68" w:rsidRPr="00781112" w:rsidRDefault="00AA6D68" w:rsidP="00AA6D68">
            <w:pPr>
              <w:jc w:val="center"/>
              <w:rPr>
                <w:rFonts w:cs="Arial"/>
                <w:color w:val="000000" w:themeColor="text1"/>
                <w:szCs w:val="16"/>
              </w:rPr>
            </w:pPr>
            <w:r w:rsidRPr="00781112">
              <w:rPr>
                <w:rFonts w:cs="Arial"/>
                <w:color w:val="000000" w:themeColor="text1"/>
                <w:szCs w:val="16"/>
              </w:rPr>
              <w:t>2,758</w:t>
            </w:r>
          </w:p>
        </w:tc>
      </w:tr>
      <w:tr w:rsidR="00AA6D68" w:rsidRPr="00781112" w14:paraId="704DFF4D" w14:textId="77777777" w:rsidTr="00360DD6">
        <w:trPr>
          <w:cantSplit/>
        </w:trPr>
        <w:tc>
          <w:tcPr>
            <w:tcW w:w="1551" w:type="pct"/>
            <w:vAlign w:val="bottom"/>
          </w:tcPr>
          <w:p w14:paraId="38A16BD0" w14:textId="77777777" w:rsidR="00AA6D68" w:rsidRPr="00781112" w:rsidRDefault="00AA6D68" w:rsidP="00AA6D68">
            <w:pPr>
              <w:rPr>
                <w:rFonts w:cs="Arial"/>
                <w:color w:val="000000" w:themeColor="text1"/>
                <w:szCs w:val="16"/>
              </w:rPr>
            </w:pPr>
            <w:r w:rsidRPr="00781112">
              <w:rPr>
                <w:rFonts w:cs="Arial"/>
                <w:color w:val="000000" w:themeColor="text1"/>
                <w:szCs w:val="16"/>
              </w:rPr>
              <w:t>b1. Number of children attending separate special education class</w:t>
            </w:r>
          </w:p>
        </w:tc>
        <w:tc>
          <w:tcPr>
            <w:tcW w:w="863" w:type="pct"/>
            <w:vAlign w:val="bottom"/>
          </w:tcPr>
          <w:p w14:paraId="23B1E381" w14:textId="77777777" w:rsidR="00AA6D68" w:rsidRPr="00781112" w:rsidRDefault="00AA6D68" w:rsidP="00AA6D68">
            <w:pPr>
              <w:jc w:val="center"/>
              <w:rPr>
                <w:rFonts w:cs="Arial"/>
                <w:color w:val="000000" w:themeColor="text1"/>
                <w:szCs w:val="16"/>
              </w:rPr>
            </w:pPr>
            <w:r w:rsidRPr="00781112">
              <w:rPr>
                <w:rFonts w:cs="Arial"/>
                <w:color w:val="000000" w:themeColor="text1"/>
                <w:szCs w:val="16"/>
              </w:rPr>
              <w:t>114</w:t>
            </w:r>
          </w:p>
        </w:tc>
        <w:tc>
          <w:tcPr>
            <w:tcW w:w="863" w:type="pct"/>
            <w:vAlign w:val="bottom"/>
          </w:tcPr>
          <w:p w14:paraId="7A7196A3" w14:textId="77777777" w:rsidR="00AA6D68" w:rsidRPr="00781112" w:rsidRDefault="00AA6D68" w:rsidP="00AA6D68">
            <w:pPr>
              <w:jc w:val="center"/>
              <w:rPr>
                <w:rFonts w:cs="Arial"/>
                <w:color w:val="000000" w:themeColor="text1"/>
                <w:szCs w:val="16"/>
              </w:rPr>
            </w:pPr>
            <w:r w:rsidRPr="00781112">
              <w:rPr>
                <w:rFonts w:cs="Arial"/>
                <w:color w:val="000000" w:themeColor="text1"/>
                <w:szCs w:val="16"/>
              </w:rPr>
              <w:t>106</w:t>
            </w:r>
          </w:p>
        </w:tc>
        <w:tc>
          <w:tcPr>
            <w:tcW w:w="863" w:type="pct"/>
            <w:vAlign w:val="bottom"/>
          </w:tcPr>
          <w:p w14:paraId="72ACF60E" w14:textId="77777777" w:rsidR="00AA6D68" w:rsidRPr="00781112" w:rsidRDefault="00AA6D68" w:rsidP="00AA6D68">
            <w:pPr>
              <w:jc w:val="center"/>
              <w:rPr>
                <w:rFonts w:cs="Arial"/>
                <w:color w:val="000000" w:themeColor="text1"/>
                <w:szCs w:val="16"/>
              </w:rPr>
            </w:pPr>
            <w:r w:rsidRPr="00781112">
              <w:rPr>
                <w:rFonts w:cs="Arial"/>
                <w:color w:val="000000" w:themeColor="text1"/>
                <w:szCs w:val="16"/>
              </w:rPr>
              <w:t>62</w:t>
            </w:r>
          </w:p>
        </w:tc>
        <w:tc>
          <w:tcPr>
            <w:tcW w:w="860" w:type="pct"/>
            <w:vAlign w:val="bottom"/>
          </w:tcPr>
          <w:p w14:paraId="70686740" w14:textId="77777777" w:rsidR="00AA6D68" w:rsidRPr="00781112" w:rsidRDefault="00AA6D68" w:rsidP="00AA6D68">
            <w:pPr>
              <w:jc w:val="center"/>
              <w:rPr>
                <w:rFonts w:cs="Arial"/>
                <w:color w:val="000000" w:themeColor="text1"/>
                <w:szCs w:val="16"/>
              </w:rPr>
            </w:pPr>
            <w:r w:rsidRPr="00781112">
              <w:rPr>
                <w:rFonts w:cs="Arial"/>
                <w:color w:val="000000" w:themeColor="text1"/>
                <w:szCs w:val="16"/>
              </w:rPr>
              <w:t>282</w:t>
            </w:r>
          </w:p>
        </w:tc>
      </w:tr>
      <w:tr w:rsidR="00AA6D68" w:rsidRPr="00781112" w14:paraId="5C9F69A3" w14:textId="77777777" w:rsidTr="00360DD6">
        <w:trPr>
          <w:cantSplit/>
        </w:trPr>
        <w:tc>
          <w:tcPr>
            <w:tcW w:w="1551" w:type="pct"/>
            <w:vAlign w:val="bottom"/>
          </w:tcPr>
          <w:p w14:paraId="7B483351" w14:textId="77777777" w:rsidR="00AA6D68" w:rsidRPr="00781112" w:rsidRDefault="00AA6D68" w:rsidP="00AA6D68">
            <w:pPr>
              <w:rPr>
                <w:rFonts w:cs="Arial"/>
                <w:color w:val="000000" w:themeColor="text1"/>
                <w:szCs w:val="16"/>
              </w:rPr>
            </w:pPr>
            <w:r w:rsidRPr="00781112">
              <w:rPr>
                <w:rFonts w:cs="Arial"/>
                <w:color w:val="000000" w:themeColor="text1"/>
                <w:szCs w:val="16"/>
              </w:rPr>
              <w:t>b2. Number of children attending separate school</w:t>
            </w:r>
          </w:p>
        </w:tc>
        <w:tc>
          <w:tcPr>
            <w:tcW w:w="863" w:type="pct"/>
            <w:vAlign w:val="bottom"/>
          </w:tcPr>
          <w:p w14:paraId="1BE59E7E" w14:textId="77777777"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c>
          <w:tcPr>
            <w:tcW w:w="863" w:type="pct"/>
            <w:vAlign w:val="bottom"/>
          </w:tcPr>
          <w:p w14:paraId="52FE092F" w14:textId="77777777"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c>
          <w:tcPr>
            <w:tcW w:w="863" w:type="pct"/>
            <w:vAlign w:val="bottom"/>
          </w:tcPr>
          <w:p w14:paraId="76B33FDD" w14:textId="77777777"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c>
          <w:tcPr>
            <w:tcW w:w="860" w:type="pct"/>
            <w:vAlign w:val="bottom"/>
          </w:tcPr>
          <w:p w14:paraId="55A601C9" w14:textId="77777777"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r>
      <w:tr w:rsidR="00AA6D68" w:rsidRPr="00781112" w14:paraId="05D753A9" w14:textId="77777777" w:rsidTr="00360DD6">
        <w:trPr>
          <w:cantSplit/>
        </w:trPr>
        <w:tc>
          <w:tcPr>
            <w:tcW w:w="1551" w:type="pct"/>
            <w:vAlign w:val="bottom"/>
          </w:tcPr>
          <w:p w14:paraId="6AA48873" w14:textId="77777777" w:rsidR="00AA6D68" w:rsidRPr="00781112" w:rsidRDefault="00AA6D68" w:rsidP="00AA6D68">
            <w:pPr>
              <w:rPr>
                <w:rFonts w:cs="Arial"/>
                <w:color w:val="000000" w:themeColor="text1"/>
                <w:szCs w:val="16"/>
              </w:rPr>
            </w:pPr>
            <w:r w:rsidRPr="00781112">
              <w:rPr>
                <w:rFonts w:cs="Arial"/>
                <w:color w:val="000000" w:themeColor="text1"/>
                <w:szCs w:val="16"/>
              </w:rPr>
              <w:lastRenderedPageBreak/>
              <w:t>b3. Number of children attending residential facility</w:t>
            </w:r>
          </w:p>
        </w:tc>
        <w:tc>
          <w:tcPr>
            <w:tcW w:w="863" w:type="pct"/>
            <w:vAlign w:val="bottom"/>
          </w:tcPr>
          <w:p w14:paraId="451395BE" w14:textId="77777777"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c>
          <w:tcPr>
            <w:tcW w:w="863" w:type="pct"/>
            <w:vAlign w:val="bottom"/>
          </w:tcPr>
          <w:p w14:paraId="1B647E6E" w14:textId="77777777" w:rsidR="00AA6D68" w:rsidRPr="00781112" w:rsidRDefault="00AA6D68" w:rsidP="00AA6D68">
            <w:pPr>
              <w:jc w:val="center"/>
              <w:rPr>
                <w:rFonts w:cs="Arial"/>
                <w:color w:val="000000" w:themeColor="text1"/>
                <w:szCs w:val="16"/>
              </w:rPr>
            </w:pPr>
            <w:r w:rsidRPr="00781112">
              <w:rPr>
                <w:rFonts w:cs="Arial"/>
                <w:color w:val="000000" w:themeColor="text1"/>
                <w:szCs w:val="16"/>
              </w:rPr>
              <w:t>1</w:t>
            </w:r>
          </w:p>
        </w:tc>
        <w:tc>
          <w:tcPr>
            <w:tcW w:w="863" w:type="pct"/>
            <w:vAlign w:val="bottom"/>
          </w:tcPr>
          <w:p w14:paraId="795304B8" w14:textId="77777777"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c>
          <w:tcPr>
            <w:tcW w:w="860" w:type="pct"/>
            <w:vAlign w:val="bottom"/>
          </w:tcPr>
          <w:p w14:paraId="00E900FB" w14:textId="77777777" w:rsidR="00AA6D68" w:rsidRPr="00781112" w:rsidRDefault="00AA6D68" w:rsidP="00AA6D68">
            <w:pPr>
              <w:jc w:val="center"/>
              <w:rPr>
                <w:rFonts w:cs="Arial"/>
                <w:color w:val="000000" w:themeColor="text1"/>
                <w:szCs w:val="16"/>
              </w:rPr>
            </w:pPr>
            <w:r w:rsidRPr="00781112">
              <w:rPr>
                <w:rFonts w:cs="Arial"/>
                <w:color w:val="000000" w:themeColor="text1"/>
                <w:szCs w:val="16"/>
              </w:rPr>
              <w:t>1</w:t>
            </w:r>
          </w:p>
        </w:tc>
      </w:tr>
      <w:tr w:rsidR="00AA6D68" w:rsidRPr="00781112" w14:paraId="0ED70589" w14:textId="77777777" w:rsidTr="00360DD6">
        <w:trPr>
          <w:cantSplit/>
        </w:trPr>
        <w:tc>
          <w:tcPr>
            <w:tcW w:w="1551" w:type="pct"/>
          </w:tcPr>
          <w:p w14:paraId="30B12FE5" w14:textId="77777777" w:rsidR="00AA6D68" w:rsidRPr="00781112" w:rsidRDefault="00AA6D68" w:rsidP="00AA6D68">
            <w:pPr>
              <w:rPr>
                <w:rFonts w:cs="Arial"/>
                <w:color w:val="000000" w:themeColor="text1"/>
                <w:szCs w:val="16"/>
              </w:rPr>
            </w:pPr>
            <w:r w:rsidRPr="00781112">
              <w:rPr>
                <w:rFonts w:cs="Arial"/>
                <w:color w:val="000000"/>
                <w:szCs w:val="16"/>
              </w:rPr>
              <w:t>c1</w:t>
            </w:r>
            <w:r w:rsidRPr="00781112">
              <w:rPr>
                <w:rFonts w:cs="Arial"/>
                <w:b/>
                <w:bCs/>
                <w:color w:val="000000"/>
                <w:szCs w:val="16"/>
              </w:rPr>
              <w:t xml:space="preserve">. </w:t>
            </w:r>
            <w:r w:rsidRPr="00781112">
              <w:rPr>
                <w:rFonts w:cs="Arial"/>
                <w:color w:val="000000"/>
                <w:szCs w:val="16"/>
              </w:rPr>
              <w:t>Number</w:t>
            </w:r>
            <w:r w:rsidRPr="00781112">
              <w:rPr>
                <w:rFonts w:cs="Arial"/>
                <w:b/>
                <w:bCs/>
                <w:color w:val="000000"/>
                <w:szCs w:val="16"/>
              </w:rPr>
              <w:t xml:space="preserve"> </w:t>
            </w:r>
            <w:r w:rsidRPr="00781112">
              <w:rPr>
                <w:rFonts w:cs="Arial"/>
                <w:color w:val="000000"/>
                <w:szCs w:val="16"/>
              </w:rPr>
              <w:t xml:space="preserve">of children receiving </w:t>
            </w:r>
            <w:r w:rsidRPr="00781112">
              <w:rPr>
                <w:rFonts w:cs="Arial"/>
                <w:szCs w:val="16"/>
              </w:rPr>
              <w:t>special education and related services in the home</w:t>
            </w:r>
          </w:p>
        </w:tc>
        <w:tc>
          <w:tcPr>
            <w:tcW w:w="863" w:type="pct"/>
            <w:vAlign w:val="bottom"/>
          </w:tcPr>
          <w:p w14:paraId="18873DB1" w14:textId="77777777" w:rsidR="00AA6D68" w:rsidRPr="00781112" w:rsidRDefault="00AA6D68" w:rsidP="00AA6D68">
            <w:pPr>
              <w:jc w:val="center"/>
              <w:rPr>
                <w:rFonts w:cs="Arial"/>
                <w:color w:val="000000" w:themeColor="text1"/>
                <w:szCs w:val="16"/>
              </w:rPr>
            </w:pPr>
            <w:r w:rsidRPr="00781112">
              <w:rPr>
                <w:rFonts w:cs="Arial"/>
                <w:color w:val="000000" w:themeColor="text1"/>
                <w:szCs w:val="16"/>
              </w:rPr>
              <w:t>6</w:t>
            </w:r>
          </w:p>
        </w:tc>
        <w:tc>
          <w:tcPr>
            <w:tcW w:w="863" w:type="pct"/>
            <w:vAlign w:val="bottom"/>
          </w:tcPr>
          <w:p w14:paraId="17566D28" w14:textId="77777777" w:rsidR="00AA6D68" w:rsidRPr="00781112" w:rsidRDefault="00AA6D68" w:rsidP="00AA6D68">
            <w:pPr>
              <w:jc w:val="center"/>
              <w:rPr>
                <w:rFonts w:cs="Arial"/>
                <w:color w:val="000000" w:themeColor="text1"/>
                <w:szCs w:val="16"/>
              </w:rPr>
            </w:pPr>
            <w:r w:rsidRPr="00781112">
              <w:rPr>
                <w:rFonts w:cs="Arial"/>
                <w:color w:val="000000" w:themeColor="text1"/>
                <w:szCs w:val="16"/>
              </w:rPr>
              <w:t>5</w:t>
            </w:r>
          </w:p>
        </w:tc>
        <w:tc>
          <w:tcPr>
            <w:tcW w:w="863" w:type="pct"/>
            <w:vAlign w:val="bottom"/>
          </w:tcPr>
          <w:p w14:paraId="69A65C0D" w14:textId="77777777" w:rsidR="00AA6D68" w:rsidRPr="00781112" w:rsidDel="00E25159" w:rsidRDefault="00AA6D68" w:rsidP="00AA6D68">
            <w:pPr>
              <w:jc w:val="center"/>
              <w:rPr>
                <w:rFonts w:cs="Arial"/>
                <w:color w:val="000000" w:themeColor="text1"/>
                <w:szCs w:val="16"/>
              </w:rPr>
            </w:pPr>
            <w:r w:rsidRPr="00781112">
              <w:rPr>
                <w:rFonts w:cs="Arial"/>
                <w:color w:val="000000" w:themeColor="text1"/>
                <w:szCs w:val="16"/>
              </w:rPr>
              <w:t>5</w:t>
            </w:r>
          </w:p>
        </w:tc>
        <w:tc>
          <w:tcPr>
            <w:tcW w:w="860" w:type="pct"/>
            <w:vAlign w:val="bottom"/>
          </w:tcPr>
          <w:p w14:paraId="2E264FFA" w14:textId="77777777" w:rsidR="00AA6D68" w:rsidRPr="00781112" w:rsidRDefault="00AA6D68" w:rsidP="00AA6D68">
            <w:pPr>
              <w:jc w:val="center"/>
              <w:rPr>
                <w:rFonts w:cs="Arial"/>
                <w:color w:val="000000" w:themeColor="text1"/>
                <w:szCs w:val="16"/>
              </w:rPr>
            </w:pPr>
            <w:r w:rsidRPr="00781112">
              <w:rPr>
                <w:rFonts w:cs="Arial"/>
                <w:color w:val="000000" w:themeColor="text1"/>
                <w:szCs w:val="16"/>
              </w:rPr>
              <w:t>16</w:t>
            </w:r>
          </w:p>
        </w:tc>
      </w:tr>
    </w:tbl>
    <w:p w14:paraId="69FC18D5" w14:textId="77777777" w:rsidR="00AB2A39" w:rsidRPr="00781112" w:rsidRDefault="00AB2A39" w:rsidP="004369B2">
      <w:pPr>
        <w:rPr>
          <w:color w:val="000000" w:themeColor="text1"/>
        </w:rPr>
      </w:pPr>
    </w:p>
    <w:p w14:paraId="075188D6" w14:textId="77777777" w:rsidR="00C910BC" w:rsidRPr="00781112" w:rsidRDefault="00C910BC" w:rsidP="00C910BC">
      <w:pPr>
        <w:rPr>
          <w:b/>
          <w:color w:val="000000" w:themeColor="text1"/>
        </w:rPr>
      </w:pPr>
      <w:r w:rsidRPr="00781112">
        <w:rPr>
          <w:b/>
          <w:color w:val="000000" w:themeColor="text1"/>
        </w:rPr>
        <w:t>Select yes if the data reported in this indicator are not the same as the State’s data reported under section 618 of the IDEA.</w:t>
      </w:r>
    </w:p>
    <w:p w14:paraId="5DFB2AF8" w14:textId="77777777" w:rsidR="00C910BC" w:rsidRPr="00781112" w:rsidRDefault="00C910BC" w:rsidP="00C910BC">
      <w:pPr>
        <w:rPr>
          <w:color w:val="000000" w:themeColor="text1"/>
        </w:rPr>
      </w:pPr>
      <w:r w:rsidRPr="00781112">
        <w:rPr>
          <w:color w:val="000000" w:themeColor="text1"/>
        </w:rPr>
        <w:t>NO</w:t>
      </w:r>
    </w:p>
    <w:p w14:paraId="07AC52E6" w14:textId="77777777" w:rsidR="002D5ED8" w:rsidRDefault="002D5ED8" w:rsidP="00D16730">
      <w:pPr>
        <w:rPr>
          <w:b/>
          <w:color w:val="000000" w:themeColor="text1"/>
        </w:rPr>
      </w:pPr>
    </w:p>
    <w:p w14:paraId="78F4FD1F" w14:textId="77777777" w:rsidR="00D16730" w:rsidRPr="00781112" w:rsidRDefault="00D16730" w:rsidP="007D100A">
      <w:pPr>
        <w:rPr>
          <w:rFonts w:cs="Arial"/>
          <w:color w:val="000000" w:themeColor="text1"/>
          <w:szCs w:val="16"/>
        </w:rPr>
      </w:pPr>
    </w:p>
    <w:p w14:paraId="699F779C" w14:textId="77777777" w:rsidR="007D100A" w:rsidRPr="00781112" w:rsidRDefault="007D100A" w:rsidP="004369B2">
      <w:pPr>
        <w:rPr>
          <w:b/>
          <w:color w:val="000000" w:themeColor="text1"/>
        </w:rPr>
      </w:pPr>
    </w:p>
    <w:p w14:paraId="25BC8480" w14:textId="77777777" w:rsidR="00E60622" w:rsidRPr="00781112" w:rsidRDefault="0047313F" w:rsidP="004369B2">
      <w:pPr>
        <w:rPr>
          <w:b/>
          <w:bCs/>
          <w:color w:val="000000" w:themeColor="text1"/>
        </w:rPr>
      </w:pPr>
      <w:r>
        <w:rPr>
          <w:b/>
          <w:bCs/>
          <w:color w:val="000000" w:themeColor="text1"/>
        </w:rPr>
        <w:t xml:space="preserve">FFY 2024 SPP/APR Data - </w:t>
      </w:r>
      <w:r w:rsidR="00A6295C" w:rsidRPr="00781112">
        <w:rPr>
          <w:rFonts w:cs="Arial"/>
          <w:b/>
          <w:color w:val="000000" w:themeColor="text1"/>
          <w:szCs w:val="16"/>
        </w:rPr>
        <w:t>Aged 3 through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AGE3TO5CFFYAPRDATA618"/>
      </w:tblPr>
      <w:tblGrid>
        <w:gridCol w:w="2964"/>
        <w:gridCol w:w="1118"/>
        <w:gridCol w:w="1118"/>
        <w:gridCol w:w="1118"/>
        <w:gridCol w:w="1118"/>
        <w:gridCol w:w="1118"/>
        <w:gridCol w:w="1118"/>
        <w:gridCol w:w="1118"/>
      </w:tblGrid>
      <w:tr w:rsidR="00CC1061" w:rsidRPr="00781112" w14:paraId="5E823CCC" w14:textId="77777777" w:rsidTr="007239EC">
        <w:trPr>
          <w:trHeight w:val="354"/>
          <w:tblHeader/>
        </w:trPr>
        <w:tc>
          <w:tcPr>
            <w:tcW w:w="1373" w:type="pct"/>
            <w:vAlign w:val="bottom"/>
          </w:tcPr>
          <w:p w14:paraId="4C33DA65" w14:textId="77777777" w:rsidR="00CC1061" w:rsidRPr="00781112" w:rsidRDefault="00CC1061" w:rsidP="00CC1061">
            <w:pPr>
              <w:jc w:val="center"/>
              <w:rPr>
                <w:rFonts w:cs="Arial"/>
                <w:b/>
                <w:color w:val="000000" w:themeColor="text1"/>
                <w:szCs w:val="16"/>
              </w:rPr>
            </w:pPr>
            <w:r w:rsidRPr="00781112">
              <w:rPr>
                <w:rFonts w:cs="Arial"/>
                <w:b/>
                <w:color w:val="000000" w:themeColor="text1"/>
                <w:szCs w:val="16"/>
              </w:rPr>
              <w:t>Preschool Environments</w:t>
            </w:r>
          </w:p>
        </w:tc>
        <w:tc>
          <w:tcPr>
            <w:tcW w:w="518" w:type="pct"/>
            <w:vAlign w:val="bottom"/>
          </w:tcPr>
          <w:p w14:paraId="7C4E41DC" w14:textId="77777777" w:rsidR="00CC1061" w:rsidRPr="00781112" w:rsidRDefault="00CC1061" w:rsidP="00CC1061">
            <w:pPr>
              <w:jc w:val="center"/>
              <w:rPr>
                <w:rFonts w:cs="Arial"/>
                <w:b/>
                <w:color w:val="000000" w:themeColor="text1"/>
                <w:szCs w:val="16"/>
              </w:rPr>
            </w:pPr>
            <w:r w:rsidRPr="00781112">
              <w:rPr>
                <w:rFonts w:cs="Arial"/>
                <w:b/>
                <w:color w:val="000000" w:themeColor="text1"/>
                <w:szCs w:val="16"/>
              </w:rPr>
              <w:t>Number of children with IEPs aged 3 through 5 served</w:t>
            </w:r>
          </w:p>
        </w:tc>
        <w:tc>
          <w:tcPr>
            <w:tcW w:w="518" w:type="pct"/>
            <w:vAlign w:val="bottom"/>
          </w:tcPr>
          <w:p w14:paraId="614187B6" w14:textId="77777777" w:rsidR="00CC1061" w:rsidRPr="00781112" w:rsidRDefault="00CC1061" w:rsidP="00CC1061">
            <w:pPr>
              <w:jc w:val="center"/>
              <w:rPr>
                <w:rFonts w:cs="Arial"/>
                <w:b/>
                <w:color w:val="000000" w:themeColor="text1"/>
                <w:szCs w:val="16"/>
              </w:rPr>
            </w:pPr>
            <w:r w:rsidRPr="00781112">
              <w:rPr>
                <w:rFonts w:cs="Arial"/>
                <w:b/>
                <w:color w:val="000000" w:themeColor="text1"/>
                <w:szCs w:val="16"/>
              </w:rPr>
              <w:t>Total number of children with IEPs aged 3 through 5</w:t>
            </w:r>
          </w:p>
        </w:tc>
        <w:tc>
          <w:tcPr>
            <w:tcW w:w="518" w:type="pct"/>
            <w:vAlign w:val="bottom"/>
          </w:tcPr>
          <w:p w14:paraId="2A003573" w14:textId="77777777" w:rsidR="00CC1061" w:rsidRPr="00781112" w:rsidRDefault="00CC1061" w:rsidP="00CC1061">
            <w:pPr>
              <w:jc w:val="center"/>
              <w:rPr>
                <w:rFonts w:cs="Arial"/>
                <w:b/>
                <w:color w:val="000000" w:themeColor="text1"/>
                <w:szCs w:val="16"/>
              </w:rPr>
            </w:pPr>
            <w:r w:rsidRPr="00073BD7">
              <w:rPr>
                <w:b/>
                <w:bCs/>
              </w:rPr>
              <w:t>FFY 2023 Data</w:t>
            </w:r>
          </w:p>
        </w:tc>
        <w:tc>
          <w:tcPr>
            <w:tcW w:w="518" w:type="pct"/>
            <w:vAlign w:val="bottom"/>
          </w:tcPr>
          <w:p w14:paraId="650F3891" w14:textId="77777777" w:rsidR="00CC1061" w:rsidRPr="00781112" w:rsidRDefault="00CC1061" w:rsidP="00CC1061">
            <w:pPr>
              <w:jc w:val="center"/>
              <w:rPr>
                <w:rFonts w:cs="Arial"/>
                <w:b/>
                <w:color w:val="000000" w:themeColor="text1"/>
                <w:szCs w:val="16"/>
              </w:rPr>
            </w:pPr>
            <w:r w:rsidRPr="00073BD7">
              <w:rPr>
                <w:b/>
                <w:bCs/>
              </w:rPr>
              <w:t>FFY 2024 Target</w:t>
            </w:r>
          </w:p>
        </w:tc>
        <w:tc>
          <w:tcPr>
            <w:tcW w:w="518" w:type="pct"/>
            <w:vAlign w:val="bottom"/>
          </w:tcPr>
          <w:p w14:paraId="13FA10EF" w14:textId="77777777" w:rsidR="00CC1061" w:rsidRPr="00781112" w:rsidRDefault="00CC1061" w:rsidP="00CC1061">
            <w:pPr>
              <w:jc w:val="center"/>
              <w:rPr>
                <w:rFonts w:cs="Arial"/>
                <w:b/>
                <w:color w:val="000000" w:themeColor="text1"/>
                <w:szCs w:val="16"/>
              </w:rPr>
            </w:pPr>
            <w:r w:rsidRPr="00073BD7">
              <w:rPr>
                <w:b/>
                <w:bCs/>
              </w:rPr>
              <w:t>FFY 2024 Data</w:t>
            </w:r>
          </w:p>
        </w:tc>
        <w:tc>
          <w:tcPr>
            <w:tcW w:w="518" w:type="pct"/>
            <w:vAlign w:val="bottom"/>
          </w:tcPr>
          <w:p w14:paraId="7B6856C5" w14:textId="77777777" w:rsidR="00CC1061" w:rsidRPr="00781112" w:rsidRDefault="00CC1061" w:rsidP="00CC1061">
            <w:pPr>
              <w:jc w:val="center"/>
              <w:rPr>
                <w:rFonts w:cs="Arial"/>
                <w:b/>
                <w:color w:val="000000" w:themeColor="text1"/>
                <w:szCs w:val="16"/>
              </w:rPr>
            </w:pPr>
            <w:r w:rsidRPr="00781112">
              <w:rPr>
                <w:rFonts w:cs="Arial"/>
                <w:b/>
                <w:color w:val="000000" w:themeColor="text1"/>
                <w:szCs w:val="16"/>
              </w:rPr>
              <w:t>Status</w:t>
            </w:r>
          </w:p>
        </w:tc>
        <w:tc>
          <w:tcPr>
            <w:tcW w:w="518" w:type="pct"/>
            <w:vAlign w:val="bottom"/>
          </w:tcPr>
          <w:p w14:paraId="6CD5BB60" w14:textId="77777777" w:rsidR="00CC1061" w:rsidRPr="00781112" w:rsidRDefault="00CC1061" w:rsidP="00CC1061">
            <w:pPr>
              <w:jc w:val="center"/>
              <w:rPr>
                <w:rFonts w:cs="Arial"/>
                <w:b/>
                <w:color w:val="000000" w:themeColor="text1"/>
                <w:szCs w:val="16"/>
              </w:rPr>
            </w:pPr>
            <w:r w:rsidRPr="00781112">
              <w:rPr>
                <w:rFonts w:cs="Arial"/>
                <w:b/>
                <w:color w:val="000000" w:themeColor="text1"/>
                <w:szCs w:val="16"/>
              </w:rPr>
              <w:t>Slippage</w:t>
            </w:r>
          </w:p>
        </w:tc>
      </w:tr>
      <w:tr w:rsidR="005C29F8" w:rsidRPr="00781112" w14:paraId="02C4FFC6" w14:textId="77777777" w:rsidTr="007239EC">
        <w:trPr>
          <w:trHeight w:val="917"/>
        </w:trPr>
        <w:tc>
          <w:tcPr>
            <w:tcW w:w="1373" w:type="pct"/>
            <w:vAlign w:val="center"/>
          </w:tcPr>
          <w:p w14:paraId="45633FBE" w14:textId="77777777" w:rsidR="00CF6742" w:rsidRPr="00781112" w:rsidRDefault="00CF6742" w:rsidP="00CF6742">
            <w:pPr>
              <w:rPr>
                <w:rFonts w:cs="Arial"/>
                <w:color w:val="000000" w:themeColor="text1"/>
                <w:szCs w:val="16"/>
              </w:rPr>
            </w:pPr>
            <w:r w:rsidRPr="00781112">
              <w:rPr>
                <w:rFonts w:cs="Arial"/>
                <w:color w:val="000000" w:themeColor="text1"/>
                <w:szCs w:val="16"/>
                <w:shd w:val="clear" w:color="auto" w:fill="FFFFFF"/>
              </w:rPr>
              <w:t>A. A regular early childhood program and receiving the majority of special education and related services in the regular early childhood program</w:t>
            </w:r>
          </w:p>
        </w:tc>
        <w:tc>
          <w:tcPr>
            <w:tcW w:w="518" w:type="pct"/>
            <w:vAlign w:val="center"/>
          </w:tcPr>
          <w:p w14:paraId="0B912981"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2,758</w:t>
            </w:r>
          </w:p>
          <w:p w14:paraId="5AF1E64B" w14:textId="77777777" w:rsidR="00CC3A85" w:rsidRPr="00781112" w:rsidRDefault="00CC3A85" w:rsidP="00A018D4">
            <w:pPr>
              <w:jc w:val="center"/>
              <w:rPr>
                <w:rFonts w:cs="Arial"/>
                <w:color w:val="000000" w:themeColor="text1"/>
                <w:szCs w:val="16"/>
              </w:rPr>
            </w:pPr>
          </w:p>
        </w:tc>
        <w:tc>
          <w:tcPr>
            <w:tcW w:w="518" w:type="pct"/>
            <w:vAlign w:val="center"/>
          </w:tcPr>
          <w:p w14:paraId="0D1CC070"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3,933</w:t>
            </w:r>
          </w:p>
        </w:tc>
        <w:tc>
          <w:tcPr>
            <w:tcW w:w="518" w:type="pct"/>
            <w:vAlign w:val="center"/>
          </w:tcPr>
          <w:p w14:paraId="230F3F76"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64.65%</w:t>
            </w:r>
          </w:p>
        </w:tc>
        <w:tc>
          <w:tcPr>
            <w:tcW w:w="518" w:type="pct"/>
            <w:vAlign w:val="center"/>
          </w:tcPr>
          <w:p w14:paraId="1B02633E"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51.25%</w:t>
            </w:r>
          </w:p>
        </w:tc>
        <w:tc>
          <w:tcPr>
            <w:tcW w:w="518" w:type="pct"/>
            <w:vAlign w:val="center"/>
          </w:tcPr>
          <w:p w14:paraId="45A5FF0A"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70.12%</w:t>
            </w:r>
          </w:p>
        </w:tc>
        <w:tc>
          <w:tcPr>
            <w:tcW w:w="518" w:type="pct"/>
            <w:vAlign w:val="center"/>
          </w:tcPr>
          <w:p w14:paraId="0C360158"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18" w:type="pct"/>
            <w:vAlign w:val="center"/>
          </w:tcPr>
          <w:p w14:paraId="0EDE573A"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43CA7AC5" w14:textId="77777777" w:rsidTr="007239EC">
        <w:trPr>
          <w:trHeight w:val="361"/>
        </w:trPr>
        <w:tc>
          <w:tcPr>
            <w:tcW w:w="1373" w:type="pct"/>
            <w:vAlign w:val="center"/>
          </w:tcPr>
          <w:p w14:paraId="5A950F24" w14:textId="77777777" w:rsidR="00CF6742" w:rsidRPr="00781112" w:rsidRDefault="00CF6742" w:rsidP="00CF6742">
            <w:pPr>
              <w:rPr>
                <w:rFonts w:cs="Arial"/>
                <w:color w:val="000000" w:themeColor="text1"/>
                <w:szCs w:val="16"/>
              </w:rPr>
            </w:pPr>
            <w:r w:rsidRPr="00781112">
              <w:rPr>
                <w:rFonts w:cs="Arial"/>
                <w:color w:val="000000" w:themeColor="text1"/>
                <w:szCs w:val="16"/>
                <w:shd w:val="clear" w:color="auto" w:fill="FFFFFF"/>
              </w:rPr>
              <w:t>B. Separate special education class, separate school, or residential facility</w:t>
            </w:r>
          </w:p>
        </w:tc>
        <w:tc>
          <w:tcPr>
            <w:tcW w:w="518" w:type="pct"/>
            <w:vAlign w:val="center"/>
          </w:tcPr>
          <w:p w14:paraId="2372CB79"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283</w:t>
            </w:r>
          </w:p>
        </w:tc>
        <w:tc>
          <w:tcPr>
            <w:tcW w:w="518" w:type="pct"/>
            <w:vAlign w:val="center"/>
          </w:tcPr>
          <w:p w14:paraId="05F4A0F3"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3,933</w:t>
            </w:r>
          </w:p>
        </w:tc>
        <w:tc>
          <w:tcPr>
            <w:tcW w:w="518" w:type="pct"/>
            <w:vAlign w:val="center"/>
          </w:tcPr>
          <w:p w14:paraId="14CF4267"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11.33%</w:t>
            </w:r>
          </w:p>
        </w:tc>
        <w:tc>
          <w:tcPr>
            <w:tcW w:w="518" w:type="pct"/>
            <w:vAlign w:val="center"/>
          </w:tcPr>
          <w:p w14:paraId="6E331EC4"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9.20%</w:t>
            </w:r>
          </w:p>
        </w:tc>
        <w:tc>
          <w:tcPr>
            <w:tcW w:w="518" w:type="pct"/>
            <w:vAlign w:val="center"/>
          </w:tcPr>
          <w:p w14:paraId="3A302BA1"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7.20%</w:t>
            </w:r>
          </w:p>
        </w:tc>
        <w:tc>
          <w:tcPr>
            <w:tcW w:w="518" w:type="pct"/>
            <w:vAlign w:val="center"/>
          </w:tcPr>
          <w:p w14:paraId="6506A504"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18" w:type="pct"/>
            <w:vAlign w:val="center"/>
          </w:tcPr>
          <w:p w14:paraId="4AF56903"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7419E3" w:rsidRPr="00781112" w14:paraId="52148DB8" w14:textId="77777777" w:rsidTr="007239EC">
        <w:trPr>
          <w:trHeight w:val="361"/>
        </w:trPr>
        <w:tc>
          <w:tcPr>
            <w:tcW w:w="1373" w:type="pct"/>
            <w:vAlign w:val="center"/>
          </w:tcPr>
          <w:p w14:paraId="49D4B9DF" w14:textId="77777777" w:rsidR="007419E3" w:rsidRPr="00781112" w:rsidRDefault="007419E3" w:rsidP="007419E3">
            <w:pPr>
              <w:rPr>
                <w:rFonts w:cs="Arial"/>
                <w:color w:val="000000" w:themeColor="text1"/>
                <w:szCs w:val="16"/>
                <w:shd w:val="clear" w:color="auto" w:fill="FFFFFF"/>
              </w:rPr>
            </w:pPr>
            <w:r w:rsidRPr="00781112">
              <w:rPr>
                <w:rFonts w:cs="Arial"/>
                <w:color w:val="000000" w:themeColor="text1"/>
                <w:szCs w:val="16"/>
                <w:shd w:val="clear" w:color="auto" w:fill="FFFFFF"/>
              </w:rPr>
              <w:t>C. Home</w:t>
            </w:r>
          </w:p>
        </w:tc>
        <w:tc>
          <w:tcPr>
            <w:tcW w:w="518" w:type="pct"/>
            <w:vAlign w:val="center"/>
          </w:tcPr>
          <w:p w14:paraId="00EB85D8" w14:textId="77777777" w:rsidR="007419E3" w:rsidRPr="00781112" w:rsidRDefault="007419E3" w:rsidP="007419E3">
            <w:pPr>
              <w:jc w:val="center"/>
              <w:rPr>
                <w:rFonts w:cs="Arial"/>
                <w:color w:val="000000" w:themeColor="text1"/>
                <w:szCs w:val="16"/>
              </w:rPr>
            </w:pPr>
            <w:r w:rsidRPr="00781112">
              <w:rPr>
                <w:rFonts w:cs="Arial"/>
                <w:color w:val="000000" w:themeColor="text1"/>
                <w:szCs w:val="16"/>
              </w:rPr>
              <w:t>16</w:t>
            </w:r>
          </w:p>
        </w:tc>
        <w:tc>
          <w:tcPr>
            <w:tcW w:w="518" w:type="pct"/>
            <w:vAlign w:val="center"/>
          </w:tcPr>
          <w:p w14:paraId="667A5D2C" w14:textId="77777777" w:rsidR="007419E3" w:rsidRPr="00781112" w:rsidRDefault="007419E3" w:rsidP="007419E3">
            <w:pPr>
              <w:jc w:val="center"/>
              <w:rPr>
                <w:rFonts w:cs="Arial"/>
                <w:color w:val="000000" w:themeColor="text1"/>
                <w:szCs w:val="16"/>
              </w:rPr>
            </w:pPr>
            <w:r w:rsidRPr="00781112">
              <w:rPr>
                <w:rFonts w:cs="Arial"/>
                <w:color w:val="000000" w:themeColor="text1"/>
                <w:szCs w:val="16"/>
              </w:rPr>
              <w:t>3,933</w:t>
            </w:r>
          </w:p>
        </w:tc>
        <w:tc>
          <w:tcPr>
            <w:tcW w:w="518" w:type="pct"/>
            <w:vAlign w:val="center"/>
          </w:tcPr>
          <w:p w14:paraId="7F55598B" w14:textId="77777777" w:rsidR="007419E3" w:rsidRPr="00781112" w:rsidRDefault="007419E3" w:rsidP="007419E3">
            <w:pPr>
              <w:jc w:val="center"/>
              <w:rPr>
                <w:rFonts w:cs="Arial"/>
                <w:color w:val="000000" w:themeColor="text1"/>
                <w:szCs w:val="16"/>
              </w:rPr>
            </w:pPr>
            <w:r w:rsidRPr="00781112">
              <w:rPr>
                <w:rFonts w:cs="Arial"/>
                <w:color w:val="000000" w:themeColor="text1"/>
                <w:szCs w:val="16"/>
              </w:rPr>
              <w:t>0.51%</w:t>
            </w:r>
          </w:p>
        </w:tc>
        <w:tc>
          <w:tcPr>
            <w:tcW w:w="518" w:type="pct"/>
            <w:vAlign w:val="center"/>
          </w:tcPr>
          <w:p w14:paraId="085918C5" w14:textId="77777777" w:rsidR="007419E3" w:rsidRPr="00781112" w:rsidRDefault="007419E3" w:rsidP="007419E3">
            <w:pPr>
              <w:jc w:val="center"/>
              <w:rPr>
                <w:rFonts w:cs="Arial"/>
                <w:color w:val="000000" w:themeColor="text1"/>
                <w:szCs w:val="16"/>
              </w:rPr>
            </w:pPr>
            <w:r w:rsidRPr="00781112">
              <w:rPr>
                <w:rFonts w:cs="Arial"/>
                <w:color w:val="000000" w:themeColor="text1"/>
                <w:szCs w:val="16"/>
              </w:rPr>
              <w:t>2.22%</w:t>
            </w:r>
          </w:p>
        </w:tc>
        <w:tc>
          <w:tcPr>
            <w:tcW w:w="518" w:type="pct"/>
            <w:vAlign w:val="center"/>
          </w:tcPr>
          <w:p w14:paraId="5D17E700" w14:textId="77777777" w:rsidR="007419E3" w:rsidRPr="00781112" w:rsidRDefault="007419E3" w:rsidP="007419E3">
            <w:pPr>
              <w:jc w:val="center"/>
              <w:rPr>
                <w:rFonts w:cs="Arial"/>
                <w:color w:val="000000" w:themeColor="text1"/>
                <w:szCs w:val="16"/>
              </w:rPr>
            </w:pPr>
            <w:r w:rsidRPr="00781112">
              <w:rPr>
                <w:rFonts w:cs="Arial"/>
                <w:color w:val="000000" w:themeColor="text1"/>
                <w:szCs w:val="16"/>
              </w:rPr>
              <w:t>0.41%</w:t>
            </w:r>
          </w:p>
        </w:tc>
        <w:tc>
          <w:tcPr>
            <w:tcW w:w="518" w:type="pct"/>
            <w:vAlign w:val="center"/>
          </w:tcPr>
          <w:p w14:paraId="7905D5FF" w14:textId="77777777" w:rsidR="007419E3" w:rsidRPr="00781112" w:rsidRDefault="007419E3" w:rsidP="007419E3">
            <w:pPr>
              <w:jc w:val="center"/>
              <w:rPr>
                <w:rFonts w:cs="Arial"/>
                <w:color w:val="000000" w:themeColor="text1"/>
                <w:szCs w:val="16"/>
              </w:rPr>
            </w:pPr>
            <w:r w:rsidRPr="00781112">
              <w:rPr>
                <w:rFonts w:cs="Arial"/>
                <w:color w:val="000000" w:themeColor="text1"/>
                <w:szCs w:val="16"/>
              </w:rPr>
              <w:t>Met target</w:t>
            </w:r>
          </w:p>
        </w:tc>
        <w:tc>
          <w:tcPr>
            <w:tcW w:w="518" w:type="pct"/>
            <w:vAlign w:val="center"/>
          </w:tcPr>
          <w:p w14:paraId="6FEF8029" w14:textId="77777777" w:rsidR="007419E3" w:rsidRPr="00781112" w:rsidRDefault="007419E3" w:rsidP="007419E3">
            <w:pPr>
              <w:jc w:val="center"/>
              <w:rPr>
                <w:rFonts w:cs="Arial"/>
                <w:color w:val="000000" w:themeColor="text1"/>
                <w:szCs w:val="16"/>
              </w:rPr>
            </w:pPr>
            <w:r w:rsidRPr="00781112">
              <w:rPr>
                <w:rFonts w:cs="Arial"/>
                <w:color w:val="000000" w:themeColor="text1"/>
                <w:szCs w:val="16"/>
              </w:rPr>
              <w:t>No Slippage</w:t>
            </w:r>
          </w:p>
        </w:tc>
      </w:tr>
    </w:tbl>
    <w:p w14:paraId="798DAA2D" w14:textId="77777777" w:rsidR="002441FF" w:rsidRDefault="002441FF" w:rsidP="004369B2">
      <w:pPr>
        <w:rPr>
          <w:b/>
          <w:color w:val="000000" w:themeColor="text1"/>
        </w:rPr>
      </w:pPr>
    </w:p>
    <w:p w14:paraId="4AC6747C" w14:textId="77777777" w:rsidR="002441FF" w:rsidRPr="00781112" w:rsidRDefault="002441FF" w:rsidP="002441FF">
      <w:pPr>
        <w:rPr>
          <w:rFonts w:cs="Arial"/>
          <w:color w:val="000000" w:themeColor="text1"/>
          <w:szCs w:val="16"/>
        </w:rPr>
      </w:pPr>
    </w:p>
    <w:p w14:paraId="3A6FA7DE" w14:textId="77777777" w:rsidR="00221EC9" w:rsidRPr="00781112" w:rsidRDefault="00221EC9" w:rsidP="004369B2">
      <w:pPr>
        <w:rPr>
          <w:b/>
          <w:color w:val="000000" w:themeColor="text1"/>
        </w:rPr>
      </w:pPr>
      <w:r w:rsidRPr="00781112">
        <w:rPr>
          <w:b/>
          <w:color w:val="000000" w:themeColor="text1"/>
        </w:rPr>
        <w:t>Provide additional information about this indicator (optional)</w:t>
      </w:r>
    </w:p>
    <w:p w14:paraId="6887BBEC" w14:textId="77777777" w:rsidR="003C308E" w:rsidRPr="00781112" w:rsidRDefault="003C308E" w:rsidP="007D435F">
      <w:pPr>
        <w:rPr>
          <w:rFonts w:cs="Arial"/>
          <w:color w:val="000000" w:themeColor="text1"/>
          <w:szCs w:val="16"/>
        </w:rPr>
      </w:pPr>
    </w:p>
    <w:p w14:paraId="3A41497E" w14:textId="77777777" w:rsidR="000A2C83" w:rsidRPr="00781112" w:rsidRDefault="00C96236" w:rsidP="008645AD">
      <w:pPr>
        <w:pStyle w:val="Heading2"/>
      </w:pPr>
      <w:r w:rsidRPr="00781112">
        <w:t>6</w:t>
      </w:r>
      <w:r w:rsidR="00C91B94" w:rsidRPr="00781112">
        <w:t xml:space="preserve"> </w:t>
      </w:r>
      <w:r w:rsidRPr="00781112">
        <w:t xml:space="preserve">- </w:t>
      </w:r>
      <w:r w:rsidR="000A2C83" w:rsidRPr="00781112">
        <w:t>Prior FFY Required Actions</w:t>
      </w:r>
    </w:p>
    <w:p w14:paraId="75AD2ACE" w14:textId="77777777" w:rsidR="00B1280F" w:rsidRPr="00781112" w:rsidRDefault="002B7490" w:rsidP="000A2C83">
      <w:pPr>
        <w:rPr>
          <w:rFonts w:cs="Arial"/>
          <w:color w:val="000000" w:themeColor="text1"/>
          <w:szCs w:val="16"/>
        </w:rPr>
      </w:pPr>
      <w:r w:rsidRPr="00781112">
        <w:rPr>
          <w:rFonts w:cs="Arial"/>
          <w:color w:val="000000" w:themeColor="text1"/>
          <w:szCs w:val="16"/>
        </w:rPr>
        <w:t>None</w:t>
      </w:r>
    </w:p>
    <w:p w14:paraId="0F501E58" w14:textId="77777777" w:rsidR="00221EC9" w:rsidRPr="00781112" w:rsidRDefault="00C96236" w:rsidP="008645AD">
      <w:pPr>
        <w:pStyle w:val="Heading2"/>
      </w:pPr>
      <w:r w:rsidRPr="00781112">
        <w:t>6 - OSEP Response</w:t>
      </w:r>
    </w:p>
    <w:p w14:paraId="0FA8D30A" w14:textId="77777777" w:rsidR="003C308E" w:rsidRPr="00781112" w:rsidRDefault="003C308E" w:rsidP="001F692C">
      <w:pPr>
        <w:rPr>
          <w:rFonts w:cs="Arial"/>
          <w:color w:val="000000" w:themeColor="text1"/>
          <w:szCs w:val="16"/>
        </w:rPr>
      </w:pPr>
    </w:p>
    <w:p w14:paraId="5AB4DB88" w14:textId="77777777" w:rsidR="00221EC9" w:rsidRPr="00781112" w:rsidRDefault="00C96236" w:rsidP="008645AD">
      <w:pPr>
        <w:pStyle w:val="Heading2"/>
      </w:pPr>
      <w:r w:rsidRPr="00781112">
        <w:t>6 - Required Actions</w:t>
      </w:r>
    </w:p>
    <w:p w14:paraId="6756D362" w14:textId="77777777" w:rsidR="003C308E" w:rsidRPr="00781112" w:rsidRDefault="003C308E" w:rsidP="001F692C">
      <w:pPr>
        <w:rPr>
          <w:rFonts w:cs="Arial"/>
          <w:color w:val="000000" w:themeColor="text1"/>
          <w:szCs w:val="16"/>
        </w:rPr>
      </w:pPr>
    </w:p>
    <w:p w14:paraId="08F854C9"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39D95200" w14:textId="77777777" w:rsidR="00D21EAA" w:rsidRPr="00781112" w:rsidRDefault="00D21EAA" w:rsidP="000444E2">
      <w:pPr>
        <w:pStyle w:val="Heading1"/>
        <w:rPr>
          <w:color w:val="000000" w:themeColor="text1"/>
          <w:sz w:val="22"/>
        </w:rPr>
      </w:pPr>
      <w:r w:rsidRPr="00781112">
        <w:rPr>
          <w:color w:val="000000" w:themeColor="text1"/>
          <w:sz w:val="22"/>
        </w:rPr>
        <w:lastRenderedPageBreak/>
        <w:t>Indicator 7: Preschool Outcomes</w:t>
      </w:r>
      <w:bookmarkEnd w:id="36"/>
      <w:bookmarkEnd w:id="37"/>
    </w:p>
    <w:p w14:paraId="612B9F91" w14:textId="77777777" w:rsidR="00531E54" w:rsidRPr="002C274F" w:rsidRDefault="00531E54" w:rsidP="002C274F">
      <w:pPr>
        <w:rPr>
          <w:b/>
          <w:bCs/>
          <w:sz w:val="20"/>
          <w:szCs w:val="20"/>
        </w:rPr>
      </w:pPr>
      <w:bookmarkStart w:id="38" w:name="_Toc392159303"/>
      <w:r w:rsidRPr="002C274F">
        <w:rPr>
          <w:b/>
          <w:bCs/>
          <w:sz w:val="20"/>
          <w:szCs w:val="20"/>
        </w:rPr>
        <w:t>Instructions and Measurement</w:t>
      </w:r>
    </w:p>
    <w:p w14:paraId="61956826" w14:textId="77777777"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3BC957EA" w14:textId="77777777" w:rsidR="00CC634E" w:rsidRPr="00781112" w:rsidRDefault="00CC634E" w:rsidP="0011074D">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preschool children aged 3 through 5 with IEPs who demonstrate improved:</w:t>
      </w:r>
    </w:p>
    <w:p w14:paraId="363E8B3E" w14:textId="77777777" w:rsidR="00CC634E" w:rsidRPr="00781112" w:rsidRDefault="00F006BC" w:rsidP="006A01BD">
      <w:pPr>
        <w:ind w:firstLine="720"/>
        <w:rPr>
          <w:rFonts w:cs="Arial"/>
          <w:color w:val="000000" w:themeColor="text1"/>
          <w:szCs w:val="16"/>
        </w:rPr>
      </w:pPr>
      <w:r w:rsidRPr="00781112">
        <w:rPr>
          <w:rFonts w:cs="Arial"/>
          <w:color w:val="000000" w:themeColor="text1"/>
          <w:szCs w:val="16"/>
        </w:rPr>
        <w:t>A. Positive social-emotional skills (including social relationships);</w:t>
      </w:r>
    </w:p>
    <w:p w14:paraId="18709E32" w14:textId="77777777" w:rsidR="00CC634E" w:rsidRPr="00781112" w:rsidRDefault="00F006BC" w:rsidP="006A01BD">
      <w:pPr>
        <w:ind w:firstLine="720"/>
        <w:rPr>
          <w:rFonts w:cs="Arial"/>
          <w:color w:val="000000" w:themeColor="text1"/>
          <w:szCs w:val="16"/>
        </w:rPr>
      </w:pPr>
      <w:r w:rsidRPr="00781112">
        <w:rPr>
          <w:rFonts w:cs="Arial"/>
          <w:color w:val="000000" w:themeColor="text1"/>
          <w:szCs w:val="16"/>
        </w:rPr>
        <w:t>B. Acquisition and use of knowledge and skills (including early language/ communication and early literacy); and</w:t>
      </w:r>
    </w:p>
    <w:p w14:paraId="3371A162" w14:textId="77777777" w:rsidR="00CC634E" w:rsidRPr="00781112" w:rsidRDefault="00F020B0" w:rsidP="006A01BD">
      <w:pPr>
        <w:ind w:firstLine="720"/>
        <w:rPr>
          <w:rFonts w:cs="Arial"/>
          <w:color w:val="000000" w:themeColor="text1"/>
          <w:szCs w:val="16"/>
        </w:rPr>
      </w:pPr>
      <w:r w:rsidRPr="00781112">
        <w:rPr>
          <w:rFonts w:cs="Arial"/>
          <w:color w:val="000000" w:themeColor="text1"/>
          <w:szCs w:val="16"/>
        </w:rPr>
        <w:t>C. Use of appropriate behaviors to meet their needs.</w:t>
      </w:r>
    </w:p>
    <w:p w14:paraId="2948EF70" w14:textId="77777777" w:rsidR="00CC634E" w:rsidRPr="00781112" w:rsidRDefault="00CC634E" w:rsidP="0011074D">
      <w:pPr>
        <w:rPr>
          <w:rFonts w:cs="Arial"/>
          <w:color w:val="000000" w:themeColor="text1"/>
          <w:szCs w:val="16"/>
        </w:rPr>
      </w:pPr>
      <w:r w:rsidRPr="00781112">
        <w:rPr>
          <w:rFonts w:cs="Arial"/>
          <w:color w:val="000000" w:themeColor="text1"/>
          <w:szCs w:val="16"/>
        </w:rPr>
        <w:t>(20 U.S.C. 1416 (a)(3)(A))</w:t>
      </w:r>
    </w:p>
    <w:p w14:paraId="6E16766C" w14:textId="77777777" w:rsidR="008751D3" w:rsidRPr="00781112" w:rsidRDefault="008751D3" w:rsidP="004369B2">
      <w:pPr>
        <w:rPr>
          <w:color w:val="000000" w:themeColor="text1"/>
        </w:rPr>
      </w:pPr>
      <w:r w:rsidRPr="00781112">
        <w:rPr>
          <w:b/>
          <w:color w:val="000000" w:themeColor="text1"/>
        </w:rPr>
        <w:t>Data Source</w:t>
      </w:r>
    </w:p>
    <w:p w14:paraId="6ECA0C29" w14:textId="77777777" w:rsidR="008751D3" w:rsidRPr="00781112" w:rsidRDefault="008751D3" w:rsidP="00286BDF">
      <w:pPr>
        <w:rPr>
          <w:rFonts w:cs="Arial"/>
          <w:color w:val="000000" w:themeColor="text1"/>
          <w:szCs w:val="16"/>
        </w:rPr>
      </w:pPr>
      <w:r w:rsidRPr="00781112">
        <w:rPr>
          <w:rFonts w:cs="Arial"/>
          <w:color w:val="000000" w:themeColor="text1"/>
          <w:szCs w:val="16"/>
        </w:rPr>
        <w:t>State selected data source.</w:t>
      </w:r>
    </w:p>
    <w:p w14:paraId="584175B5" w14:textId="77777777" w:rsidR="008751D3" w:rsidRPr="00781112" w:rsidRDefault="008751D3" w:rsidP="004369B2">
      <w:pPr>
        <w:rPr>
          <w:color w:val="000000" w:themeColor="text1"/>
        </w:rPr>
      </w:pPr>
      <w:r w:rsidRPr="00781112">
        <w:rPr>
          <w:b/>
          <w:color w:val="000000" w:themeColor="text1"/>
        </w:rPr>
        <w:t>Measurement</w:t>
      </w:r>
    </w:p>
    <w:p w14:paraId="624D817C" w14:textId="77777777" w:rsidR="008751D3" w:rsidRPr="00781112" w:rsidRDefault="008751D3" w:rsidP="0011074D">
      <w:pPr>
        <w:rPr>
          <w:rFonts w:cs="Arial"/>
          <w:color w:val="000000" w:themeColor="text1"/>
          <w:szCs w:val="16"/>
        </w:rPr>
      </w:pPr>
      <w:r w:rsidRPr="00781112">
        <w:rPr>
          <w:rFonts w:cs="Arial"/>
          <w:color w:val="000000" w:themeColor="text1"/>
          <w:szCs w:val="16"/>
        </w:rPr>
        <w:t>Outcomes:</w:t>
      </w:r>
    </w:p>
    <w:p w14:paraId="526D5EFE" w14:textId="77777777" w:rsidR="008751D3" w:rsidRPr="00781112" w:rsidRDefault="00D92169"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A. Positive social-emotional skills (including social relationships);</w:t>
      </w:r>
    </w:p>
    <w:p w14:paraId="48E21429" w14:textId="77777777" w:rsidR="008751D3" w:rsidRPr="00781112" w:rsidRDefault="00D92169"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B. Acquisition and use of knowledge and skills (including early language/communication and early literacy); and</w:t>
      </w:r>
    </w:p>
    <w:p w14:paraId="242C333A" w14:textId="77777777" w:rsidR="008751D3" w:rsidRPr="00781112" w:rsidRDefault="00D92169" w:rsidP="006A01BD">
      <w:pPr>
        <w:spacing w:before="0"/>
        <w:ind w:firstLine="720"/>
        <w:rPr>
          <w:rFonts w:eastAsia="Times New Roman" w:cs="Arial"/>
          <w:color w:val="000000" w:themeColor="text1"/>
          <w:szCs w:val="16"/>
        </w:rPr>
      </w:pPr>
      <w:r w:rsidRPr="00781112">
        <w:rPr>
          <w:rFonts w:eastAsia="Times New Roman" w:cs="Arial"/>
          <w:color w:val="000000" w:themeColor="text1"/>
          <w:szCs w:val="16"/>
        </w:rPr>
        <w:t>C. Use of appropriate behaviors to meet their needs.</w:t>
      </w:r>
    </w:p>
    <w:p w14:paraId="4EB5F2BD" w14:textId="77777777" w:rsidR="008751D3" w:rsidRPr="00781112" w:rsidRDefault="008751D3" w:rsidP="0011074D">
      <w:pPr>
        <w:rPr>
          <w:rFonts w:cs="Arial"/>
          <w:color w:val="000000" w:themeColor="text1"/>
          <w:szCs w:val="16"/>
        </w:rPr>
      </w:pPr>
      <w:r w:rsidRPr="00781112">
        <w:rPr>
          <w:rFonts w:cs="Arial"/>
          <w:color w:val="000000" w:themeColor="text1"/>
          <w:szCs w:val="16"/>
        </w:rPr>
        <w:t>Progress categories for A, B and C:</w:t>
      </w:r>
    </w:p>
    <w:p w14:paraId="352E1F1E" w14:textId="77777777" w:rsidR="008751D3" w:rsidRPr="00781112" w:rsidRDefault="00D048BC"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a. Percent of preschool children who did not improve functioning = [(# of preschool children who did not improve functioning) divided by (# of preschool children with IEPs assessed)] times 100.</w:t>
      </w:r>
    </w:p>
    <w:p w14:paraId="456C8F4D" w14:textId="77777777"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b. Percent of preschool children who improved functioning but not sufficient to move nearer to functioning comparable to same-aged peers = [(# of preschool children who improved functioning but not sufficient to move nearer to functioning comparable to same-aged peers) divided by (# of preschool children with IEPs assessed)] times 100.</w:t>
      </w:r>
    </w:p>
    <w:p w14:paraId="70C248CC" w14:textId="77777777"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c. Percent of preschool children who improved functioning to a level nearer to same-aged peers but did not reach it = [(# of preschool children who improved functioning to a level nearer to same-aged peers but did not reach it) divided by (# of preschool children with IEPs assessed)] times 100.</w:t>
      </w:r>
    </w:p>
    <w:p w14:paraId="686FB36B" w14:textId="77777777"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d. Percent of preschool children who improved functioning to reach a level comparable to same-aged peers = [(# of preschool children who improved functioning to reach a level comparable to same-aged peers) divided by (# of preschool children with IEPs assessed)] times 100.</w:t>
      </w:r>
    </w:p>
    <w:p w14:paraId="2042ECB6" w14:textId="77777777" w:rsidR="008751D3" w:rsidRPr="00781112" w:rsidRDefault="00D92169" w:rsidP="006A01BD">
      <w:pPr>
        <w:spacing w:before="0"/>
        <w:ind w:left="720"/>
        <w:rPr>
          <w:rFonts w:eastAsia="Times New Roman" w:cs="Arial"/>
          <w:color w:val="000000" w:themeColor="text1"/>
          <w:szCs w:val="16"/>
        </w:rPr>
      </w:pPr>
      <w:r w:rsidRPr="00781112">
        <w:rPr>
          <w:rFonts w:eastAsia="Times New Roman" w:cs="Arial"/>
          <w:color w:val="000000" w:themeColor="text1"/>
          <w:szCs w:val="16"/>
        </w:rPr>
        <w:t>e. Percent of preschool children who maintained functioning at a level comparable to same-aged peers = [(# of preschool children who maintained functioning at a level comparable to same-aged peers) divided by (# of preschool children with IEPs assessed)] times 100.</w:t>
      </w:r>
    </w:p>
    <w:p w14:paraId="427FB79E" w14:textId="77777777" w:rsidR="008751D3" w:rsidRPr="00781112" w:rsidRDefault="008751D3" w:rsidP="0011074D">
      <w:pPr>
        <w:rPr>
          <w:rFonts w:cs="Arial"/>
          <w:b/>
          <w:color w:val="000000" w:themeColor="text1"/>
          <w:szCs w:val="16"/>
        </w:rPr>
      </w:pPr>
      <w:r w:rsidRPr="00781112">
        <w:rPr>
          <w:rFonts w:cs="Arial"/>
          <w:b/>
          <w:color w:val="000000" w:themeColor="text1"/>
          <w:szCs w:val="16"/>
        </w:rPr>
        <w:t>Summary Statements for Each of the Three Outcomes:</w:t>
      </w:r>
    </w:p>
    <w:p w14:paraId="38B3F666" w14:textId="77777777" w:rsidR="008751D3" w:rsidRPr="00781112" w:rsidRDefault="008751D3" w:rsidP="0011074D">
      <w:pPr>
        <w:rPr>
          <w:rFonts w:cs="Arial"/>
          <w:color w:val="000000" w:themeColor="text1"/>
          <w:szCs w:val="16"/>
        </w:rPr>
      </w:pPr>
      <w:r w:rsidRPr="00781112">
        <w:rPr>
          <w:rFonts w:cs="Arial"/>
          <w:b/>
          <w:bCs/>
          <w:color w:val="000000" w:themeColor="text1"/>
          <w:szCs w:val="16"/>
        </w:rPr>
        <w:t>Summary Statement 1</w:t>
      </w:r>
      <w:r w:rsidRPr="00781112">
        <w:rPr>
          <w:rFonts w:cs="Arial"/>
          <w:bCs/>
          <w:color w:val="000000" w:themeColor="text1"/>
          <w:szCs w:val="16"/>
        </w:rPr>
        <w:t>:</w:t>
      </w:r>
      <w:r w:rsidRPr="00781112">
        <w:rPr>
          <w:rFonts w:cs="Arial"/>
          <w:color w:val="000000" w:themeColor="text1"/>
          <w:szCs w:val="16"/>
        </w:rPr>
        <w:t xml:space="preserve"> Of those preschool children who entered the preschool program below age expectations in each Outcome, the </w:t>
      </w:r>
      <w:proofErr w:type="gramStart"/>
      <w:r w:rsidRPr="00781112">
        <w:rPr>
          <w:rFonts w:cs="Arial"/>
          <w:color w:val="000000" w:themeColor="text1"/>
          <w:szCs w:val="16"/>
        </w:rPr>
        <w:t>percent who</w:t>
      </w:r>
      <w:proofErr w:type="gramEnd"/>
      <w:r w:rsidRPr="00781112">
        <w:rPr>
          <w:rFonts w:cs="Arial"/>
          <w:color w:val="000000" w:themeColor="text1"/>
          <w:szCs w:val="16"/>
        </w:rPr>
        <w:t xml:space="preserve"> substantially increased their rate of growth by the time they turned 6 years of age or exited the program.</w:t>
      </w:r>
    </w:p>
    <w:p w14:paraId="6B008443" w14:textId="77777777" w:rsidR="008751D3" w:rsidRPr="00781112" w:rsidRDefault="008751D3" w:rsidP="0011074D">
      <w:pPr>
        <w:rPr>
          <w:rFonts w:cs="Arial"/>
          <w:color w:val="000000" w:themeColor="text1"/>
          <w:szCs w:val="16"/>
        </w:rPr>
      </w:pPr>
      <w:r w:rsidRPr="00781112">
        <w:rPr>
          <w:rFonts w:cs="Arial"/>
          <w:b/>
          <w:bCs/>
          <w:color w:val="000000" w:themeColor="text1"/>
          <w:szCs w:val="16"/>
        </w:rPr>
        <w:t>Measurement for Summary Statement 1:</w:t>
      </w:r>
      <w:r w:rsidRPr="00781112">
        <w:rPr>
          <w:rFonts w:cs="Arial"/>
          <w:bCs/>
          <w:color w:val="000000" w:themeColor="text1"/>
          <w:szCs w:val="16"/>
        </w:rPr>
        <w:t xml:space="preserve"> </w:t>
      </w:r>
      <w:r w:rsidRPr="00781112">
        <w:rPr>
          <w:rFonts w:cs="Arial"/>
          <w:color w:val="000000" w:themeColor="text1"/>
          <w:szCs w:val="16"/>
        </w:rPr>
        <w:t xml:space="preserve">Percent = </w:t>
      </w:r>
      <w:r w:rsidR="002D30ED" w:rsidRPr="00781112">
        <w:rPr>
          <w:rFonts w:cs="Arial"/>
          <w:color w:val="000000" w:themeColor="text1"/>
          <w:szCs w:val="16"/>
        </w:rPr>
        <w:t xml:space="preserve">[(# </w:t>
      </w:r>
      <w:r w:rsidRPr="00781112">
        <w:rPr>
          <w:rFonts w:cs="Arial"/>
          <w:color w:val="000000" w:themeColor="text1"/>
          <w:szCs w:val="16"/>
        </w:rPr>
        <w:t>of preschool children reported in progress category (c) plus # of preschool children reported in category (d)) divided by (# of preschool children reported in progress category (a) plus # of preschool children reported in progress category (b) plus # of preschool children reported in progress category (c) plus # of preschool children reported in progress category (d</w:t>
      </w:r>
      <w:r w:rsidR="002D30ED" w:rsidRPr="00781112">
        <w:rPr>
          <w:rFonts w:cs="Arial"/>
          <w:color w:val="000000" w:themeColor="text1"/>
          <w:szCs w:val="16"/>
        </w:rPr>
        <w:t xml:space="preserve">))] </w:t>
      </w:r>
      <w:r w:rsidRPr="00781112">
        <w:rPr>
          <w:rFonts w:cs="Arial"/>
          <w:color w:val="000000" w:themeColor="text1"/>
          <w:szCs w:val="16"/>
        </w:rPr>
        <w:t>times 100.</w:t>
      </w:r>
    </w:p>
    <w:p w14:paraId="0DDEFD0C" w14:textId="77777777" w:rsidR="008751D3" w:rsidRPr="00781112" w:rsidRDefault="008751D3" w:rsidP="0011074D">
      <w:pPr>
        <w:rPr>
          <w:rFonts w:cs="Arial"/>
          <w:color w:val="000000" w:themeColor="text1"/>
          <w:szCs w:val="16"/>
        </w:rPr>
      </w:pPr>
      <w:r w:rsidRPr="00781112">
        <w:rPr>
          <w:rFonts w:cs="Arial"/>
          <w:b/>
          <w:bCs/>
          <w:color w:val="000000" w:themeColor="text1"/>
          <w:szCs w:val="16"/>
        </w:rPr>
        <w:t>Summary Statement 2:</w:t>
      </w:r>
      <w:r w:rsidRPr="00781112">
        <w:rPr>
          <w:rFonts w:cs="Arial"/>
          <w:color w:val="000000" w:themeColor="text1"/>
          <w:szCs w:val="16"/>
        </w:rPr>
        <w:t> The percent of preschool children who were functioning within age expectations in each Outcome by the time they turned 6 years of age or exited the program.</w:t>
      </w:r>
    </w:p>
    <w:p w14:paraId="3E9E6ED4" w14:textId="77777777" w:rsidR="008751D3" w:rsidRPr="00781112" w:rsidRDefault="008751D3" w:rsidP="0011074D">
      <w:pPr>
        <w:rPr>
          <w:rFonts w:cs="Arial"/>
          <w:color w:val="000000" w:themeColor="text1"/>
          <w:szCs w:val="16"/>
        </w:rPr>
      </w:pPr>
      <w:r w:rsidRPr="00781112">
        <w:rPr>
          <w:rFonts w:cs="Arial"/>
          <w:b/>
          <w:bCs/>
          <w:color w:val="000000" w:themeColor="text1"/>
          <w:szCs w:val="16"/>
        </w:rPr>
        <w:t>Measurement for Summary Statement 2</w:t>
      </w:r>
      <w:r w:rsidRPr="00781112">
        <w:rPr>
          <w:rFonts w:cs="Arial"/>
          <w:bCs/>
          <w:color w:val="000000" w:themeColor="text1"/>
          <w:szCs w:val="16"/>
        </w:rPr>
        <w:t xml:space="preserve">: </w:t>
      </w:r>
      <w:r w:rsidRPr="00781112">
        <w:rPr>
          <w:rFonts w:cs="Arial"/>
          <w:color w:val="000000" w:themeColor="text1"/>
          <w:szCs w:val="16"/>
        </w:rPr>
        <w:t xml:space="preserve">Percent = </w:t>
      </w:r>
      <w:r w:rsidR="002D30ED" w:rsidRPr="00781112">
        <w:rPr>
          <w:rFonts w:cs="Arial"/>
          <w:color w:val="000000" w:themeColor="text1"/>
          <w:szCs w:val="16"/>
        </w:rPr>
        <w:t xml:space="preserve">[(# </w:t>
      </w:r>
      <w:r w:rsidRPr="00781112">
        <w:rPr>
          <w:rFonts w:cs="Arial"/>
          <w:color w:val="000000" w:themeColor="text1"/>
          <w:szCs w:val="16"/>
        </w:rPr>
        <w:t>of preschool children reported in progress category (d) plus # of preschool children reported in progress category (e)) divided by (the total # of preschool children reported in progress categories (a) + (b) + (c) + (d) + (e</w:t>
      </w:r>
      <w:r w:rsidR="002D30ED" w:rsidRPr="00781112">
        <w:rPr>
          <w:rFonts w:cs="Arial"/>
          <w:color w:val="000000" w:themeColor="text1"/>
          <w:szCs w:val="16"/>
        </w:rPr>
        <w:t xml:space="preserve">))] </w:t>
      </w:r>
      <w:r w:rsidRPr="00781112">
        <w:rPr>
          <w:rFonts w:cs="Arial"/>
          <w:color w:val="000000" w:themeColor="text1"/>
          <w:szCs w:val="16"/>
        </w:rPr>
        <w:t>times 100.</w:t>
      </w:r>
    </w:p>
    <w:p w14:paraId="5F0EA111" w14:textId="77777777" w:rsidR="008751D3" w:rsidRPr="00781112" w:rsidRDefault="008751D3" w:rsidP="004369B2">
      <w:pPr>
        <w:rPr>
          <w:color w:val="000000" w:themeColor="text1"/>
        </w:rPr>
      </w:pPr>
      <w:r w:rsidRPr="00781112">
        <w:rPr>
          <w:b/>
          <w:color w:val="000000" w:themeColor="text1"/>
        </w:rPr>
        <w:t>Instructions</w:t>
      </w:r>
    </w:p>
    <w:p w14:paraId="4F45F226" w14:textId="77777777" w:rsidR="008751D3" w:rsidRPr="00781112" w:rsidRDefault="008751D3" w:rsidP="00286BDF">
      <w:pPr>
        <w:rPr>
          <w:rFonts w:cs="Arial"/>
          <w:color w:val="000000" w:themeColor="text1"/>
          <w:szCs w:val="16"/>
        </w:rPr>
      </w:pPr>
      <w:r w:rsidRPr="00781112">
        <w:rPr>
          <w:rFonts w:cs="Arial"/>
          <w:color w:val="000000" w:themeColor="text1"/>
          <w:szCs w:val="16"/>
        </w:rPr>
        <w:t>Sampling of </w:t>
      </w:r>
      <w:r w:rsidRPr="00781112">
        <w:rPr>
          <w:rFonts w:cs="Arial"/>
          <w:b/>
          <w:bCs/>
          <w:color w:val="000000" w:themeColor="text1"/>
          <w:szCs w:val="16"/>
        </w:rPr>
        <w:t>children for assessment</w:t>
      </w:r>
      <w:r w:rsidRPr="00781112">
        <w:rPr>
          <w:rFonts w:cs="Arial"/>
          <w:color w:val="000000" w:themeColor="text1"/>
          <w:szCs w:val="16"/>
        </w:rPr>
        <w:t> is allowed. When sampling is used, submit a description of the sampling methodology outlining how the design will yield valid and reliable estimates. (See </w:t>
      </w:r>
      <w:r w:rsidRPr="00781112">
        <w:rPr>
          <w:rFonts w:cs="Arial"/>
          <w:color w:val="000000" w:themeColor="text1"/>
          <w:szCs w:val="16"/>
          <w:u w:val="single"/>
        </w:rPr>
        <w:t>General Instructions</w:t>
      </w:r>
      <w:r w:rsidRPr="00781112">
        <w:rPr>
          <w:rFonts w:cs="Arial"/>
          <w:color w:val="000000" w:themeColor="text1"/>
          <w:szCs w:val="16"/>
        </w:rPr>
        <w:t xml:space="preserve"> on page </w:t>
      </w:r>
      <w:r w:rsidR="00DD6816">
        <w:rPr>
          <w:rFonts w:cs="Arial"/>
          <w:color w:val="000000" w:themeColor="text1"/>
          <w:szCs w:val="16"/>
        </w:rPr>
        <w:t>3</w:t>
      </w:r>
      <w:r w:rsidRPr="00781112">
        <w:rPr>
          <w:rFonts w:cs="Arial"/>
          <w:color w:val="000000" w:themeColor="text1"/>
          <w:szCs w:val="16"/>
        </w:rPr>
        <w:t xml:space="preserve"> for additional instructions on sampling.)</w:t>
      </w:r>
    </w:p>
    <w:p w14:paraId="49678800" w14:textId="77777777" w:rsidR="008751D3" w:rsidRPr="00781112" w:rsidRDefault="008751D3" w:rsidP="00286BDF">
      <w:pPr>
        <w:rPr>
          <w:rFonts w:cs="Arial"/>
          <w:color w:val="000000" w:themeColor="text1"/>
          <w:szCs w:val="16"/>
        </w:rPr>
      </w:pPr>
      <w:r w:rsidRPr="00781112">
        <w:rPr>
          <w:rFonts w:cs="Arial"/>
          <w:color w:val="000000" w:themeColor="text1"/>
          <w:szCs w:val="16"/>
        </w:rPr>
        <w:t xml:space="preserve">In the measurement include, in the numerator and denominator, only </w:t>
      </w:r>
      <w:proofErr w:type="gramStart"/>
      <w:r w:rsidRPr="00781112">
        <w:rPr>
          <w:rFonts w:cs="Arial"/>
          <w:color w:val="000000" w:themeColor="text1"/>
          <w:szCs w:val="16"/>
        </w:rPr>
        <w:t>children who received</w:t>
      </w:r>
      <w:proofErr w:type="gramEnd"/>
      <w:r w:rsidRPr="00781112">
        <w:rPr>
          <w:rFonts w:cs="Arial"/>
          <w:color w:val="000000" w:themeColor="text1"/>
          <w:szCs w:val="16"/>
        </w:rPr>
        <w:t xml:space="preserve"> special education and related services for at least six months during the age span of three through five years.</w:t>
      </w:r>
    </w:p>
    <w:p w14:paraId="23D94CEE" w14:textId="77777777" w:rsidR="008751D3" w:rsidRPr="00781112" w:rsidRDefault="008751D3" w:rsidP="00286BDF">
      <w:pPr>
        <w:rPr>
          <w:rFonts w:cs="Arial"/>
          <w:color w:val="000000" w:themeColor="text1"/>
          <w:szCs w:val="16"/>
        </w:rPr>
      </w:pPr>
      <w:r w:rsidRPr="00781112">
        <w:rPr>
          <w:rFonts w:cs="Arial"/>
          <w:color w:val="000000" w:themeColor="text1"/>
          <w:szCs w:val="16"/>
        </w:rPr>
        <w:t>Describe the results of the calculations and compare the results to the targets. States will use the progress categories for each of the three Outcomes to calculate and report the two Summary Statements. States have provided targets for the two Summary Statements for the three Outcomes (six numbers for targets for each FFY).</w:t>
      </w:r>
    </w:p>
    <w:p w14:paraId="626913A3" w14:textId="77777777" w:rsidR="008751D3" w:rsidRPr="00781112" w:rsidRDefault="008751D3" w:rsidP="00286BDF">
      <w:pPr>
        <w:rPr>
          <w:rFonts w:cs="Arial"/>
          <w:color w:val="000000" w:themeColor="text1"/>
          <w:szCs w:val="16"/>
        </w:rPr>
      </w:pPr>
      <w:r w:rsidRPr="00781112">
        <w:rPr>
          <w:rFonts w:cs="Arial"/>
          <w:color w:val="000000" w:themeColor="text1"/>
          <w:szCs w:val="16"/>
        </w:rPr>
        <w:t>Report progress data and calculate Summary Statements to compare against the six targets. Provide the actual numbers and percentages for the five reporting categories for each of the three Outcomes.</w:t>
      </w:r>
    </w:p>
    <w:p w14:paraId="7423317F" w14:textId="77777777" w:rsidR="008751D3" w:rsidRPr="00781112" w:rsidRDefault="008751D3" w:rsidP="00286BDF">
      <w:pPr>
        <w:rPr>
          <w:rFonts w:cs="Arial"/>
          <w:color w:val="000000" w:themeColor="text1"/>
          <w:szCs w:val="16"/>
        </w:rPr>
      </w:pPr>
      <w:r w:rsidRPr="00781112">
        <w:rPr>
          <w:rFonts w:cs="Arial"/>
          <w:color w:val="000000" w:themeColor="text1"/>
          <w:szCs w:val="16"/>
        </w:rPr>
        <w:t>In presenting results, provide the criteria for defining “comparable to same-aged peers.” If a State is using the Early Childhood Outcomes Center (ECO) Child Outcomes Summary (COS), then the criteria for defining “comparable to same-aged peers” has been defined as a child who has been assigned a score of 6 or 7 on the COS.</w:t>
      </w:r>
    </w:p>
    <w:p w14:paraId="052EDAD0" w14:textId="77777777" w:rsidR="008751D3" w:rsidRPr="00781112" w:rsidRDefault="008751D3" w:rsidP="00286BDF">
      <w:pPr>
        <w:rPr>
          <w:rFonts w:cs="Arial"/>
          <w:color w:val="000000" w:themeColor="text1"/>
          <w:szCs w:val="16"/>
        </w:rPr>
      </w:pPr>
      <w:r w:rsidRPr="00781112">
        <w:rPr>
          <w:rFonts w:cs="Arial"/>
          <w:color w:val="000000" w:themeColor="text1"/>
          <w:szCs w:val="16"/>
        </w:rPr>
        <w:t>In addition, list the instruments and procedures used to gather data for this indicator, including if the State is using the ECO COS.</w:t>
      </w:r>
    </w:p>
    <w:bookmarkEnd w:id="38"/>
    <w:p w14:paraId="718D12D5" w14:textId="77777777" w:rsidR="00DF6E30" w:rsidRPr="00781112" w:rsidRDefault="00C96236" w:rsidP="008645AD">
      <w:pPr>
        <w:pStyle w:val="Heading2"/>
      </w:pPr>
      <w:r w:rsidRPr="00781112">
        <w:t>7</w:t>
      </w:r>
      <w:r w:rsidR="00444A9D" w:rsidRPr="00781112">
        <w:t xml:space="preserve"> </w:t>
      </w:r>
      <w:r w:rsidRPr="00781112">
        <w:t xml:space="preserve">- </w:t>
      </w:r>
      <w:r w:rsidR="00DF6E30" w:rsidRPr="00781112">
        <w:t>Indicator Data</w:t>
      </w:r>
    </w:p>
    <w:p w14:paraId="4C187B33" w14:textId="77777777" w:rsidR="0091098C" w:rsidRPr="00781112" w:rsidRDefault="0091098C" w:rsidP="004369B2">
      <w:pPr>
        <w:rPr>
          <w:color w:val="000000" w:themeColor="text1"/>
        </w:rPr>
      </w:pPr>
      <w:r w:rsidRPr="00781112">
        <w:rPr>
          <w:b/>
          <w:color w:val="000000" w:themeColor="text1"/>
        </w:rPr>
        <w:t>Not Applicable</w:t>
      </w:r>
    </w:p>
    <w:p w14:paraId="623B3D40" w14:textId="77777777" w:rsidR="002D30ED" w:rsidRPr="00781112" w:rsidRDefault="00E54DDA">
      <w:pPr>
        <w:rPr>
          <w:b/>
          <w:color w:val="000000" w:themeColor="text1"/>
        </w:rPr>
      </w:pPr>
      <w:r w:rsidRPr="00781112">
        <w:rPr>
          <w:b/>
          <w:color w:val="000000" w:themeColor="text1"/>
        </w:rPr>
        <w:t>Select yes if this indicator is not applicable.</w:t>
      </w:r>
    </w:p>
    <w:p w14:paraId="15A9A568" w14:textId="77777777" w:rsidR="00043AC9" w:rsidRPr="00781112" w:rsidRDefault="00043AC9" w:rsidP="004369B2">
      <w:pPr>
        <w:rPr>
          <w:rFonts w:cs="Arial"/>
          <w:color w:val="000000" w:themeColor="text1"/>
          <w:szCs w:val="16"/>
        </w:rPr>
      </w:pPr>
      <w:r w:rsidRPr="00781112">
        <w:rPr>
          <w:rFonts w:cs="Arial"/>
          <w:color w:val="000000" w:themeColor="text1"/>
          <w:szCs w:val="16"/>
        </w:rPr>
        <w:t>NO</w:t>
      </w:r>
    </w:p>
    <w:p w14:paraId="283B4280" w14:textId="77777777" w:rsidR="002D30ED" w:rsidRPr="00781112" w:rsidRDefault="002D30ED">
      <w:pPr>
        <w:rPr>
          <w:color w:val="000000" w:themeColor="text1"/>
        </w:rPr>
      </w:pPr>
    </w:p>
    <w:p w14:paraId="0472F96D" w14:textId="77777777" w:rsidR="00CC634E" w:rsidRPr="00781112" w:rsidRDefault="00CC634E"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7HISTDATA"/>
      </w:tblPr>
      <w:tblGrid>
        <w:gridCol w:w="536"/>
        <w:gridCol w:w="944"/>
        <w:gridCol w:w="944"/>
        <w:gridCol w:w="1673"/>
        <w:gridCol w:w="1673"/>
        <w:gridCol w:w="1673"/>
        <w:gridCol w:w="1672"/>
        <w:gridCol w:w="1675"/>
      </w:tblGrid>
      <w:tr w:rsidR="005F0D3B" w:rsidRPr="00781112" w14:paraId="6927C187" w14:textId="77777777" w:rsidTr="009023AD">
        <w:trPr>
          <w:trHeight w:val="395"/>
        </w:trPr>
        <w:tc>
          <w:tcPr>
            <w:tcW w:w="248" w:type="pct"/>
            <w:tcBorders>
              <w:top w:val="single" w:sz="4" w:space="0" w:color="auto"/>
              <w:left w:val="single" w:sz="4" w:space="0" w:color="auto"/>
              <w:bottom w:val="single" w:sz="4" w:space="0" w:color="auto"/>
              <w:right w:val="single" w:sz="4" w:space="0" w:color="auto"/>
            </w:tcBorders>
          </w:tcPr>
          <w:p w14:paraId="49D784AB" w14:textId="77777777" w:rsidR="00FA72A0" w:rsidRPr="00781112" w:rsidRDefault="00E104F3" w:rsidP="00FA72A0">
            <w:pPr>
              <w:spacing w:before="0" w:after="0" w:line="276" w:lineRule="auto"/>
              <w:jc w:val="center"/>
              <w:rPr>
                <w:rFonts w:cs="Arial"/>
                <w:b/>
                <w:color w:val="000000" w:themeColor="text1"/>
                <w:szCs w:val="16"/>
              </w:rPr>
            </w:pPr>
            <w:r w:rsidRPr="00781112">
              <w:rPr>
                <w:rFonts w:cs="Arial"/>
                <w:b/>
                <w:color w:val="000000" w:themeColor="text1"/>
                <w:szCs w:val="16"/>
              </w:rPr>
              <w:t>Part</w:t>
            </w:r>
          </w:p>
        </w:tc>
        <w:tc>
          <w:tcPr>
            <w:tcW w:w="437" w:type="pct"/>
            <w:tcBorders>
              <w:top w:val="single" w:sz="4" w:space="0" w:color="auto"/>
              <w:left w:val="single" w:sz="4" w:space="0" w:color="auto"/>
              <w:bottom w:val="single" w:sz="4" w:space="0" w:color="auto"/>
              <w:right w:val="single" w:sz="4" w:space="0" w:color="auto"/>
            </w:tcBorders>
          </w:tcPr>
          <w:p w14:paraId="6C096531" w14:textId="77777777" w:rsidR="00FA72A0" w:rsidRPr="00781112" w:rsidRDefault="00FA72A0" w:rsidP="00FA72A0">
            <w:pPr>
              <w:spacing w:before="0" w:after="0" w:line="276" w:lineRule="auto"/>
              <w:jc w:val="center"/>
              <w:rPr>
                <w:rFonts w:cs="Arial"/>
                <w:b/>
                <w:color w:val="000000" w:themeColor="text1"/>
                <w:szCs w:val="16"/>
              </w:rPr>
            </w:pPr>
            <w:r w:rsidRPr="00781112">
              <w:rPr>
                <w:rFonts w:cs="Arial"/>
                <w:b/>
                <w:color w:val="000000" w:themeColor="text1"/>
                <w:szCs w:val="16"/>
              </w:rPr>
              <w:t>Baseline</w:t>
            </w:r>
          </w:p>
        </w:tc>
        <w:tc>
          <w:tcPr>
            <w:tcW w:w="437" w:type="pct"/>
            <w:tcBorders>
              <w:top w:val="single" w:sz="4" w:space="0" w:color="auto"/>
              <w:left w:val="single" w:sz="4" w:space="0" w:color="auto"/>
              <w:bottom w:val="single" w:sz="4" w:space="0" w:color="auto"/>
              <w:right w:val="single" w:sz="4" w:space="0" w:color="auto"/>
            </w:tcBorders>
          </w:tcPr>
          <w:p w14:paraId="3F7BF72C" w14:textId="77777777" w:rsidR="00FA72A0" w:rsidRPr="00781112" w:rsidRDefault="00FA72A0" w:rsidP="00FA72A0">
            <w:pPr>
              <w:spacing w:before="0" w:after="0" w:line="276" w:lineRule="auto"/>
              <w:jc w:val="center"/>
              <w:rPr>
                <w:rFonts w:cs="Arial"/>
                <w:b/>
                <w:color w:val="000000" w:themeColor="text1"/>
                <w:szCs w:val="16"/>
              </w:rPr>
            </w:pPr>
            <w:r w:rsidRPr="00781112">
              <w:rPr>
                <w:rFonts w:cs="Arial"/>
                <w:b/>
                <w:color w:val="000000" w:themeColor="text1"/>
                <w:szCs w:val="16"/>
              </w:rPr>
              <w:t>FFY</w:t>
            </w:r>
          </w:p>
        </w:tc>
        <w:tc>
          <w:tcPr>
            <w:tcW w:w="775" w:type="pct"/>
            <w:tcBorders>
              <w:top w:val="single" w:sz="4" w:space="0" w:color="auto"/>
              <w:left w:val="single" w:sz="4" w:space="0" w:color="auto"/>
              <w:bottom w:val="single" w:sz="4" w:space="0" w:color="auto"/>
              <w:right w:val="single" w:sz="4" w:space="0" w:color="auto"/>
            </w:tcBorders>
            <w:hideMark/>
          </w:tcPr>
          <w:p w14:paraId="11C61BE5" w14:textId="77777777"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2019</w:t>
            </w:r>
          </w:p>
        </w:tc>
        <w:tc>
          <w:tcPr>
            <w:tcW w:w="775" w:type="pct"/>
            <w:tcBorders>
              <w:top w:val="single" w:sz="4" w:space="0" w:color="auto"/>
              <w:left w:val="single" w:sz="4" w:space="0" w:color="auto"/>
              <w:bottom w:val="single" w:sz="4" w:space="0" w:color="auto"/>
              <w:right w:val="single" w:sz="4" w:space="0" w:color="auto"/>
            </w:tcBorders>
            <w:hideMark/>
          </w:tcPr>
          <w:p w14:paraId="7828C98C" w14:textId="77777777"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2020</w:t>
            </w:r>
          </w:p>
        </w:tc>
        <w:tc>
          <w:tcPr>
            <w:tcW w:w="775" w:type="pct"/>
            <w:tcBorders>
              <w:top w:val="single" w:sz="4" w:space="0" w:color="auto"/>
              <w:left w:val="single" w:sz="4" w:space="0" w:color="auto"/>
              <w:bottom w:val="single" w:sz="4" w:space="0" w:color="auto"/>
              <w:right w:val="single" w:sz="4" w:space="0" w:color="auto"/>
            </w:tcBorders>
          </w:tcPr>
          <w:p w14:paraId="4FC90A40" w14:textId="77777777"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2021</w:t>
            </w:r>
          </w:p>
        </w:tc>
        <w:tc>
          <w:tcPr>
            <w:tcW w:w="775" w:type="pct"/>
            <w:tcBorders>
              <w:top w:val="single" w:sz="4" w:space="0" w:color="auto"/>
              <w:left w:val="single" w:sz="4" w:space="0" w:color="auto"/>
              <w:bottom w:val="single" w:sz="4" w:space="0" w:color="auto"/>
              <w:right w:val="single" w:sz="4" w:space="0" w:color="auto"/>
            </w:tcBorders>
            <w:hideMark/>
          </w:tcPr>
          <w:p w14:paraId="6E9B25F8" w14:textId="77777777"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2022</w:t>
            </w:r>
          </w:p>
        </w:tc>
        <w:tc>
          <w:tcPr>
            <w:tcW w:w="776" w:type="pct"/>
            <w:tcBorders>
              <w:top w:val="single" w:sz="4" w:space="0" w:color="auto"/>
              <w:left w:val="single" w:sz="4" w:space="0" w:color="auto"/>
              <w:bottom w:val="single" w:sz="4" w:space="0" w:color="auto"/>
              <w:right w:val="single" w:sz="4" w:space="0" w:color="auto"/>
            </w:tcBorders>
            <w:hideMark/>
          </w:tcPr>
          <w:p w14:paraId="510C8A70" w14:textId="77777777"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2023</w:t>
            </w:r>
          </w:p>
        </w:tc>
      </w:tr>
      <w:tr w:rsidR="005F0D3B" w:rsidRPr="00781112" w14:paraId="63CD89DF" w14:textId="77777777" w:rsidTr="009023AD">
        <w:trPr>
          <w:trHeight w:val="70"/>
        </w:trPr>
        <w:tc>
          <w:tcPr>
            <w:tcW w:w="248" w:type="pct"/>
            <w:tcBorders>
              <w:top w:val="single" w:sz="4" w:space="0" w:color="auto"/>
              <w:left w:val="single" w:sz="4" w:space="0" w:color="auto"/>
              <w:right w:val="single" w:sz="4" w:space="0" w:color="auto"/>
            </w:tcBorders>
            <w:vAlign w:val="center"/>
          </w:tcPr>
          <w:p w14:paraId="353845E4" w14:textId="77777777" w:rsidR="00CF6742" w:rsidRPr="00781112" w:rsidRDefault="00CF6742">
            <w:pPr>
              <w:spacing w:before="0" w:after="0" w:line="276" w:lineRule="auto"/>
              <w:jc w:val="center"/>
              <w:rPr>
                <w:rFonts w:cs="Arial"/>
                <w:color w:val="000000" w:themeColor="text1"/>
                <w:szCs w:val="16"/>
              </w:rPr>
            </w:pPr>
            <w:r w:rsidRPr="00781112">
              <w:rPr>
                <w:rFonts w:cs="Arial"/>
                <w:color w:val="000000" w:themeColor="text1"/>
                <w:szCs w:val="16"/>
              </w:rPr>
              <w:t>A1</w:t>
            </w:r>
          </w:p>
        </w:tc>
        <w:tc>
          <w:tcPr>
            <w:tcW w:w="437" w:type="pct"/>
            <w:tcBorders>
              <w:top w:val="single" w:sz="4" w:space="0" w:color="auto"/>
              <w:left w:val="single" w:sz="4" w:space="0" w:color="auto"/>
              <w:right w:val="single" w:sz="4" w:space="0" w:color="auto"/>
            </w:tcBorders>
            <w:vAlign w:val="center"/>
          </w:tcPr>
          <w:p w14:paraId="4ADDFA3E"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2019</w:t>
            </w:r>
          </w:p>
        </w:tc>
        <w:tc>
          <w:tcPr>
            <w:tcW w:w="437" w:type="pct"/>
            <w:tcBorders>
              <w:top w:val="single" w:sz="4" w:space="0" w:color="auto"/>
              <w:left w:val="single" w:sz="4" w:space="0" w:color="auto"/>
              <w:bottom w:val="single" w:sz="4" w:space="0" w:color="auto"/>
              <w:right w:val="single" w:sz="4" w:space="0" w:color="auto"/>
            </w:tcBorders>
            <w:vAlign w:val="center"/>
            <w:hideMark/>
          </w:tcPr>
          <w:p w14:paraId="40D60220" w14:textId="77777777" w:rsidR="00CF6742" w:rsidRPr="00781112" w:rsidRDefault="00CF6742"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vAlign w:val="center"/>
          </w:tcPr>
          <w:p w14:paraId="6D1C6B27"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79.50%</w:t>
            </w:r>
          </w:p>
        </w:tc>
        <w:tc>
          <w:tcPr>
            <w:tcW w:w="775" w:type="pct"/>
            <w:tcBorders>
              <w:top w:val="single" w:sz="4" w:space="0" w:color="auto"/>
              <w:left w:val="single" w:sz="4" w:space="0" w:color="auto"/>
              <w:bottom w:val="single" w:sz="4" w:space="0" w:color="auto"/>
              <w:right w:val="single" w:sz="4" w:space="0" w:color="auto"/>
            </w:tcBorders>
            <w:vAlign w:val="center"/>
          </w:tcPr>
          <w:p w14:paraId="764795B9"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84.50%</w:t>
            </w:r>
          </w:p>
        </w:tc>
        <w:tc>
          <w:tcPr>
            <w:tcW w:w="775" w:type="pct"/>
            <w:tcBorders>
              <w:top w:val="single" w:sz="4" w:space="0" w:color="auto"/>
              <w:left w:val="single" w:sz="4" w:space="0" w:color="auto"/>
              <w:bottom w:val="single" w:sz="4" w:space="0" w:color="auto"/>
              <w:right w:val="single" w:sz="4" w:space="0" w:color="auto"/>
            </w:tcBorders>
            <w:vAlign w:val="center"/>
          </w:tcPr>
          <w:p w14:paraId="3347E367"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85.00%</w:t>
            </w:r>
          </w:p>
        </w:tc>
        <w:tc>
          <w:tcPr>
            <w:tcW w:w="775" w:type="pct"/>
            <w:tcBorders>
              <w:top w:val="single" w:sz="4" w:space="0" w:color="auto"/>
              <w:left w:val="single" w:sz="4" w:space="0" w:color="auto"/>
              <w:bottom w:val="single" w:sz="4" w:space="0" w:color="auto"/>
              <w:right w:val="single" w:sz="4" w:space="0" w:color="auto"/>
            </w:tcBorders>
            <w:vAlign w:val="center"/>
          </w:tcPr>
          <w:p w14:paraId="67EBB05F"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85.50%</w:t>
            </w:r>
          </w:p>
        </w:tc>
        <w:tc>
          <w:tcPr>
            <w:tcW w:w="776" w:type="pct"/>
            <w:tcBorders>
              <w:top w:val="single" w:sz="4" w:space="0" w:color="auto"/>
              <w:left w:val="single" w:sz="4" w:space="0" w:color="auto"/>
              <w:bottom w:val="single" w:sz="4" w:space="0" w:color="auto"/>
              <w:right w:val="single" w:sz="4" w:space="0" w:color="auto"/>
            </w:tcBorders>
            <w:vAlign w:val="center"/>
          </w:tcPr>
          <w:p w14:paraId="57DA1110"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86.00%</w:t>
            </w:r>
          </w:p>
        </w:tc>
      </w:tr>
      <w:tr w:rsidR="005F0D3B" w:rsidRPr="00781112" w14:paraId="5A360BA1" w14:textId="77777777" w:rsidTr="009023AD">
        <w:trPr>
          <w:trHeight w:val="70"/>
        </w:trPr>
        <w:tc>
          <w:tcPr>
            <w:tcW w:w="248" w:type="pct"/>
            <w:tcBorders>
              <w:left w:val="single" w:sz="4" w:space="0" w:color="auto"/>
              <w:right w:val="single" w:sz="4" w:space="0" w:color="auto"/>
            </w:tcBorders>
            <w:vAlign w:val="center"/>
          </w:tcPr>
          <w:p w14:paraId="5F2F21E7" w14:textId="77777777" w:rsidR="00CF6742"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A1</w:t>
            </w:r>
          </w:p>
        </w:tc>
        <w:tc>
          <w:tcPr>
            <w:tcW w:w="437" w:type="pct"/>
            <w:tcBorders>
              <w:left w:val="single" w:sz="4" w:space="0" w:color="auto"/>
              <w:right w:val="single" w:sz="4" w:space="0" w:color="auto"/>
            </w:tcBorders>
            <w:vAlign w:val="center"/>
          </w:tcPr>
          <w:p w14:paraId="2E34785B"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84.47%</w:t>
            </w:r>
          </w:p>
        </w:tc>
        <w:tc>
          <w:tcPr>
            <w:tcW w:w="437" w:type="pct"/>
            <w:tcBorders>
              <w:top w:val="single" w:sz="4" w:space="0" w:color="auto"/>
              <w:left w:val="single" w:sz="4" w:space="0" w:color="auto"/>
              <w:bottom w:val="single" w:sz="4" w:space="0" w:color="auto"/>
              <w:right w:val="single" w:sz="4" w:space="0" w:color="auto"/>
            </w:tcBorders>
            <w:vAlign w:val="center"/>
            <w:hideMark/>
          </w:tcPr>
          <w:p w14:paraId="2DFA01F1" w14:textId="77777777" w:rsidR="00CF6742" w:rsidRPr="00781112" w:rsidRDefault="00CF6742"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vAlign w:val="center"/>
          </w:tcPr>
          <w:p w14:paraId="6B294DF2"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84.47%</w:t>
            </w:r>
          </w:p>
        </w:tc>
        <w:tc>
          <w:tcPr>
            <w:tcW w:w="775" w:type="pct"/>
            <w:tcBorders>
              <w:top w:val="single" w:sz="4" w:space="0" w:color="auto"/>
              <w:left w:val="single" w:sz="4" w:space="0" w:color="auto"/>
              <w:bottom w:val="single" w:sz="4" w:space="0" w:color="auto"/>
              <w:right w:val="single" w:sz="4" w:space="0" w:color="auto"/>
            </w:tcBorders>
            <w:vAlign w:val="center"/>
          </w:tcPr>
          <w:p w14:paraId="2AA01D20"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84.32%</w:t>
            </w:r>
          </w:p>
        </w:tc>
        <w:tc>
          <w:tcPr>
            <w:tcW w:w="775" w:type="pct"/>
            <w:tcBorders>
              <w:top w:val="single" w:sz="4" w:space="0" w:color="auto"/>
              <w:left w:val="single" w:sz="4" w:space="0" w:color="auto"/>
              <w:bottom w:val="single" w:sz="4" w:space="0" w:color="auto"/>
              <w:right w:val="single" w:sz="4" w:space="0" w:color="auto"/>
            </w:tcBorders>
            <w:vAlign w:val="center"/>
          </w:tcPr>
          <w:p w14:paraId="5B8A10CB"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83.65%</w:t>
            </w:r>
          </w:p>
        </w:tc>
        <w:tc>
          <w:tcPr>
            <w:tcW w:w="775" w:type="pct"/>
            <w:tcBorders>
              <w:top w:val="single" w:sz="4" w:space="0" w:color="auto"/>
              <w:left w:val="single" w:sz="4" w:space="0" w:color="auto"/>
              <w:bottom w:val="single" w:sz="4" w:space="0" w:color="auto"/>
              <w:right w:val="single" w:sz="4" w:space="0" w:color="auto"/>
            </w:tcBorders>
            <w:vAlign w:val="center"/>
          </w:tcPr>
          <w:p w14:paraId="5AB3101D"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82.22%</w:t>
            </w:r>
          </w:p>
        </w:tc>
        <w:tc>
          <w:tcPr>
            <w:tcW w:w="776" w:type="pct"/>
            <w:tcBorders>
              <w:top w:val="single" w:sz="4" w:space="0" w:color="auto"/>
              <w:left w:val="single" w:sz="4" w:space="0" w:color="auto"/>
              <w:bottom w:val="single" w:sz="4" w:space="0" w:color="auto"/>
              <w:right w:val="single" w:sz="4" w:space="0" w:color="auto"/>
            </w:tcBorders>
            <w:vAlign w:val="center"/>
          </w:tcPr>
          <w:p w14:paraId="227E169B"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82.84%</w:t>
            </w:r>
          </w:p>
        </w:tc>
      </w:tr>
      <w:tr w:rsidR="005F0D3B" w:rsidRPr="00781112" w14:paraId="5C4817A6" w14:textId="77777777" w:rsidTr="009023AD">
        <w:trPr>
          <w:trHeight w:val="70"/>
        </w:trPr>
        <w:tc>
          <w:tcPr>
            <w:tcW w:w="248" w:type="pct"/>
            <w:tcBorders>
              <w:top w:val="single" w:sz="4" w:space="0" w:color="auto"/>
              <w:left w:val="single" w:sz="4" w:space="0" w:color="auto"/>
              <w:right w:val="single" w:sz="4" w:space="0" w:color="auto"/>
            </w:tcBorders>
            <w:vAlign w:val="center"/>
          </w:tcPr>
          <w:p w14:paraId="6668F8BA" w14:textId="77777777" w:rsidR="00CF6742" w:rsidRPr="00781112" w:rsidRDefault="00CF6742">
            <w:pPr>
              <w:spacing w:before="0" w:after="0" w:line="276" w:lineRule="auto"/>
              <w:jc w:val="center"/>
              <w:rPr>
                <w:rFonts w:cs="Arial"/>
                <w:color w:val="000000" w:themeColor="text1"/>
                <w:szCs w:val="16"/>
              </w:rPr>
            </w:pPr>
            <w:r w:rsidRPr="00781112">
              <w:rPr>
                <w:rFonts w:cs="Arial"/>
                <w:color w:val="000000" w:themeColor="text1"/>
                <w:szCs w:val="16"/>
              </w:rPr>
              <w:lastRenderedPageBreak/>
              <w:t>A2</w:t>
            </w:r>
          </w:p>
        </w:tc>
        <w:tc>
          <w:tcPr>
            <w:tcW w:w="437" w:type="pct"/>
            <w:tcBorders>
              <w:top w:val="single" w:sz="4" w:space="0" w:color="auto"/>
              <w:left w:val="single" w:sz="4" w:space="0" w:color="auto"/>
              <w:right w:val="single" w:sz="4" w:space="0" w:color="auto"/>
            </w:tcBorders>
            <w:vAlign w:val="center"/>
          </w:tcPr>
          <w:p w14:paraId="641ADE38"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2019</w:t>
            </w:r>
          </w:p>
        </w:tc>
        <w:tc>
          <w:tcPr>
            <w:tcW w:w="437" w:type="pct"/>
            <w:tcBorders>
              <w:top w:val="single" w:sz="4" w:space="0" w:color="auto"/>
              <w:left w:val="single" w:sz="4" w:space="0" w:color="auto"/>
              <w:bottom w:val="single" w:sz="4" w:space="0" w:color="auto"/>
              <w:right w:val="single" w:sz="4" w:space="0" w:color="auto"/>
            </w:tcBorders>
            <w:vAlign w:val="center"/>
            <w:hideMark/>
          </w:tcPr>
          <w:p w14:paraId="75CC04B3" w14:textId="77777777" w:rsidR="00CF6742" w:rsidRPr="00781112" w:rsidRDefault="00CF6742"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vAlign w:val="center"/>
          </w:tcPr>
          <w:p w14:paraId="2EDD389F"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68.00%</w:t>
            </w:r>
          </w:p>
        </w:tc>
        <w:tc>
          <w:tcPr>
            <w:tcW w:w="775" w:type="pct"/>
            <w:tcBorders>
              <w:top w:val="single" w:sz="4" w:space="0" w:color="auto"/>
              <w:left w:val="single" w:sz="4" w:space="0" w:color="auto"/>
              <w:bottom w:val="single" w:sz="4" w:space="0" w:color="auto"/>
              <w:right w:val="single" w:sz="4" w:space="0" w:color="auto"/>
            </w:tcBorders>
            <w:vAlign w:val="center"/>
          </w:tcPr>
          <w:p w14:paraId="77D1ED52"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64.32%</w:t>
            </w:r>
          </w:p>
        </w:tc>
        <w:tc>
          <w:tcPr>
            <w:tcW w:w="775" w:type="pct"/>
            <w:tcBorders>
              <w:top w:val="single" w:sz="4" w:space="0" w:color="auto"/>
              <w:left w:val="single" w:sz="4" w:space="0" w:color="auto"/>
              <w:bottom w:val="single" w:sz="4" w:space="0" w:color="auto"/>
              <w:right w:val="single" w:sz="4" w:space="0" w:color="auto"/>
            </w:tcBorders>
            <w:vAlign w:val="center"/>
          </w:tcPr>
          <w:p w14:paraId="4B8A6085"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64.40%</w:t>
            </w:r>
          </w:p>
        </w:tc>
        <w:tc>
          <w:tcPr>
            <w:tcW w:w="775" w:type="pct"/>
            <w:tcBorders>
              <w:top w:val="single" w:sz="4" w:space="0" w:color="auto"/>
              <w:left w:val="single" w:sz="4" w:space="0" w:color="auto"/>
              <w:bottom w:val="single" w:sz="4" w:space="0" w:color="auto"/>
              <w:right w:val="single" w:sz="4" w:space="0" w:color="auto"/>
            </w:tcBorders>
            <w:vAlign w:val="center"/>
          </w:tcPr>
          <w:p w14:paraId="16A5A05E"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64.50%</w:t>
            </w:r>
          </w:p>
        </w:tc>
        <w:tc>
          <w:tcPr>
            <w:tcW w:w="776" w:type="pct"/>
            <w:tcBorders>
              <w:top w:val="single" w:sz="4" w:space="0" w:color="auto"/>
              <w:left w:val="single" w:sz="4" w:space="0" w:color="auto"/>
              <w:bottom w:val="single" w:sz="4" w:space="0" w:color="auto"/>
              <w:right w:val="single" w:sz="4" w:space="0" w:color="auto"/>
            </w:tcBorders>
            <w:vAlign w:val="center"/>
          </w:tcPr>
          <w:p w14:paraId="6B05E5A7"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64.60%</w:t>
            </w:r>
          </w:p>
        </w:tc>
      </w:tr>
      <w:tr w:rsidR="005F0D3B" w:rsidRPr="00781112" w14:paraId="3F959036" w14:textId="77777777" w:rsidTr="009023AD">
        <w:trPr>
          <w:trHeight w:val="85"/>
        </w:trPr>
        <w:tc>
          <w:tcPr>
            <w:tcW w:w="248" w:type="pct"/>
            <w:tcBorders>
              <w:left w:val="single" w:sz="4" w:space="0" w:color="auto"/>
              <w:right w:val="single" w:sz="4" w:space="0" w:color="auto"/>
            </w:tcBorders>
            <w:vAlign w:val="center"/>
          </w:tcPr>
          <w:p w14:paraId="54C02F5E" w14:textId="77777777" w:rsidR="00CF6742"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A2</w:t>
            </w:r>
          </w:p>
        </w:tc>
        <w:tc>
          <w:tcPr>
            <w:tcW w:w="437" w:type="pct"/>
            <w:tcBorders>
              <w:left w:val="single" w:sz="4" w:space="0" w:color="auto"/>
              <w:right w:val="single" w:sz="4" w:space="0" w:color="auto"/>
            </w:tcBorders>
            <w:vAlign w:val="center"/>
          </w:tcPr>
          <w:p w14:paraId="6BE610D9"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64.31%</w:t>
            </w:r>
          </w:p>
        </w:tc>
        <w:tc>
          <w:tcPr>
            <w:tcW w:w="437" w:type="pct"/>
            <w:tcBorders>
              <w:top w:val="single" w:sz="4" w:space="0" w:color="auto"/>
              <w:left w:val="single" w:sz="4" w:space="0" w:color="auto"/>
              <w:bottom w:val="single" w:sz="4" w:space="0" w:color="auto"/>
              <w:right w:val="single" w:sz="4" w:space="0" w:color="auto"/>
            </w:tcBorders>
            <w:vAlign w:val="center"/>
            <w:hideMark/>
          </w:tcPr>
          <w:p w14:paraId="74213DA7" w14:textId="77777777" w:rsidR="00CF6742" w:rsidRPr="00781112" w:rsidRDefault="00CF6742"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vAlign w:val="center"/>
          </w:tcPr>
          <w:p w14:paraId="3A47345E"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64.31%</w:t>
            </w:r>
          </w:p>
        </w:tc>
        <w:tc>
          <w:tcPr>
            <w:tcW w:w="775" w:type="pct"/>
            <w:tcBorders>
              <w:top w:val="single" w:sz="4" w:space="0" w:color="auto"/>
              <w:left w:val="single" w:sz="4" w:space="0" w:color="auto"/>
              <w:bottom w:val="single" w:sz="4" w:space="0" w:color="auto"/>
              <w:right w:val="single" w:sz="4" w:space="0" w:color="auto"/>
            </w:tcBorders>
            <w:vAlign w:val="center"/>
          </w:tcPr>
          <w:p w14:paraId="58B0C7FF"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61.52%</w:t>
            </w:r>
          </w:p>
        </w:tc>
        <w:tc>
          <w:tcPr>
            <w:tcW w:w="775" w:type="pct"/>
            <w:tcBorders>
              <w:top w:val="single" w:sz="4" w:space="0" w:color="auto"/>
              <w:left w:val="single" w:sz="4" w:space="0" w:color="auto"/>
              <w:bottom w:val="single" w:sz="4" w:space="0" w:color="auto"/>
              <w:right w:val="single" w:sz="4" w:space="0" w:color="auto"/>
            </w:tcBorders>
            <w:vAlign w:val="center"/>
          </w:tcPr>
          <w:p w14:paraId="10F57747"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62.88%</w:t>
            </w:r>
          </w:p>
        </w:tc>
        <w:tc>
          <w:tcPr>
            <w:tcW w:w="775" w:type="pct"/>
            <w:tcBorders>
              <w:top w:val="single" w:sz="4" w:space="0" w:color="auto"/>
              <w:left w:val="single" w:sz="4" w:space="0" w:color="auto"/>
              <w:bottom w:val="single" w:sz="4" w:space="0" w:color="auto"/>
              <w:right w:val="single" w:sz="4" w:space="0" w:color="auto"/>
            </w:tcBorders>
            <w:vAlign w:val="center"/>
          </w:tcPr>
          <w:p w14:paraId="33ED9903"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61.21%</w:t>
            </w:r>
          </w:p>
        </w:tc>
        <w:tc>
          <w:tcPr>
            <w:tcW w:w="776" w:type="pct"/>
            <w:tcBorders>
              <w:top w:val="single" w:sz="4" w:space="0" w:color="auto"/>
              <w:left w:val="single" w:sz="4" w:space="0" w:color="auto"/>
              <w:bottom w:val="single" w:sz="4" w:space="0" w:color="auto"/>
              <w:right w:val="single" w:sz="4" w:space="0" w:color="auto"/>
            </w:tcBorders>
            <w:vAlign w:val="center"/>
          </w:tcPr>
          <w:p w14:paraId="3D13E719" w14:textId="77777777" w:rsidR="00CF6742" w:rsidRPr="00781112" w:rsidRDefault="002B7490" w:rsidP="00A018D4">
            <w:pPr>
              <w:jc w:val="center"/>
              <w:rPr>
                <w:rFonts w:cs="Arial"/>
                <w:color w:val="000000" w:themeColor="text1"/>
                <w:szCs w:val="16"/>
              </w:rPr>
            </w:pPr>
            <w:r w:rsidRPr="00781112">
              <w:rPr>
                <w:rFonts w:cs="Arial"/>
                <w:color w:val="000000" w:themeColor="text1"/>
                <w:szCs w:val="16"/>
              </w:rPr>
              <w:t>59.27%</w:t>
            </w:r>
          </w:p>
        </w:tc>
      </w:tr>
      <w:tr w:rsidR="005F0D3B" w:rsidRPr="00781112" w14:paraId="0FAD46C5" w14:textId="77777777" w:rsidTr="009023AD">
        <w:trPr>
          <w:trHeight w:val="85"/>
        </w:trPr>
        <w:tc>
          <w:tcPr>
            <w:tcW w:w="248" w:type="pct"/>
            <w:tcBorders>
              <w:left w:val="single" w:sz="4" w:space="0" w:color="auto"/>
              <w:right w:val="single" w:sz="4" w:space="0" w:color="auto"/>
            </w:tcBorders>
            <w:vAlign w:val="center"/>
          </w:tcPr>
          <w:p w14:paraId="67CA3132"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B1</w:t>
            </w:r>
          </w:p>
        </w:tc>
        <w:tc>
          <w:tcPr>
            <w:tcW w:w="437" w:type="pct"/>
            <w:tcBorders>
              <w:left w:val="single" w:sz="4" w:space="0" w:color="auto"/>
              <w:right w:val="single" w:sz="4" w:space="0" w:color="auto"/>
            </w:tcBorders>
            <w:vAlign w:val="center"/>
          </w:tcPr>
          <w:p w14:paraId="52CE333D"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2019</w:t>
            </w:r>
          </w:p>
        </w:tc>
        <w:tc>
          <w:tcPr>
            <w:tcW w:w="437" w:type="pct"/>
            <w:tcBorders>
              <w:top w:val="single" w:sz="4" w:space="0" w:color="auto"/>
              <w:left w:val="single" w:sz="4" w:space="0" w:color="auto"/>
              <w:bottom w:val="single" w:sz="4" w:space="0" w:color="auto"/>
              <w:right w:val="single" w:sz="4" w:space="0" w:color="auto"/>
            </w:tcBorders>
            <w:vAlign w:val="center"/>
          </w:tcPr>
          <w:p w14:paraId="4B909076"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vAlign w:val="center"/>
          </w:tcPr>
          <w:p w14:paraId="0402EEE4"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79.50%</w:t>
            </w:r>
          </w:p>
        </w:tc>
        <w:tc>
          <w:tcPr>
            <w:tcW w:w="775" w:type="pct"/>
            <w:tcBorders>
              <w:top w:val="single" w:sz="4" w:space="0" w:color="auto"/>
              <w:left w:val="single" w:sz="4" w:space="0" w:color="auto"/>
              <w:bottom w:val="single" w:sz="4" w:space="0" w:color="auto"/>
              <w:right w:val="single" w:sz="4" w:space="0" w:color="auto"/>
            </w:tcBorders>
            <w:vAlign w:val="center"/>
          </w:tcPr>
          <w:p w14:paraId="7F934324"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83.51%</w:t>
            </w:r>
          </w:p>
        </w:tc>
        <w:tc>
          <w:tcPr>
            <w:tcW w:w="775" w:type="pct"/>
            <w:tcBorders>
              <w:top w:val="single" w:sz="4" w:space="0" w:color="auto"/>
              <w:left w:val="single" w:sz="4" w:space="0" w:color="auto"/>
              <w:bottom w:val="single" w:sz="4" w:space="0" w:color="auto"/>
              <w:right w:val="single" w:sz="4" w:space="0" w:color="auto"/>
            </w:tcBorders>
            <w:vAlign w:val="center"/>
          </w:tcPr>
          <w:p w14:paraId="4F83C39F"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84.00%</w:t>
            </w:r>
          </w:p>
        </w:tc>
        <w:tc>
          <w:tcPr>
            <w:tcW w:w="775" w:type="pct"/>
            <w:tcBorders>
              <w:top w:val="single" w:sz="4" w:space="0" w:color="auto"/>
              <w:left w:val="single" w:sz="4" w:space="0" w:color="auto"/>
              <w:bottom w:val="single" w:sz="4" w:space="0" w:color="auto"/>
              <w:right w:val="single" w:sz="4" w:space="0" w:color="auto"/>
            </w:tcBorders>
            <w:vAlign w:val="center"/>
          </w:tcPr>
          <w:p w14:paraId="0CF49B3C"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84.50%</w:t>
            </w:r>
          </w:p>
        </w:tc>
        <w:tc>
          <w:tcPr>
            <w:tcW w:w="776" w:type="pct"/>
            <w:tcBorders>
              <w:top w:val="single" w:sz="4" w:space="0" w:color="auto"/>
              <w:left w:val="single" w:sz="4" w:space="0" w:color="auto"/>
              <w:bottom w:val="single" w:sz="4" w:space="0" w:color="auto"/>
              <w:right w:val="single" w:sz="4" w:space="0" w:color="auto"/>
            </w:tcBorders>
            <w:vAlign w:val="center"/>
          </w:tcPr>
          <w:p w14:paraId="1EF3F290"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85.00%</w:t>
            </w:r>
          </w:p>
        </w:tc>
      </w:tr>
      <w:tr w:rsidR="005F0D3B" w:rsidRPr="00781112" w14:paraId="58D5397F" w14:textId="77777777" w:rsidTr="009023AD">
        <w:trPr>
          <w:trHeight w:val="85"/>
        </w:trPr>
        <w:tc>
          <w:tcPr>
            <w:tcW w:w="248" w:type="pct"/>
            <w:tcBorders>
              <w:left w:val="single" w:sz="4" w:space="0" w:color="auto"/>
              <w:right w:val="single" w:sz="4" w:space="0" w:color="auto"/>
            </w:tcBorders>
            <w:vAlign w:val="center"/>
          </w:tcPr>
          <w:p w14:paraId="0580BFD9" w14:textId="77777777"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B1</w:t>
            </w:r>
          </w:p>
        </w:tc>
        <w:tc>
          <w:tcPr>
            <w:tcW w:w="437" w:type="pct"/>
            <w:tcBorders>
              <w:left w:val="single" w:sz="4" w:space="0" w:color="auto"/>
              <w:right w:val="single" w:sz="4" w:space="0" w:color="auto"/>
            </w:tcBorders>
            <w:vAlign w:val="center"/>
          </w:tcPr>
          <w:p w14:paraId="374C97DD"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83.50%</w:t>
            </w:r>
          </w:p>
        </w:tc>
        <w:tc>
          <w:tcPr>
            <w:tcW w:w="437" w:type="pct"/>
            <w:tcBorders>
              <w:top w:val="single" w:sz="4" w:space="0" w:color="auto"/>
              <w:left w:val="single" w:sz="4" w:space="0" w:color="auto"/>
              <w:bottom w:val="single" w:sz="4" w:space="0" w:color="auto"/>
              <w:right w:val="single" w:sz="4" w:space="0" w:color="auto"/>
            </w:tcBorders>
            <w:vAlign w:val="center"/>
          </w:tcPr>
          <w:p w14:paraId="106ABD53"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vAlign w:val="center"/>
          </w:tcPr>
          <w:p w14:paraId="69EDC9EE"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83.50%</w:t>
            </w:r>
          </w:p>
        </w:tc>
        <w:tc>
          <w:tcPr>
            <w:tcW w:w="775" w:type="pct"/>
            <w:tcBorders>
              <w:top w:val="single" w:sz="4" w:space="0" w:color="auto"/>
              <w:left w:val="single" w:sz="4" w:space="0" w:color="auto"/>
              <w:bottom w:val="single" w:sz="4" w:space="0" w:color="auto"/>
              <w:right w:val="single" w:sz="4" w:space="0" w:color="auto"/>
            </w:tcBorders>
            <w:vAlign w:val="center"/>
          </w:tcPr>
          <w:p w14:paraId="626892D0"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84.01%</w:t>
            </w:r>
          </w:p>
        </w:tc>
        <w:tc>
          <w:tcPr>
            <w:tcW w:w="775" w:type="pct"/>
            <w:tcBorders>
              <w:top w:val="single" w:sz="4" w:space="0" w:color="auto"/>
              <w:left w:val="single" w:sz="4" w:space="0" w:color="auto"/>
              <w:bottom w:val="single" w:sz="4" w:space="0" w:color="auto"/>
              <w:right w:val="single" w:sz="4" w:space="0" w:color="auto"/>
            </w:tcBorders>
            <w:vAlign w:val="center"/>
          </w:tcPr>
          <w:p w14:paraId="60D53038"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83.37%</w:t>
            </w:r>
          </w:p>
        </w:tc>
        <w:tc>
          <w:tcPr>
            <w:tcW w:w="775" w:type="pct"/>
            <w:tcBorders>
              <w:top w:val="single" w:sz="4" w:space="0" w:color="auto"/>
              <w:left w:val="single" w:sz="4" w:space="0" w:color="auto"/>
              <w:bottom w:val="single" w:sz="4" w:space="0" w:color="auto"/>
              <w:right w:val="single" w:sz="4" w:space="0" w:color="auto"/>
            </w:tcBorders>
            <w:vAlign w:val="center"/>
          </w:tcPr>
          <w:p w14:paraId="6DA7BB71"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82.43%</w:t>
            </w:r>
          </w:p>
        </w:tc>
        <w:tc>
          <w:tcPr>
            <w:tcW w:w="776" w:type="pct"/>
            <w:tcBorders>
              <w:top w:val="single" w:sz="4" w:space="0" w:color="auto"/>
              <w:left w:val="single" w:sz="4" w:space="0" w:color="auto"/>
              <w:bottom w:val="single" w:sz="4" w:space="0" w:color="auto"/>
              <w:right w:val="single" w:sz="4" w:space="0" w:color="auto"/>
            </w:tcBorders>
            <w:vAlign w:val="center"/>
          </w:tcPr>
          <w:p w14:paraId="56CEDBDB"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82.57%</w:t>
            </w:r>
          </w:p>
        </w:tc>
      </w:tr>
      <w:tr w:rsidR="005F0D3B" w:rsidRPr="00781112" w14:paraId="7F7CD2D9" w14:textId="77777777" w:rsidTr="009023AD">
        <w:trPr>
          <w:trHeight w:val="85"/>
        </w:trPr>
        <w:tc>
          <w:tcPr>
            <w:tcW w:w="248" w:type="pct"/>
            <w:tcBorders>
              <w:left w:val="single" w:sz="4" w:space="0" w:color="auto"/>
              <w:right w:val="single" w:sz="4" w:space="0" w:color="auto"/>
            </w:tcBorders>
            <w:vAlign w:val="center"/>
          </w:tcPr>
          <w:p w14:paraId="070BAE48"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B2</w:t>
            </w:r>
          </w:p>
        </w:tc>
        <w:tc>
          <w:tcPr>
            <w:tcW w:w="437" w:type="pct"/>
            <w:tcBorders>
              <w:left w:val="single" w:sz="4" w:space="0" w:color="auto"/>
              <w:right w:val="single" w:sz="4" w:space="0" w:color="auto"/>
            </w:tcBorders>
            <w:vAlign w:val="center"/>
          </w:tcPr>
          <w:p w14:paraId="6629BE45"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2019</w:t>
            </w:r>
          </w:p>
        </w:tc>
        <w:tc>
          <w:tcPr>
            <w:tcW w:w="437" w:type="pct"/>
            <w:tcBorders>
              <w:top w:val="single" w:sz="4" w:space="0" w:color="auto"/>
              <w:left w:val="single" w:sz="4" w:space="0" w:color="auto"/>
              <w:bottom w:val="single" w:sz="4" w:space="0" w:color="auto"/>
              <w:right w:val="single" w:sz="4" w:space="0" w:color="auto"/>
            </w:tcBorders>
            <w:vAlign w:val="center"/>
          </w:tcPr>
          <w:p w14:paraId="6A754D28"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vAlign w:val="center"/>
          </w:tcPr>
          <w:p w14:paraId="311DED8B"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64.00%</w:t>
            </w:r>
          </w:p>
        </w:tc>
        <w:tc>
          <w:tcPr>
            <w:tcW w:w="775" w:type="pct"/>
            <w:tcBorders>
              <w:top w:val="single" w:sz="4" w:space="0" w:color="auto"/>
              <w:left w:val="single" w:sz="4" w:space="0" w:color="auto"/>
              <w:bottom w:val="single" w:sz="4" w:space="0" w:color="auto"/>
              <w:right w:val="single" w:sz="4" w:space="0" w:color="auto"/>
            </w:tcBorders>
            <w:vAlign w:val="center"/>
          </w:tcPr>
          <w:p w14:paraId="642ECA8E"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62.92%</w:t>
            </w:r>
          </w:p>
        </w:tc>
        <w:tc>
          <w:tcPr>
            <w:tcW w:w="775" w:type="pct"/>
            <w:tcBorders>
              <w:top w:val="single" w:sz="4" w:space="0" w:color="auto"/>
              <w:left w:val="single" w:sz="4" w:space="0" w:color="auto"/>
              <w:bottom w:val="single" w:sz="4" w:space="0" w:color="auto"/>
              <w:right w:val="single" w:sz="4" w:space="0" w:color="auto"/>
            </w:tcBorders>
            <w:vAlign w:val="center"/>
          </w:tcPr>
          <w:p w14:paraId="721D9A5A"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63.00%</w:t>
            </w:r>
          </w:p>
        </w:tc>
        <w:tc>
          <w:tcPr>
            <w:tcW w:w="775" w:type="pct"/>
            <w:tcBorders>
              <w:top w:val="single" w:sz="4" w:space="0" w:color="auto"/>
              <w:left w:val="single" w:sz="4" w:space="0" w:color="auto"/>
              <w:bottom w:val="single" w:sz="4" w:space="0" w:color="auto"/>
              <w:right w:val="single" w:sz="4" w:space="0" w:color="auto"/>
            </w:tcBorders>
            <w:vAlign w:val="center"/>
          </w:tcPr>
          <w:p w14:paraId="74B756B1"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63.10%</w:t>
            </w:r>
          </w:p>
        </w:tc>
        <w:tc>
          <w:tcPr>
            <w:tcW w:w="776" w:type="pct"/>
            <w:tcBorders>
              <w:top w:val="single" w:sz="4" w:space="0" w:color="auto"/>
              <w:left w:val="single" w:sz="4" w:space="0" w:color="auto"/>
              <w:bottom w:val="single" w:sz="4" w:space="0" w:color="auto"/>
              <w:right w:val="single" w:sz="4" w:space="0" w:color="auto"/>
            </w:tcBorders>
            <w:vAlign w:val="center"/>
          </w:tcPr>
          <w:p w14:paraId="3885C900"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63.20%</w:t>
            </w:r>
          </w:p>
        </w:tc>
      </w:tr>
      <w:tr w:rsidR="005F0D3B" w:rsidRPr="00781112" w14:paraId="4DB81997" w14:textId="77777777" w:rsidTr="009023AD">
        <w:trPr>
          <w:trHeight w:val="85"/>
        </w:trPr>
        <w:tc>
          <w:tcPr>
            <w:tcW w:w="248" w:type="pct"/>
            <w:tcBorders>
              <w:left w:val="single" w:sz="4" w:space="0" w:color="auto"/>
              <w:right w:val="single" w:sz="4" w:space="0" w:color="auto"/>
            </w:tcBorders>
            <w:vAlign w:val="center"/>
          </w:tcPr>
          <w:p w14:paraId="72B1C477" w14:textId="77777777"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B2</w:t>
            </w:r>
          </w:p>
        </w:tc>
        <w:tc>
          <w:tcPr>
            <w:tcW w:w="437" w:type="pct"/>
            <w:tcBorders>
              <w:left w:val="single" w:sz="4" w:space="0" w:color="auto"/>
              <w:right w:val="single" w:sz="4" w:space="0" w:color="auto"/>
            </w:tcBorders>
            <w:vAlign w:val="center"/>
          </w:tcPr>
          <w:p w14:paraId="28CB1054"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62.91%</w:t>
            </w:r>
          </w:p>
        </w:tc>
        <w:tc>
          <w:tcPr>
            <w:tcW w:w="437" w:type="pct"/>
            <w:tcBorders>
              <w:top w:val="single" w:sz="4" w:space="0" w:color="auto"/>
              <w:left w:val="single" w:sz="4" w:space="0" w:color="auto"/>
              <w:bottom w:val="single" w:sz="4" w:space="0" w:color="auto"/>
              <w:right w:val="single" w:sz="4" w:space="0" w:color="auto"/>
            </w:tcBorders>
            <w:vAlign w:val="center"/>
          </w:tcPr>
          <w:p w14:paraId="113E2D2D"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vAlign w:val="center"/>
          </w:tcPr>
          <w:p w14:paraId="1957D5D7"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62.91%</w:t>
            </w:r>
          </w:p>
        </w:tc>
        <w:tc>
          <w:tcPr>
            <w:tcW w:w="775" w:type="pct"/>
            <w:tcBorders>
              <w:top w:val="single" w:sz="4" w:space="0" w:color="auto"/>
              <w:left w:val="single" w:sz="4" w:space="0" w:color="auto"/>
              <w:bottom w:val="single" w:sz="4" w:space="0" w:color="auto"/>
              <w:right w:val="single" w:sz="4" w:space="0" w:color="auto"/>
            </w:tcBorders>
            <w:vAlign w:val="center"/>
          </w:tcPr>
          <w:p w14:paraId="59B35F50"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59.17%</w:t>
            </w:r>
          </w:p>
        </w:tc>
        <w:tc>
          <w:tcPr>
            <w:tcW w:w="775" w:type="pct"/>
            <w:tcBorders>
              <w:top w:val="single" w:sz="4" w:space="0" w:color="auto"/>
              <w:left w:val="single" w:sz="4" w:space="0" w:color="auto"/>
              <w:bottom w:val="single" w:sz="4" w:space="0" w:color="auto"/>
              <w:right w:val="single" w:sz="4" w:space="0" w:color="auto"/>
            </w:tcBorders>
            <w:vAlign w:val="center"/>
          </w:tcPr>
          <w:p w14:paraId="515C6178"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60.11%</w:t>
            </w:r>
          </w:p>
        </w:tc>
        <w:tc>
          <w:tcPr>
            <w:tcW w:w="775" w:type="pct"/>
            <w:tcBorders>
              <w:top w:val="single" w:sz="4" w:space="0" w:color="auto"/>
              <w:left w:val="single" w:sz="4" w:space="0" w:color="auto"/>
              <w:bottom w:val="single" w:sz="4" w:space="0" w:color="auto"/>
              <w:right w:val="single" w:sz="4" w:space="0" w:color="auto"/>
            </w:tcBorders>
            <w:vAlign w:val="center"/>
          </w:tcPr>
          <w:p w14:paraId="60141787"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60.24%</w:t>
            </w:r>
          </w:p>
        </w:tc>
        <w:tc>
          <w:tcPr>
            <w:tcW w:w="776" w:type="pct"/>
            <w:tcBorders>
              <w:top w:val="single" w:sz="4" w:space="0" w:color="auto"/>
              <w:left w:val="single" w:sz="4" w:space="0" w:color="auto"/>
              <w:bottom w:val="single" w:sz="4" w:space="0" w:color="auto"/>
              <w:right w:val="single" w:sz="4" w:space="0" w:color="auto"/>
            </w:tcBorders>
            <w:vAlign w:val="center"/>
          </w:tcPr>
          <w:p w14:paraId="7DD77533"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58.32%</w:t>
            </w:r>
          </w:p>
        </w:tc>
      </w:tr>
      <w:tr w:rsidR="005F0D3B" w:rsidRPr="00781112" w14:paraId="7A3FF880" w14:textId="77777777" w:rsidTr="009023AD">
        <w:trPr>
          <w:trHeight w:val="85"/>
        </w:trPr>
        <w:tc>
          <w:tcPr>
            <w:tcW w:w="248" w:type="pct"/>
            <w:tcBorders>
              <w:left w:val="single" w:sz="4" w:space="0" w:color="auto"/>
              <w:right w:val="single" w:sz="4" w:space="0" w:color="auto"/>
            </w:tcBorders>
            <w:vAlign w:val="center"/>
          </w:tcPr>
          <w:p w14:paraId="2ABA9DA2"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C1</w:t>
            </w:r>
          </w:p>
        </w:tc>
        <w:tc>
          <w:tcPr>
            <w:tcW w:w="437" w:type="pct"/>
            <w:tcBorders>
              <w:left w:val="single" w:sz="4" w:space="0" w:color="auto"/>
              <w:right w:val="single" w:sz="4" w:space="0" w:color="auto"/>
            </w:tcBorders>
            <w:vAlign w:val="center"/>
          </w:tcPr>
          <w:p w14:paraId="543E1948"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2019</w:t>
            </w:r>
          </w:p>
        </w:tc>
        <w:tc>
          <w:tcPr>
            <w:tcW w:w="437" w:type="pct"/>
            <w:tcBorders>
              <w:top w:val="single" w:sz="4" w:space="0" w:color="auto"/>
              <w:left w:val="single" w:sz="4" w:space="0" w:color="auto"/>
              <w:bottom w:val="single" w:sz="4" w:space="0" w:color="auto"/>
              <w:right w:val="single" w:sz="4" w:space="0" w:color="auto"/>
            </w:tcBorders>
            <w:vAlign w:val="center"/>
          </w:tcPr>
          <w:p w14:paraId="6D5CB94B"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vAlign w:val="center"/>
          </w:tcPr>
          <w:p w14:paraId="193D5FCB"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80.50%</w:t>
            </w:r>
          </w:p>
        </w:tc>
        <w:tc>
          <w:tcPr>
            <w:tcW w:w="775" w:type="pct"/>
            <w:tcBorders>
              <w:top w:val="single" w:sz="4" w:space="0" w:color="auto"/>
              <w:left w:val="single" w:sz="4" w:space="0" w:color="auto"/>
              <w:bottom w:val="single" w:sz="4" w:space="0" w:color="auto"/>
              <w:right w:val="single" w:sz="4" w:space="0" w:color="auto"/>
            </w:tcBorders>
            <w:vAlign w:val="center"/>
          </w:tcPr>
          <w:p w14:paraId="6290B7CD"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86.29%</w:t>
            </w:r>
          </w:p>
        </w:tc>
        <w:tc>
          <w:tcPr>
            <w:tcW w:w="775" w:type="pct"/>
            <w:tcBorders>
              <w:top w:val="single" w:sz="4" w:space="0" w:color="auto"/>
              <w:left w:val="single" w:sz="4" w:space="0" w:color="auto"/>
              <w:bottom w:val="single" w:sz="4" w:space="0" w:color="auto"/>
              <w:right w:val="single" w:sz="4" w:space="0" w:color="auto"/>
            </w:tcBorders>
            <w:vAlign w:val="center"/>
          </w:tcPr>
          <w:p w14:paraId="64E81122"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86.80%</w:t>
            </w:r>
          </w:p>
        </w:tc>
        <w:tc>
          <w:tcPr>
            <w:tcW w:w="775" w:type="pct"/>
            <w:tcBorders>
              <w:top w:val="single" w:sz="4" w:space="0" w:color="auto"/>
              <w:left w:val="single" w:sz="4" w:space="0" w:color="auto"/>
              <w:bottom w:val="single" w:sz="4" w:space="0" w:color="auto"/>
              <w:right w:val="single" w:sz="4" w:space="0" w:color="auto"/>
            </w:tcBorders>
            <w:vAlign w:val="center"/>
          </w:tcPr>
          <w:p w14:paraId="35E62124"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87.30%</w:t>
            </w:r>
          </w:p>
        </w:tc>
        <w:tc>
          <w:tcPr>
            <w:tcW w:w="776" w:type="pct"/>
            <w:tcBorders>
              <w:top w:val="single" w:sz="4" w:space="0" w:color="auto"/>
              <w:left w:val="single" w:sz="4" w:space="0" w:color="auto"/>
              <w:bottom w:val="single" w:sz="4" w:space="0" w:color="auto"/>
              <w:right w:val="single" w:sz="4" w:space="0" w:color="auto"/>
            </w:tcBorders>
            <w:vAlign w:val="center"/>
          </w:tcPr>
          <w:p w14:paraId="5892291C"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87.80%</w:t>
            </w:r>
          </w:p>
        </w:tc>
      </w:tr>
      <w:tr w:rsidR="005F0D3B" w:rsidRPr="00781112" w14:paraId="51DB4387" w14:textId="77777777" w:rsidTr="009023AD">
        <w:trPr>
          <w:trHeight w:val="85"/>
        </w:trPr>
        <w:tc>
          <w:tcPr>
            <w:tcW w:w="248" w:type="pct"/>
            <w:tcBorders>
              <w:left w:val="single" w:sz="4" w:space="0" w:color="auto"/>
              <w:right w:val="single" w:sz="4" w:space="0" w:color="auto"/>
            </w:tcBorders>
            <w:vAlign w:val="center"/>
          </w:tcPr>
          <w:p w14:paraId="032D44D5" w14:textId="77777777"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C1</w:t>
            </w:r>
          </w:p>
        </w:tc>
        <w:tc>
          <w:tcPr>
            <w:tcW w:w="437" w:type="pct"/>
            <w:tcBorders>
              <w:left w:val="single" w:sz="4" w:space="0" w:color="auto"/>
              <w:right w:val="single" w:sz="4" w:space="0" w:color="auto"/>
            </w:tcBorders>
            <w:vAlign w:val="center"/>
          </w:tcPr>
          <w:p w14:paraId="7AB65C71"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86.28%</w:t>
            </w:r>
          </w:p>
        </w:tc>
        <w:tc>
          <w:tcPr>
            <w:tcW w:w="437" w:type="pct"/>
            <w:tcBorders>
              <w:top w:val="single" w:sz="4" w:space="0" w:color="auto"/>
              <w:left w:val="single" w:sz="4" w:space="0" w:color="auto"/>
              <w:bottom w:val="single" w:sz="4" w:space="0" w:color="auto"/>
              <w:right w:val="single" w:sz="4" w:space="0" w:color="auto"/>
            </w:tcBorders>
            <w:vAlign w:val="center"/>
          </w:tcPr>
          <w:p w14:paraId="41055CAE"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vAlign w:val="center"/>
          </w:tcPr>
          <w:p w14:paraId="05C152E9"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86.28%</w:t>
            </w:r>
          </w:p>
        </w:tc>
        <w:tc>
          <w:tcPr>
            <w:tcW w:w="775" w:type="pct"/>
            <w:tcBorders>
              <w:top w:val="single" w:sz="4" w:space="0" w:color="auto"/>
              <w:left w:val="single" w:sz="4" w:space="0" w:color="auto"/>
              <w:bottom w:val="single" w:sz="4" w:space="0" w:color="auto"/>
              <w:right w:val="single" w:sz="4" w:space="0" w:color="auto"/>
            </w:tcBorders>
            <w:vAlign w:val="center"/>
          </w:tcPr>
          <w:p w14:paraId="649663FF"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84.31%</w:t>
            </w:r>
          </w:p>
        </w:tc>
        <w:tc>
          <w:tcPr>
            <w:tcW w:w="775" w:type="pct"/>
            <w:tcBorders>
              <w:top w:val="single" w:sz="4" w:space="0" w:color="auto"/>
              <w:left w:val="single" w:sz="4" w:space="0" w:color="auto"/>
              <w:bottom w:val="single" w:sz="4" w:space="0" w:color="auto"/>
              <w:right w:val="single" w:sz="4" w:space="0" w:color="auto"/>
            </w:tcBorders>
            <w:vAlign w:val="center"/>
          </w:tcPr>
          <w:p w14:paraId="7887260B"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85.53%</w:t>
            </w:r>
          </w:p>
        </w:tc>
        <w:tc>
          <w:tcPr>
            <w:tcW w:w="775" w:type="pct"/>
            <w:tcBorders>
              <w:top w:val="single" w:sz="4" w:space="0" w:color="auto"/>
              <w:left w:val="single" w:sz="4" w:space="0" w:color="auto"/>
              <w:bottom w:val="single" w:sz="4" w:space="0" w:color="auto"/>
              <w:right w:val="single" w:sz="4" w:space="0" w:color="auto"/>
            </w:tcBorders>
            <w:vAlign w:val="center"/>
          </w:tcPr>
          <w:p w14:paraId="73CB7039"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83.48%</w:t>
            </w:r>
          </w:p>
        </w:tc>
        <w:tc>
          <w:tcPr>
            <w:tcW w:w="776" w:type="pct"/>
            <w:tcBorders>
              <w:top w:val="single" w:sz="4" w:space="0" w:color="auto"/>
              <w:left w:val="single" w:sz="4" w:space="0" w:color="auto"/>
              <w:bottom w:val="single" w:sz="4" w:space="0" w:color="auto"/>
              <w:right w:val="single" w:sz="4" w:space="0" w:color="auto"/>
            </w:tcBorders>
            <w:vAlign w:val="center"/>
          </w:tcPr>
          <w:p w14:paraId="5E9D4134"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84.69%</w:t>
            </w:r>
          </w:p>
        </w:tc>
      </w:tr>
      <w:tr w:rsidR="005F0D3B" w:rsidRPr="00781112" w14:paraId="66FAE6AD" w14:textId="77777777" w:rsidTr="009023AD">
        <w:trPr>
          <w:trHeight w:val="85"/>
        </w:trPr>
        <w:tc>
          <w:tcPr>
            <w:tcW w:w="248" w:type="pct"/>
            <w:tcBorders>
              <w:left w:val="single" w:sz="4" w:space="0" w:color="auto"/>
              <w:right w:val="single" w:sz="4" w:space="0" w:color="auto"/>
            </w:tcBorders>
            <w:vAlign w:val="center"/>
          </w:tcPr>
          <w:p w14:paraId="63BA7180"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C2</w:t>
            </w:r>
          </w:p>
        </w:tc>
        <w:tc>
          <w:tcPr>
            <w:tcW w:w="437" w:type="pct"/>
            <w:tcBorders>
              <w:left w:val="single" w:sz="4" w:space="0" w:color="auto"/>
              <w:right w:val="single" w:sz="4" w:space="0" w:color="auto"/>
            </w:tcBorders>
            <w:vAlign w:val="center"/>
          </w:tcPr>
          <w:p w14:paraId="02A12514"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2019</w:t>
            </w:r>
          </w:p>
        </w:tc>
        <w:tc>
          <w:tcPr>
            <w:tcW w:w="437" w:type="pct"/>
            <w:tcBorders>
              <w:top w:val="single" w:sz="4" w:space="0" w:color="auto"/>
              <w:left w:val="single" w:sz="4" w:space="0" w:color="auto"/>
              <w:bottom w:val="single" w:sz="4" w:space="0" w:color="auto"/>
              <w:right w:val="single" w:sz="4" w:space="0" w:color="auto"/>
            </w:tcBorders>
            <w:vAlign w:val="center"/>
          </w:tcPr>
          <w:p w14:paraId="7B18211E"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vAlign w:val="center"/>
          </w:tcPr>
          <w:p w14:paraId="67BB6639"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80.00%</w:t>
            </w:r>
          </w:p>
        </w:tc>
        <w:tc>
          <w:tcPr>
            <w:tcW w:w="775" w:type="pct"/>
            <w:tcBorders>
              <w:top w:val="single" w:sz="4" w:space="0" w:color="auto"/>
              <w:left w:val="single" w:sz="4" w:space="0" w:color="auto"/>
              <w:bottom w:val="single" w:sz="4" w:space="0" w:color="auto"/>
              <w:right w:val="single" w:sz="4" w:space="0" w:color="auto"/>
            </w:tcBorders>
            <w:vAlign w:val="center"/>
          </w:tcPr>
          <w:p w14:paraId="1B4D7FE3"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74.91%</w:t>
            </w:r>
          </w:p>
        </w:tc>
        <w:tc>
          <w:tcPr>
            <w:tcW w:w="775" w:type="pct"/>
            <w:tcBorders>
              <w:top w:val="single" w:sz="4" w:space="0" w:color="auto"/>
              <w:left w:val="single" w:sz="4" w:space="0" w:color="auto"/>
              <w:bottom w:val="single" w:sz="4" w:space="0" w:color="auto"/>
              <w:right w:val="single" w:sz="4" w:space="0" w:color="auto"/>
            </w:tcBorders>
            <w:vAlign w:val="center"/>
          </w:tcPr>
          <w:p w14:paraId="072FDF84"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75.00%</w:t>
            </w:r>
          </w:p>
        </w:tc>
        <w:tc>
          <w:tcPr>
            <w:tcW w:w="775" w:type="pct"/>
            <w:tcBorders>
              <w:top w:val="single" w:sz="4" w:space="0" w:color="auto"/>
              <w:left w:val="single" w:sz="4" w:space="0" w:color="auto"/>
              <w:bottom w:val="single" w:sz="4" w:space="0" w:color="auto"/>
              <w:right w:val="single" w:sz="4" w:space="0" w:color="auto"/>
            </w:tcBorders>
            <w:vAlign w:val="center"/>
          </w:tcPr>
          <w:p w14:paraId="529E7955"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75.10%</w:t>
            </w:r>
          </w:p>
        </w:tc>
        <w:tc>
          <w:tcPr>
            <w:tcW w:w="776" w:type="pct"/>
            <w:tcBorders>
              <w:top w:val="single" w:sz="4" w:space="0" w:color="auto"/>
              <w:left w:val="single" w:sz="4" w:space="0" w:color="auto"/>
              <w:bottom w:val="single" w:sz="4" w:space="0" w:color="auto"/>
              <w:right w:val="single" w:sz="4" w:space="0" w:color="auto"/>
            </w:tcBorders>
            <w:vAlign w:val="center"/>
          </w:tcPr>
          <w:p w14:paraId="24A19C6E"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75.20%</w:t>
            </w:r>
          </w:p>
        </w:tc>
      </w:tr>
      <w:tr w:rsidR="005F0D3B" w:rsidRPr="00781112" w14:paraId="4BC91370" w14:textId="77777777" w:rsidTr="009023AD">
        <w:trPr>
          <w:trHeight w:val="85"/>
        </w:trPr>
        <w:tc>
          <w:tcPr>
            <w:tcW w:w="248" w:type="pct"/>
            <w:tcBorders>
              <w:left w:val="single" w:sz="4" w:space="0" w:color="auto"/>
              <w:right w:val="single" w:sz="4" w:space="0" w:color="auto"/>
            </w:tcBorders>
            <w:vAlign w:val="center"/>
          </w:tcPr>
          <w:p w14:paraId="427055F6" w14:textId="77777777"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C2</w:t>
            </w:r>
          </w:p>
        </w:tc>
        <w:tc>
          <w:tcPr>
            <w:tcW w:w="437" w:type="pct"/>
            <w:tcBorders>
              <w:left w:val="single" w:sz="4" w:space="0" w:color="auto"/>
              <w:right w:val="single" w:sz="4" w:space="0" w:color="auto"/>
            </w:tcBorders>
            <w:vAlign w:val="center"/>
          </w:tcPr>
          <w:p w14:paraId="6A9E9369"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74.90%</w:t>
            </w:r>
          </w:p>
        </w:tc>
        <w:tc>
          <w:tcPr>
            <w:tcW w:w="437" w:type="pct"/>
            <w:tcBorders>
              <w:top w:val="single" w:sz="4" w:space="0" w:color="auto"/>
              <w:left w:val="single" w:sz="4" w:space="0" w:color="auto"/>
              <w:bottom w:val="single" w:sz="4" w:space="0" w:color="auto"/>
              <w:right w:val="single" w:sz="4" w:space="0" w:color="auto"/>
            </w:tcBorders>
            <w:vAlign w:val="center"/>
          </w:tcPr>
          <w:p w14:paraId="608A0333"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vAlign w:val="center"/>
          </w:tcPr>
          <w:p w14:paraId="29A9B67D"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74.90%</w:t>
            </w:r>
          </w:p>
        </w:tc>
        <w:tc>
          <w:tcPr>
            <w:tcW w:w="775" w:type="pct"/>
            <w:tcBorders>
              <w:top w:val="single" w:sz="4" w:space="0" w:color="auto"/>
              <w:left w:val="single" w:sz="4" w:space="0" w:color="auto"/>
              <w:bottom w:val="single" w:sz="4" w:space="0" w:color="auto"/>
              <w:right w:val="single" w:sz="4" w:space="0" w:color="auto"/>
            </w:tcBorders>
            <w:vAlign w:val="center"/>
          </w:tcPr>
          <w:p w14:paraId="6ECA8FA8"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69.57%</w:t>
            </w:r>
          </w:p>
        </w:tc>
        <w:tc>
          <w:tcPr>
            <w:tcW w:w="775" w:type="pct"/>
            <w:tcBorders>
              <w:top w:val="single" w:sz="4" w:space="0" w:color="auto"/>
              <w:left w:val="single" w:sz="4" w:space="0" w:color="auto"/>
              <w:bottom w:val="single" w:sz="4" w:space="0" w:color="auto"/>
              <w:right w:val="single" w:sz="4" w:space="0" w:color="auto"/>
            </w:tcBorders>
            <w:vAlign w:val="center"/>
          </w:tcPr>
          <w:p w14:paraId="6BF60D59"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70.95%</w:t>
            </w:r>
          </w:p>
        </w:tc>
        <w:tc>
          <w:tcPr>
            <w:tcW w:w="775" w:type="pct"/>
            <w:tcBorders>
              <w:top w:val="single" w:sz="4" w:space="0" w:color="auto"/>
              <w:left w:val="single" w:sz="4" w:space="0" w:color="auto"/>
              <w:bottom w:val="single" w:sz="4" w:space="0" w:color="auto"/>
              <w:right w:val="single" w:sz="4" w:space="0" w:color="auto"/>
            </w:tcBorders>
            <w:vAlign w:val="center"/>
          </w:tcPr>
          <w:p w14:paraId="596B1022"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69.48%</w:t>
            </w:r>
          </w:p>
        </w:tc>
        <w:tc>
          <w:tcPr>
            <w:tcW w:w="776" w:type="pct"/>
            <w:tcBorders>
              <w:top w:val="single" w:sz="4" w:space="0" w:color="auto"/>
              <w:left w:val="single" w:sz="4" w:space="0" w:color="auto"/>
              <w:bottom w:val="single" w:sz="4" w:space="0" w:color="auto"/>
              <w:right w:val="single" w:sz="4" w:space="0" w:color="auto"/>
            </w:tcBorders>
            <w:vAlign w:val="center"/>
          </w:tcPr>
          <w:p w14:paraId="7B56CB7A" w14:textId="77777777" w:rsidR="0085328E" w:rsidRPr="00781112" w:rsidRDefault="002B7490" w:rsidP="00A018D4">
            <w:pPr>
              <w:jc w:val="center"/>
              <w:rPr>
                <w:rFonts w:cs="Arial"/>
                <w:color w:val="000000" w:themeColor="text1"/>
                <w:szCs w:val="16"/>
              </w:rPr>
            </w:pPr>
            <w:r w:rsidRPr="00781112">
              <w:rPr>
                <w:rFonts w:cs="Arial"/>
                <w:color w:val="000000" w:themeColor="text1"/>
                <w:szCs w:val="16"/>
              </w:rPr>
              <w:t>68.12%</w:t>
            </w:r>
          </w:p>
        </w:tc>
      </w:tr>
    </w:tbl>
    <w:p w14:paraId="7BFB7CEF" w14:textId="77777777" w:rsidR="007870F8" w:rsidRPr="00781112" w:rsidRDefault="007870F8" w:rsidP="004369B2">
      <w:pPr>
        <w:rPr>
          <w:color w:val="000000" w:themeColor="text1"/>
        </w:rPr>
      </w:pPr>
    </w:p>
    <w:p w14:paraId="79F4E770" w14:textId="77777777" w:rsidR="00F4192A" w:rsidRPr="00781112" w:rsidRDefault="00F4192A" w:rsidP="004369B2">
      <w:pPr>
        <w:rPr>
          <w:color w:val="000000" w:themeColor="text1"/>
        </w:rPr>
      </w:pPr>
      <w:r w:rsidRPr="00781112">
        <w:rPr>
          <w:b/>
          <w:color w:val="000000" w:themeColor="text1"/>
        </w:rPr>
        <w:t>Targets</w:t>
      </w:r>
    </w:p>
    <w:tbl>
      <w:tblPr>
        <w:tblW w:w="28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TARGETS"/>
      </w:tblPr>
      <w:tblGrid>
        <w:gridCol w:w="679"/>
        <w:gridCol w:w="2671"/>
        <w:gridCol w:w="2850"/>
      </w:tblGrid>
      <w:tr w:rsidR="008B52D3" w:rsidRPr="00781112" w14:paraId="10BE8D01" w14:textId="77777777" w:rsidTr="00924AD9">
        <w:trPr>
          <w:trHeight w:val="333"/>
        </w:trPr>
        <w:tc>
          <w:tcPr>
            <w:tcW w:w="548" w:type="pct"/>
            <w:tcBorders>
              <w:bottom w:val="single" w:sz="4" w:space="0" w:color="auto"/>
            </w:tcBorders>
            <w:vAlign w:val="center"/>
          </w:tcPr>
          <w:p w14:paraId="435FB563" w14:textId="77777777" w:rsidR="008B52D3" w:rsidRPr="00781112" w:rsidRDefault="008B52D3" w:rsidP="00D62058">
            <w:pPr>
              <w:jc w:val="center"/>
              <w:rPr>
                <w:b/>
                <w:color w:val="000000" w:themeColor="text1"/>
              </w:rPr>
            </w:pPr>
            <w:r w:rsidRPr="00781112">
              <w:rPr>
                <w:b/>
                <w:color w:val="000000" w:themeColor="text1"/>
              </w:rPr>
              <w:t>FFY</w:t>
            </w:r>
          </w:p>
        </w:tc>
        <w:tc>
          <w:tcPr>
            <w:tcW w:w="2154" w:type="pct"/>
            <w:vAlign w:val="center"/>
          </w:tcPr>
          <w:p w14:paraId="49BE80FD" w14:textId="77777777" w:rsidR="008B52D3" w:rsidRPr="00781112" w:rsidRDefault="008B52D3" w:rsidP="00D62058">
            <w:pPr>
              <w:jc w:val="center"/>
              <w:rPr>
                <w:b/>
                <w:color w:val="000000" w:themeColor="text1"/>
              </w:rPr>
            </w:pPr>
            <w:r w:rsidRPr="00781112">
              <w:rPr>
                <w:b/>
                <w:color w:val="000000" w:themeColor="text1"/>
              </w:rPr>
              <w:t>2024</w:t>
            </w:r>
          </w:p>
        </w:tc>
        <w:tc>
          <w:tcPr>
            <w:tcW w:w="2298" w:type="pct"/>
            <w:vAlign w:val="center"/>
          </w:tcPr>
          <w:p w14:paraId="2C674493" w14:textId="77777777" w:rsidR="008B52D3" w:rsidRPr="00781112" w:rsidRDefault="008B52D3" w:rsidP="00D62058">
            <w:pPr>
              <w:jc w:val="center"/>
              <w:rPr>
                <w:b/>
                <w:color w:val="000000" w:themeColor="text1"/>
              </w:rPr>
            </w:pPr>
            <w:r w:rsidRPr="00781112">
              <w:rPr>
                <w:rFonts w:cs="Arial"/>
                <w:b/>
                <w:color w:val="000000" w:themeColor="text1"/>
                <w:szCs w:val="16"/>
              </w:rPr>
              <w:t>2025</w:t>
            </w:r>
          </w:p>
        </w:tc>
      </w:tr>
      <w:tr w:rsidR="008B52D3" w:rsidRPr="00781112" w14:paraId="379E6D99" w14:textId="77777777" w:rsidTr="00924AD9">
        <w:trPr>
          <w:trHeight w:val="340"/>
        </w:trPr>
        <w:tc>
          <w:tcPr>
            <w:tcW w:w="548" w:type="pct"/>
            <w:vAlign w:val="center"/>
          </w:tcPr>
          <w:p w14:paraId="79340B6B" w14:textId="77777777" w:rsidR="008B52D3" w:rsidRPr="00781112" w:rsidRDefault="008B52D3" w:rsidP="00BA3DBE">
            <w:pPr>
              <w:jc w:val="center"/>
              <w:rPr>
                <w:rFonts w:cs="Arial"/>
                <w:color w:val="000000" w:themeColor="text1"/>
                <w:szCs w:val="16"/>
              </w:rPr>
            </w:pPr>
            <w:r w:rsidRPr="00781112">
              <w:rPr>
                <w:rFonts w:cs="Arial"/>
                <w:color w:val="000000" w:themeColor="text1"/>
                <w:szCs w:val="16"/>
              </w:rPr>
              <w:t>Target A1 &gt;=</w:t>
            </w:r>
          </w:p>
        </w:tc>
        <w:tc>
          <w:tcPr>
            <w:tcW w:w="2154" w:type="pct"/>
            <w:vAlign w:val="center"/>
          </w:tcPr>
          <w:p w14:paraId="5CA70094" w14:textId="77777777" w:rsidR="008B52D3" w:rsidRPr="00781112" w:rsidRDefault="008B52D3" w:rsidP="00D62058">
            <w:pPr>
              <w:jc w:val="center"/>
              <w:rPr>
                <w:color w:val="000000" w:themeColor="text1"/>
              </w:rPr>
            </w:pPr>
            <w:r w:rsidRPr="00781112">
              <w:rPr>
                <w:color w:val="000000" w:themeColor="text1"/>
              </w:rPr>
              <w:t>86.50%</w:t>
            </w:r>
          </w:p>
        </w:tc>
        <w:tc>
          <w:tcPr>
            <w:tcW w:w="2298" w:type="pct"/>
            <w:vAlign w:val="center"/>
          </w:tcPr>
          <w:p w14:paraId="0DCE1F96" w14:textId="77777777" w:rsidR="008B52D3" w:rsidRPr="00781112" w:rsidRDefault="008B52D3" w:rsidP="00D62058">
            <w:pPr>
              <w:jc w:val="center"/>
              <w:rPr>
                <w:color w:val="000000" w:themeColor="text1"/>
              </w:rPr>
            </w:pPr>
            <w:r w:rsidRPr="00781112">
              <w:rPr>
                <w:color w:val="000000" w:themeColor="text1"/>
                <w:szCs w:val="16"/>
              </w:rPr>
              <w:t>87.00%</w:t>
            </w:r>
          </w:p>
        </w:tc>
      </w:tr>
      <w:tr w:rsidR="008B52D3" w:rsidRPr="00781112" w14:paraId="78DC758F" w14:textId="77777777" w:rsidTr="00924AD9">
        <w:trPr>
          <w:trHeight w:val="340"/>
        </w:trPr>
        <w:tc>
          <w:tcPr>
            <w:tcW w:w="548" w:type="pct"/>
            <w:vAlign w:val="center"/>
          </w:tcPr>
          <w:p w14:paraId="53DF5196" w14:textId="77777777" w:rsidR="008B52D3" w:rsidRPr="00781112" w:rsidRDefault="008B52D3" w:rsidP="00BA3DBE">
            <w:pPr>
              <w:jc w:val="center"/>
              <w:rPr>
                <w:rFonts w:cs="Arial"/>
                <w:color w:val="000000" w:themeColor="text1"/>
                <w:szCs w:val="16"/>
              </w:rPr>
            </w:pPr>
            <w:r w:rsidRPr="00781112">
              <w:rPr>
                <w:rFonts w:cs="Arial"/>
                <w:color w:val="000000" w:themeColor="text1"/>
                <w:szCs w:val="16"/>
              </w:rPr>
              <w:t>Target A2 &gt;=</w:t>
            </w:r>
          </w:p>
        </w:tc>
        <w:tc>
          <w:tcPr>
            <w:tcW w:w="2154" w:type="pct"/>
            <w:vAlign w:val="center"/>
          </w:tcPr>
          <w:p w14:paraId="3949BA83" w14:textId="77777777" w:rsidR="008B52D3" w:rsidRPr="00781112" w:rsidRDefault="008B52D3" w:rsidP="00D62058">
            <w:pPr>
              <w:jc w:val="center"/>
              <w:rPr>
                <w:rFonts w:cs="Arial"/>
                <w:color w:val="000000" w:themeColor="text1"/>
                <w:szCs w:val="16"/>
              </w:rPr>
            </w:pPr>
            <w:r w:rsidRPr="00781112">
              <w:rPr>
                <w:rFonts w:cs="Arial"/>
                <w:color w:val="000000" w:themeColor="text1"/>
                <w:szCs w:val="16"/>
              </w:rPr>
              <w:t>64.70%</w:t>
            </w:r>
          </w:p>
        </w:tc>
        <w:tc>
          <w:tcPr>
            <w:tcW w:w="2298" w:type="pct"/>
            <w:vAlign w:val="center"/>
          </w:tcPr>
          <w:p w14:paraId="5C851751" w14:textId="77777777" w:rsidR="008B52D3" w:rsidRPr="00781112" w:rsidRDefault="008B52D3" w:rsidP="00D62058">
            <w:pPr>
              <w:jc w:val="center"/>
              <w:rPr>
                <w:rFonts w:cs="Arial"/>
                <w:color w:val="000000" w:themeColor="text1"/>
                <w:szCs w:val="16"/>
              </w:rPr>
            </w:pPr>
            <w:r w:rsidRPr="00781112">
              <w:rPr>
                <w:color w:val="000000" w:themeColor="text1"/>
                <w:szCs w:val="16"/>
              </w:rPr>
              <w:t>64.80%</w:t>
            </w:r>
          </w:p>
        </w:tc>
      </w:tr>
      <w:tr w:rsidR="008B52D3" w:rsidRPr="00781112" w14:paraId="0C2B1563" w14:textId="77777777" w:rsidTr="00924AD9">
        <w:trPr>
          <w:trHeight w:val="340"/>
        </w:trPr>
        <w:tc>
          <w:tcPr>
            <w:tcW w:w="548" w:type="pct"/>
            <w:vAlign w:val="center"/>
          </w:tcPr>
          <w:p w14:paraId="3C96E7CF" w14:textId="77777777" w:rsidR="008B52D3" w:rsidRPr="00781112" w:rsidRDefault="008B52D3" w:rsidP="00BA3DBE">
            <w:pPr>
              <w:jc w:val="center"/>
              <w:rPr>
                <w:rFonts w:cs="Arial"/>
                <w:color w:val="000000" w:themeColor="text1"/>
                <w:szCs w:val="16"/>
              </w:rPr>
            </w:pPr>
            <w:r w:rsidRPr="00781112">
              <w:rPr>
                <w:rFonts w:cs="Arial"/>
                <w:color w:val="000000" w:themeColor="text1"/>
                <w:szCs w:val="16"/>
              </w:rPr>
              <w:t>Target B1 &gt;=</w:t>
            </w:r>
          </w:p>
        </w:tc>
        <w:tc>
          <w:tcPr>
            <w:tcW w:w="2154" w:type="pct"/>
            <w:vAlign w:val="center"/>
          </w:tcPr>
          <w:p w14:paraId="0447C998" w14:textId="77777777" w:rsidR="008B52D3" w:rsidRPr="00781112" w:rsidRDefault="008B52D3" w:rsidP="00D62058">
            <w:pPr>
              <w:jc w:val="center"/>
              <w:rPr>
                <w:rFonts w:cs="Arial"/>
                <w:color w:val="000000" w:themeColor="text1"/>
                <w:szCs w:val="16"/>
              </w:rPr>
            </w:pPr>
            <w:r w:rsidRPr="00781112">
              <w:rPr>
                <w:rFonts w:cs="Arial"/>
                <w:color w:val="000000" w:themeColor="text1"/>
                <w:szCs w:val="16"/>
              </w:rPr>
              <w:t>85.50%</w:t>
            </w:r>
          </w:p>
        </w:tc>
        <w:tc>
          <w:tcPr>
            <w:tcW w:w="2298" w:type="pct"/>
            <w:vAlign w:val="center"/>
          </w:tcPr>
          <w:p w14:paraId="510D7414" w14:textId="77777777" w:rsidR="008B52D3" w:rsidRPr="00781112" w:rsidRDefault="008B52D3" w:rsidP="00D62058">
            <w:pPr>
              <w:jc w:val="center"/>
              <w:rPr>
                <w:rFonts w:cs="Arial"/>
                <w:color w:val="000000" w:themeColor="text1"/>
                <w:szCs w:val="16"/>
              </w:rPr>
            </w:pPr>
            <w:r w:rsidRPr="00781112">
              <w:rPr>
                <w:color w:val="000000" w:themeColor="text1"/>
                <w:szCs w:val="16"/>
              </w:rPr>
              <w:t>86.00%</w:t>
            </w:r>
          </w:p>
        </w:tc>
      </w:tr>
      <w:tr w:rsidR="008B52D3" w:rsidRPr="00781112" w14:paraId="77B6422A" w14:textId="77777777" w:rsidTr="00924AD9">
        <w:trPr>
          <w:trHeight w:val="340"/>
        </w:trPr>
        <w:tc>
          <w:tcPr>
            <w:tcW w:w="548" w:type="pct"/>
            <w:vAlign w:val="center"/>
          </w:tcPr>
          <w:p w14:paraId="6BE01C94" w14:textId="77777777" w:rsidR="008B52D3" w:rsidRPr="00781112" w:rsidRDefault="008B52D3" w:rsidP="00BA3DBE">
            <w:pPr>
              <w:jc w:val="center"/>
              <w:rPr>
                <w:rFonts w:cs="Arial"/>
                <w:color w:val="000000" w:themeColor="text1"/>
                <w:szCs w:val="16"/>
              </w:rPr>
            </w:pPr>
            <w:r w:rsidRPr="00781112">
              <w:rPr>
                <w:rFonts w:cs="Arial"/>
                <w:color w:val="000000" w:themeColor="text1"/>
                <w:szCs w:val="16"/>
              </w:rPr>
              <w:t>Target B2 &gt;=</w:t>
            </w:r>
          </w:p>
        </w:tc>
        <w:tc>
          <w:tcPr>
            <w:tcW w:w="2154" w:type="pct"/>
            <w:vAlign w:val="center"/>
          </w:tcPr>
          <w:p w14:paraId="0FB53AA7" w14:textId="77777777" w:rsidR="008B52D3" w:rsidRPr="00781112" w:rsidRDefault="008B52D3" w:rsidP="00D62058">
            <w:pPr>
              <w:jc w:val="center"/>
              <w:rPr>
                <w:rFonts w:cs="Arial"/>
                <w:color w:val="000000" w:themeColor="text1"/>
                <w:szCs w:val="16"/>
              </w:rPr>
            </w:pPr>
            <w:r w:rsidRPr="00781112">
              <w:rPr>
                <w:rFonts w:cs="Arial"/>
                <w:color w:val="000000" w:themeColor="text1"/>
                <w:szCs w:val="16"/>
              </w:rPr>
              <w:t>63.30%</w:t>
            </w:r>
          </w:p>
        </w:tc>
        <w:tc>
          <w:tcPr>
            <w:tcW w:w="2298" w:type="pct"/>
            <w:vAlign w:val="center"/>
          </w:tcPr>
          <w:p w14:paraId="3697C6E6" w14:textId="77777777" w:rsidR="008B52D3" w:rsidRPr="00781112" w:rsidRDefault="008B52D3" w:rsidP="00D62058">
            <w:pPr>
              <w:jc w:val="center"/>
              <w:rPr>
                <w:rFonts w:cs="Arial"/>
                <w:color w:val="000000" w:themeColor="text1"/>
                <w:szCs w:val="16"/>
              </w:rPr>
            </w:pPr>
            <w:r w:rsidRPr="00781112">
              <w:rPr>
                <w:color w:val="000000" w:themeColor="text1"/>
                <w:szCs w:val="16"/>
              </w:rPr>
              <w:t>63.40%</w:t>
            </w:r>
          </w:p>
        </w:tc>
      </w:tr>
      <w:tr w:rsidR="008B52D3" w:rsidRPr="00781112" w14:paraId="2A453DB3" w14:textId="77777777" w:rsidTr="00924AD9">
        <w:trPr>
          <w:trHeight w:val="340"/>
        </w:trPr>
        <w:tc>
          <w:tcPr>
            <w:tcW w:w="548" w:type="pct"/>
            <w:vAlign w:val="center"/>
          </w:tcPr>
          <w:p w14:paraId="26153295" w14:textId="77777777" w:rsidR="008B52D3" w:rsidRPr="00781112" w:rsidRDefault="008B52D3" w:rsidP="00BA3DBE">
            <w:pPr>
              <w:jc w:val="center"/>
              <w:rPr>
                <w:rFonts w:cs="Arial"/>
                <w:color w:val="000000" w:themeColor="text1"/>
                <w:szCs w:val="16"/>
              </w:rPr>
            </w:pPr>
            <w:r w:rsidRPr="00781112">
              <w:rPr>
                <w:rFonts w:cs="Arial"/>
                <w:color w:val="000000" w:themeColor="text1"/>
                <w:szCs w:val="16"/>
              </w:rPr>
              <w:t>Target C1 &gt;=</w:t>
            </w:r>
          </w:p>
        </w:tc>
        <w:tc>
          <w:tcPr>
            <w:tcW w:w="2154" w:type="pct"/>
            <w:vAlign w:val="center"/>
          </w:tcPr>
          <w:p w14:paraId="16423235" w14:textId="77777777" w:rsidR="008B52D3" w:rsidRPr="00781112" w:rsidRDefault="008B52D3" w:rsidP="00D62058">
            <w:pPr>
              <w:jc w:val="center"/>
              <w:rPr>
                <w:rFonts w:cs="Arial"/>
                <w:color w:val="000000" w:themeColor="text1"/>
                <w:szCs w:val="16"/>
              </w:rPr>
            </w:pPr>
            <w:r w:rsidRPr="00781112">
              <w:rPr>
                <w:rFonts w:cs="Arial"/>
                <w:color w:val="000000" w:themeColor="text1"/>
                <w:szCs w:val="16"/>
              </w:rPr>
              <w:t>88.30%</w:t>
            </w:r>
          </w:p>
        </w:tc>
        <w:tc>
          <w:tcPr>
            <w:tcW w:w="2298" w:type="pct"/>
            <w:vAlign w:val="center"/>
          </w:tcPr>
          <w:p w14:paraId="048CD7F3" w14:textId="77777777" w:rsidR="008B52D3" w:rsidRPr="00781112" w:rsidRDefault="008B52D3" w:rsidP="00D62058">
            <w:pPr>
              <w:jc w:val="center"/>
              <w:rPr>
                <w:rFonts w:cs="Arial"/>
                <w:color w:val="000000" w:themeColor="text1"/>
                <w:szCs w:val="16"/>
              </w:rPr>
            </w:pPr>
            <w:r w:rsidRPr="00781112">
              <w:rPr>
                <w:color w:val="000000" w:themeColor="text1"/>
                <w:szCs w:val="16"/>
              </w:rPr>
              <w:t>88.80%</w:t>
            </w:r>
          </w:p>
        </w:tc>
      </w:tr>
      <w:tr w:rsidR="008B52D3" w:rsidRPr="00781112" w14:paraId="13AA7B82" w14:textId="77777777" w:rsidTr="00924AD9">
        <w:trPr>
          <w:trHeight w:val="340"/>
        </w:trPr>
        <w:tc>
          <w:tcPr>
            <w:tcW w:w="548" w:type="pct"/>
            <w:vAlign w:val="center"/>
          </w:tcPr>
          <w:p w14:paraId="3D5CCD40" w14:textId="77777777" w:rsidR="008B52D3" w:rsidRPr="00781112" w:rsidRDefault="008B52D3" w:rsidP="00BA3DBE">
            <w:pPr>
              <w:jc w:val="center"/>
              <w:rPr>
                <w:rFonts w:cs="Arial"/>
                <w:color w:val="000000" w:themeColor="text1"/>
                <w:szCs w:val="16"/>
              </w:rPr>
            </w:pPr>
            <w:r w:rsidRPr="00781112">
              <w:rPr>
                <w:rFonts w:cs="Arial"/>
                <w:color w:val="000000" w:themeColor="text1"/>
                <w:szCs w:val="16"/>
              </w:rPr>
              <w:t>Target C2 &gt;=</w:t>
            </w:r>
          </w:p>
        </w:tc>
        <w:tc>
          <w:tcPr>
            <w:tcW w:w="2154" w:type="pct"/>
            <w:vAlign w:val="center"/>
          </w:tcPr>
          <w:p w14:paraId="2C3AE632" w14:textId="77777777" w:rsidR="008B52D3" w:rsidRPr="00781112" w:rsidRDefault="008B52D3" w:rsidP="00AD5583">
            <w:pPr>
              <w:jc w:val="center"/>
              <w:rPr>
                <w:rFonts w:cs="Arial"/>
                <w:color w:val="000000" w:themeColor="text1"/>
                <w:szCs w:val="16"/>
              </w:rPr>
            </w:pPr>
            <w:r w:rsidRPr="00781112">
              <w:rPr>
                <w:rFonts w:cs="Arial"/>
                <w:color w:val="000000" w:themeColor="text1"/>
                <w:szCs w:val="16"/>
              </w:rPr>
              <w:t>75.30%</w:t>
            </w:r>
          </w:p>
        </w:tc>
        <w:tc>
          <w:tcPr>
            <w:tcW w:w="2298" w:type="pct"/>
            <w:vAlign w:val="center"/>
          </w:tcPr>
          <w:p w14:paraId="6A9DCCC0" w14:textId="77777777" w:rsidR="008B52D3" w:rsidRPr="00781112" w:rsidRDefault="008B52D3" w:rsidP="00AD5583">
            <w:pPr>
              <w:jc w:val="center"/>
              <w:rPr>
                <w:rFonts w:cs="Arial"/>
                <w:color w:val="000000" w:themeColor="text1"/>
                <w:szCs w:val="16"/>
              </w:rPr>
            </w:pPr>
            <w:r w:rsidRPr="00781112">
              <w:rPr>
                <w:color w:val="000000" w:themeColor="text1"/>
                <w:szCs w:val="16"/>
              </w:rPr>
              <w:t>75.40%</w:t>
            </w:r>
          </w:p>
          <w:p w14:paraId="42C4D19E" w14:textId="77777777" w:rsidR="008B52D3" w:rsidRPr="00781112" w:rsidRDefault="008B52D3" w:rsidP="00AD5583">
            <w:pPr>
              <w:jc w:val="center"/>
              <w:rPr>
                <w:rFonts w:cs="Arial"/>
                <w:color w:val="000000" w:themeColor="text1"/>
                <w:szCs w:val="16"/>
              </w:rPr>
            </w:pPr>
          </w:p>
        </w:tc>
      </w:tr>
    </w:tbl>
    <w:p w14:paraId="0E50ED4A" w14:textId="77777777" w:rsidR="002D145D" w:rsidRPr="00781112" w:rsidRDefault="002D145D" w:rsidP="004369B2">
      <w:pPr>
        <w:rPr>
          <w:b/>
          <w:color w:val="000000" w:themeColor="text1"/>
        </w:rPr>
      </w:pPr>
      <w:r w:rsidRPr="00781112">
        <w:rPr>
          <w:b/>
          <w:color w:val="000000" w:themeColor="text1"/>
        </w:rPr>
        <w:t xml:space="preserve">Targets: Description of Stakeholder Input </w:t>
      </w:r>
    </w:p>
    <w:p w14:paraId="51ABF929" w14:textId="77777777" w:rsidR="002D145D" w:rsidRPr="00781112" w:rsidRDefault="002B7490" w:rsidP="002D145D">
      <w:pPr>
        <w:rPr>
          <w:rFonts w:cs="Arial"/>
          <w:color w:val="000000" w:themeColor="text1"/>
          <w:szCs w:val="16"/>
        </w:rPr>
      </w:pPr>
      <w:r w:rsidRPr="00781112">
        <w:rPr>
          <w:rFonts w:cs="Arial"/>
          <w:color w:val="000000" w:themeColor="text1"/>
          <w:szCs w:val="16"/>
        </w:rPr>
        <w:t>WVDE/OSE maintains robust stakeholder engagement through multiple communication and collaboration channels:</w:t>
      </w:r>
    </w:p>
    <w:p w14:paraId="4D828C76" w14:textId="77777777" w:rsidR="00CA787A" w:rsidRDefault="003169E9">
      <w:r>
        <w:rPr>
          <w:color w:val="000000"/>
        </w:rPr>
        <w:t>*DIRECT COMMUNICATION/CONSULTATION*</w:t>
      </w:r>
    </w:p>
    <w:p w14:paraId="24535A4B" w14:textId="77777777" w:rsidR="00CA787A" w:rsidRDefault="003169E9">
      <w:r>
        <w:rPr>
          <w:color w:val="000000"/>
        </w:rPr>
        <w:t>—Engaging in one-on-one calls with parents, advocates, educators, and community stakeholders.</w:t>
      </w:r>
    </w:p>
    <w:p w14:paraId="2CBBB767" w14:textId="77777777" w:rsidR="00CA787A" w:rsidRDefault="003169E9">
      <w:r>
        <w:rPr>
          <w:color w:val="000000"/>
        </w:rPr>
        <w:t>—Distributing emails and surveys to solicit input from diverse stakeholder groups.</w:t>
      </w:r>
    </w:p>
    <w:p w14:paraId="3877C130" w14:textId="77777777" w:rsidR="00CA787A" w:rsidRDefault="003169E9">
      <w:r>
        <w:rPr>
          <w:color w:val="000000"/>
        </w:rPr>
        <w:t>—Hosting bi-monthly secondary transition office hours to address Indicator 13 compliance and results, and to provide technical assistance for IEP development.</w:t>
      </w:r>
    </w:p>
    <w:p w14:paraId="653B0EF3" w14:textId="77777777" w:rsidR="00CA787A" w:rsidRDefault="003169E9">
      <w:r>
        <w:rPr>
          <w:color w:val="000000"/>
        </w:rPr>
        <w:t>—Monthly virtual meetings with stakeholders to identify and troubleshoot areas of concern throughout the state.</w:t>
      </w:r>
    </w:p>
    <w:p w14:paraId="25B9692E" w14:textId="77777777" w:rsidR="00CA787A" w:rsidRDefault="003169E9">
      <w:r>
        <w:rPr>
          <w:color w:val="000000"/>
        </w:rPr>
        <w:t>*INFORMATION SHARING*</w:t>
      </w:r>
    </w:p>
    <w:p w14:paraId="5504C893" w14:textId="77777777" w:rsidR="00CA787A" w:rsidRDefault="003169E9">
      <w:r>
        <w:rPr>
          <w:color w:val="000000"/>
        </w:rPr>
        <w:t>—Utilizing a dedicated Microsoft Teams platform for communication with LEAs.</w:t>
      </w:r>
    </w:p>
    <w:p w14:paraId="338F9874" w14:textId="77777777" w:rsidR="00CA787A" w:rsidRDefault="003169E9">
      <w:r>
        <w:rPr>
          <w:color w:val="000000"/>
        </w:rPr>
        <w:t>—Maintaining a public input form on the WVDE website specifically for SSIP feedback.</w:t>
      </w:r>
    </w:p>
    <w:p w14:paraId="26D866F2" w14:textId="77777777" w:rsidR="00CA787A" w:rsidRDefault="003169E9">
      <w:r>
        <w:rPr>
          <w:color w:val="000000"/>
        </w:rPr>
        <w:t xml:space="preserve">—Collecting input from parents, students, and school personnel as required components of monitoring activities. </w:t>
      </w:r>
    </w:p>
    <w:p w14:paraId="56F20C5B" w14:textId="77777777" w:rsidR="00CA787A" w:rsidRDefault="003169E9">
      <w:r>
        <w:rPr>
          <w:color w:val="000000"/>
        </w:rPr>
        <w:t>—Facilitating cross-office communication and coordination on general and special education initiatives.</w:t>
      </w:r>
    </w:p>
    <w:p w14:paraId="1ED0F2FA" w14:textId="77777777" w:rsidR="00CA787A" w:rsidRDefault="003169E9">
      <w:r>
        <w:rPr>
          <w:color w:val="000000"/>
        </w:rPr>
        <w:t>*COLLABORATIVE PARTNERSHIPS*</w:t>
      </w:r>
    </w:p>
    <w:p w14:paraId="51061438" w14:textId="77777777" w:rsidR="00CA787A" w:rsidRDefault="003169E9">
      <w:r>
        <w:rPr>
          <w:color w:val="000000"/>
        </w:rPr>
        <w:t>—Engaging in ongoing meetings and interagency teams dedicated to enhancing outcomes for individuals with disabilities.</w:t>
      </w:r>
    </w:p>
    <w:p w14:paraId="71429968" w14:textId="77777777" w:rsidR="00CA787A" w:rsidRDefault="003169E9">
      <w:r>
        <w:rPr>
          <w:color w:val="000000"/>
        </w:rPr>
        <w:t>—Ensuring the state director's active participation in all WVACEEC meetings, including involvement in sessions, capacity-building efforts, and feedback collection from LEAs, parents, and community organizations.</w:t>
      </w:r>
    </w:p>
    <w:p w14:paraId="23042EA8" w14:textId="77777777" w:rsidR="00CA787A" w:rsidRDefault="003169E9">
      <w:r>
        <w:rPr>
          <w:color w:val="000000"/>
        </w:rPr>
        <w:t>—Maintaining regular meetings and collaborative relationships with legislators, advocacy organizations, educator associations, and other stakeholders to strengthen stakeholder knowledge of IDEA procedures, improve SEA-stakeholder dialogue, and collaboratively develop strategies for ongoing improvement toward special education goals (e.g., the Developmental Disability Council (DD Council), Statewide Independent Living Council (SILC), State Rehabilitation Council (SRC), Employment First Task Force, Olmstead Council).</w:t>
      </w:r>
    </w:p>
    <w:p w14:paraId="727EB0E1" w14:textId="77777777" w:rsidR="002D145D" w:rsidRPr="00781112" w:rsidRDefault="002B7490" w:rsidP="002D145D">
      <w:pPr>
        <w:rPr>
          <w:rFonts w:cs="Arial"/>
          <w:color w:val="000000" w:themeColor="text1"/>
          <w:szCs w:val="16"/>
        </w:rPr>
      </w:pPr>
      <w:r w:rsidRPr="00781112">
        <w:rPr>
          <w:rFonts w:cs="Arial"/>
          <w:color w:val="000000" w:themeColor="text1"/>
          <w:szCs w:val="16"/>
        </w:rPr>
        <w:t xml:space="preserve">Stakeholders did not express </w:t>
      </w:r>
      <w:proofErr w:type="gramStart"/>
      <w:r w:rsidRPr="00781112">
        <w:rPr>
          <w:rFonts w:cs="Arial"/>
          <w:color w:val="000000" w:themeColor="text1"/>
          <w:szCs w:val="16"/>
        </w:rPr>
        <w:t>interest</w:t>
      </w:r>
      <w:proofErr w:type="gramEnd"/>
      <w:r w:rsidRPr="00781112">
        <w:rPr>
          <w:rFonts w:cs="Arial"/>
          <w:color w:val="000000" w:themeColor="text1"/>
          <w:szCs w:val="16"/>
        </w:rPr>
        <w:t xml:space="preserve"> revising the Preschool Outcomes targets during any meetings throughout the reporting period; however, WVDE/OSE is receptive to any potential concerns or recommendations that stakeholders may have regarding these targets.</w:t>
      </w:r>
    </w:p>
    <w:p w14:paraId="01549D61" w14:textId="77777777" w:rsidR="007870F8" w:rsidRPr="00781112" w:rsidRDefault="007870F8" w:rsidP="004369B2">
      <w:pPr>
        <w:rPr>
          <w:color w:val="000000" w:themeColor="text1"/>
        </w:rPr>
      </w:pPr>
    </w:p>
    <w:p w14:paraId="26264C9C" w14:textId="77777777" w:rsidR="008751D3" w:rsidRPr="00781112" w:rsidRDefault="0047313F">
      <w:pPr>
        <w:rPr>
          <w:b/>
          <w:color w:val="000000" w:themeColor="text1"/>
        </w:rPr>
      </w:pPr>
      <w:r>
        <w:rPr>
          <w:b/>
          <w:color w:val="000000" w:themeColor="text1"/>
        </w:rPr>
        <w:t>FFY 2024 SPP/APR Data</w:t>
      </w:r>
    </w:p>
    <w:p w14:paraId="2655C342" w14:textId="77777777" w:rsidR="004B2C2D" w:rsidRPr="00781112" w:rsidRDefault="004B2C2D">
      <w:pPr>
        <w:rPr>
          <w:rFonts w:cs="Arial"/>
          <w:b/>
          <w:color w:val="000000" w:themeColor="text1"/>
          <w:szCs w:val="16"/>
        </w:rPr>
      </w:pPr>
      <w:r w:rsidRPr="00781112">
        <w:rPr>
          <w:rFonts w:cs="Arial"/>
          <w:b/>
          <w:color w:val="000000" w:themeColor="text1"/>
          <w:szCs w:val="16"/>
        </w:rPr>
        <w:t>Number of preschool children aged 3 through 5 with IEPs assessed</w:t>
      </w:r>
    </w:p>
    <w:p w14:paraId="43307E00" w14:textId="77777777" w:rsidR="004B2C2D" w:rsidRPr="00781112" w:rsidRDefault="004B2C2D" w:rsidP="004369B2">
      <w:pPr>
        <w:rPr>
          <w:color w:val="000000" w:themeColor="text1"/>
        </w:rPr>
      </w:pPr>
      <w:r w:rsidRPr="00781112">
        <w:rPr>
          <w:rFonts w:cs="Arial"/>
          <w:color w:val="000000" w:themeColor="text1"/>
          <w:szCs w:val="16"/>
        </w:rPr>
        <w:t>2,689</w:t>
      </w:r>
    </w:p>
    <w:p w14:paraId="365E9EFA" w14:textId="77777777" w:rsidR="00A80FEB" w:rsidRPr="00781112" w:rsidRDefault="00A80FEB" w:rsidP="004369B2">
      <w:pPr>
        <w:rPr>
          <w:color w:val="000000" w:themeColor="text1"/>
        </w:rPr>
      </w:pPr>
      <w:r w:rsidRPr="00781112">
        <w:rPr>
          <w:b/>
          <w:color w:val="000000" w:themeColor="text1"/>
        </w:rPr>
        <w:t>Outcome A: Positive social-emotional skills (including social relationships)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A"/>
      </w:tblPr>
      <w:tblGrid>
        <w:gridCol w:w="7350"/>
        <w:gridCol w:w="1720"/>
        <w:gridCol w:w="1720"/>
      </w:tblGrid>
      <w:tr w:rsidR="005C29F8" w:rsidRPr="00781112" w14:paraId="16647962" w14:textId="77777777" w:rsidTr="0033429D">
        <w:trPr>
          <w:trHeight w:val="287"/>
          <w:tblHeader/>
        </w:trPr>
        <w:tc>
          <w:tcPr>
            <w:tcW w:w="3406" w:type="pct"/>
            <w:vAlign w:val="bottom"/>
          </w:tcPr>
          <w:p w14:paraId="6705BE3A" w14:textId="77777777" w:rsidR="008751D3" w:rsidRPr="00781112" w:rsidRDefault="00043AAB" w:rsidP="0024351A">
            <w:pPr>
              <w:rPr>
                <w:rFonts w:cs="Arial"/>
                <w:b/>
                <w:color w:val="000000" w:themeColor="text1"/>
                <w:szCs w:val="16"/>
              </w:rPr>
            </w:pPr>
            <w:r w:rsidRPr="00781112">
              <w:rPr>
                <w:rFonts w:cs="Arial"/>
                <w:b/>
                <w:color w:val="000000" w:themeColor="text1"/>
                <w:szCs w:val="16"/>
              </w:rPr>
              <w:lastRenderedPageBreak/>
              <w:t xml:space="preserve">Outcome A </w:t>
            </w:r>
            <w:r w:rsidRPr="00781112">
              <w:rPr>
                <w:rFonts w:cs="Arial"/>
                <w:b/>
                <w:bCs/>
                <w:color w:val="000000" w:themeColor="text1"/>
                <w:szCs w:val="16"/>
              </w:rPr>
              <w:t xml:space="preserve">Progress </w:t>
            </w:r>
            <w:r w:rsidR="009028CA" w:rsidRPr="00781112">
              <w:rPr>
                <w:rFonts w:cs="Arial"/>
                <w:b/>
                <w:bCs/>
                <w:color w:val="000000" w:themeColor="text1"/>
                <w:szCs w:val="16"/>
              </w:rPr>
              <w:t>C</w:t>
            </w:r>
            <w:r w:rsidRPr="00781112">
              <w:rPr>
                <w:rFonts w:cs="Arial"/>
                <w:b/>
                <w:bCs/>
                <w:color w:val="000000" w:themeColor="text1"/>
                <w:szCs w:val="16"/>
              </w:rPr>
              <w:t>ategor</w:t>
            </w:r>
            <w:r w:rsidR="00E91363" w:rsidRPr="00781112">
              <w:rPr>
                <w:rFonts w:cs="Arial"/>
                <w:b/>
                <w:bCs/>
                <w:color w:val="000000" w:themeColor="text1"/>
                <w:szCs w:val="16"/>
              </w:rPr>
              <w:t>y</w:t>
            </w:r>
          </w:p>
        </w:tc>
        <w:tc>
          <w:tcPr>
            <w:tcW w:w="797" w:type="pct"/>
            <w:vAlign w:val="bottom"/>
          </w:tcPr>
          <w:p w14:paraId="625F9601" w14:textId="77777777" w:rsidR="008751D3" w:rsidRPr="00781112" w:rsidRDefault="008751D3" w:rsidP="004369B2">
            <w:pPr>
              <w:jc w:val="center"/>
              <w:rPr>
                <w:rFonts w:cs="Arial"/>
                <w:b/>
                <w:color w:val="000000" w:themeColor="text1"/>
                <w:szCs w:val="16"/>
              </w:rPr>
            </w:pPr>
            <w:r w:rsidRPr="00781112">
              <w:rPr>
                <w:rFonts w:cs="Arial"/>
                <w:b/>
                <w:color w:val="000000" w:themeColor="text1"/>
                <w:szCs w:val="16"/>
              </w:rPr>
              <w:t>Number of children</w:t>
            </w:r>
          </w:p>
        </w:tc>
        <w:tc>
          <w:tcPr>
            <w:tcW w:w="797" w:type="pct"/>
            <w:vAlign w:val="bottom"/>
          </w:tcPr>
          <w:p w14:paraId="080A8387" w14:textId="77777777" w:rsidR="008751D3" w:rsidRPr="00781112" w:rsidRDefault="008751D3" w:rsidP="004369B2">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13758981" w14:textId="77777777" w:rsidTr="00AB0D6A">
        <w:trPr>
          <w:trHeight w:val="361"/>
        </w:trPr>
        <w:tc>
          <w:tcPr>
            <w:tcW w:w="3406" w:type="pct"/>
            <w:vAlign w:val="center"/>
          </w:tcPr>
          <w:p w14:paraId="279165F1" w14:textId="77777777" w:rsidR="00A86385" w:rsidRPr="00781112" w:rsidRDefault="00A86385" w:rsidP="00A86385">
            <w:pPr>
              <w:rPr>
                <w:rFonts w:cs="Arial"/>
                <w:szCs w:val="16"/>
              </w:rPr>
            </w:pPr>
            <w:r w:rsidRPr="00781112">
              <w:rPr>
                <w:rFonts w:cs="Arial"/>
                <w:szCs w:val="16"/>
              </w:rPr>
              <w:t>a. Preschool children who did not improve functioning</w:t>
            </w:r>
          </w:p>
        </w:tc>
        <w:tc>
          <w:tcPr>
            <w:tcW w:w="797" w:type="pct"/>
            <w:vAlign w:val="center"/>
          </w:tcPr>
          <w:p w14:paraId="10009104" w14:textId="77777777" w:rsidR="00A86385" w:rsidRPr="00781112" w:rsidRDefault="002B7490" w:rsidP="00A018D4">
            <w:pPr>
              <w:jc w:val="center"/>
              <w:rPr>
                <w:rFonts w:cs="Arial"/>
                <w:szCs w:val="16"/>
              </w:rPr>
            </w:pPr>
            <w:r w:rsidRPr="00781112">
              <w:rPr>
                <w:rFonts w:cs="Arial"/>
                <w:szCs w:val="16"/>
              </w:rPr>
              <w:t>69</w:t>
            </w:r>
          </w:p>
        </w:tc>
        <w:tc>
          <w:tcPr>
            <w:tcW w:w="797" w:type="pct"/>
            <w:vAlign w:val="center"/>
          </w:tcPr>
          <w:p w14:paraId="00C7FE5B" w14:textId="77777777" w:rsidR="00A86385" w:rsidRPr="00781112" w:rsidRDefault="002B7490" w:rsidP="00A018D4">
            <w:pPr>
              <w:jc w:val="center"/>
              <w:rPr>
                <w:rFonts w:cs="Arial"/>
                <w:szCs w:val="16"/>
              </w:rPr>
            </w:pPr>
            <w:r w:rsidRPr="00781112">
              <w:rPr>
                <w:rFonts w:cs="Arial"/>
                <w:szCs w:val="16"/>
              </w:rPr>
              <w:t>2.57%</w:t>
            </w:r>
          </w:p>
        </w:tc>
      </w:tr>
      <w:tr w:rsidR="005C29F8" w:rsidRPr="00781112" w14:paraId="0E970814" w14:textId="77777777" w:rsidTr="00AB0D6A">
        <w:trPr>
          <w:trHeight w:val="361"/>
        </w:trPr>
        <w:tc>
          <w:tcPr>
            <w:tcW w:w="3406" w:type="pct"/>
            <w:vAlign w:val="center"/>
          </w:tcPr>
          <w:p w14:paraId="1F28E64B" w14:textId="77777777" w:rsidR="00A86385" w:rsidRPr="00781112" w:rsidRDefault="00A86385" w:rsidP="00A86385">
            <w:pPr>
              <w:rPr>
                <w:rFonts w:cs="Arial"/>
                <w:szCs w:val="16"/>
              </w:rPr>
            </w:pPr>
            <w:r w:rsidRPr="00781112">
              <w:rPr>
                <w:rFonts w:cs="Arial"/>
                <w:szCs w:val="16"/>
              </w:rPr>
              <w:t>b. Preschool children who improved functioning but not sufficient to move nearer to functioning comparable to same-aged peers</w:t>
            </w:r>
          </w:p>
        </w:tc>
        <w:tc>
          <w:tcPr>
            <w:tcW w:w="797" w:type="pct"/>
            <w:vAlign w:val="center"/>
          </w:tcPr>
          <w:p w14:paraId="7F1794B6" w14:textId="77777777" w:rsidR="00A86385" w:rsidRPr="00781112" w:rsidRDefault="002B7490" w:rsidP="00A018D4">
            <w:pPr>
              <w:jc w:val="center"/>
              <w:rPr>
                <w:rFonts w:cs="Arial"/>
                <w:szCs w:val="16"/>
              </w:rPr>
            </w:pPr>
            <w:r w:rsidRPr="00781112">
              <w:rPr>
                <w:rFonts w:cs="Arial"/>
                <w:szCs w:val="16"/>
              </w:rPr>
              <w:t>355</w:t>
            </w:r>
          </w:p>
        </w:tc>
        <w:tc>
          <w:tcPr>
            <w:tcW w:w="797" w:type="pct"/>
            <w:vAlign w:val="center"/>
          </w:tcPr>
          <w:p w14:paraId="46B0FAEC" w14:textId="77777777" w:rsidR="00A86385" w:rsidRPr="00781112" w:rsidRDefault="002B7490" w:rsidP="00A018D4">
            <w:pPr>
              <w:jc w:val="center"/>
              <w:rPr>
                <w:rFonts w:cs="Arial"/>
                <w:szCs w:val="16"/>
              </w:rPr>
            </w:pPr>
            <w:r w:rsidRPr="00781112">
              <w:rPr>
                <w:rFonts w:cs="Arial"/>
                <w:szCs w:val="16"/>
              </w:rPr>
              <w:t>13.20%</w:t>
            </w:r>
          </w:p>
        </w:tc>
      </w:tr>
      <w:tr w:rsidR="005C29F8" w:rsidRPr="00781112" w14:paraId="0DCC7155" w14:textId="77777777" w:rsidTr="00AB0D6A">
        <w:trPr>
          <w:trHeight w:val="361"/>
        </w:trPr>
        <w:tc>
          <w:tcPr>
            <w:tcW w:w="3406" w:type="pct"/>
            <w:vAlign w:val="center"/>
          </w:tcPr>
          <w:p w14:paraId="531DA0A9" w14:textId="77777777" w:rsidR="00A86385" w:rsidRPr="00781112" w:rsidRDefault="00A86385" w:rsidP="00A86385">
            <w:pPr>
              <w:rPr>
                <w:rFonts w:cs="Arial"/>
                <w:szCs w:val="16"/>
              </w:rPr>
            </w:pPr>
            <w:r w:rsidRPr="00781112">
              <w:rPr>
                <w:rFonts w:cs="Arial"/>
                <w:szCs w:val="16"/>
              </w:rPr>
              <w:t>c. Preschool children who improved functioning to a level nearer to same-aged peers but did not reach it</w:t>
            </w:r>
          </w:p>
        </w:tc>
        <w:tc>
          <w:tcPr>
            <w:tcW w:w="797" w:type="pct"/>
            <w:vAlign w:val="center"/>
          </w:tcPr>
          <w:p w14:paraId="32A9527B" w14:textId="77777777" w:rsidR="00A86385" w:rsidRPr="00781112" w:rsidRDefault="002B7490" w:rsidP="00A018D4">
            <w:pPr>
              <w:jc w:val="center"/>
              <w:rPr>
                <w:rFonts w:cs="Arial"/>
                <w:szCs w:val="16"/>
              </w:rPr>
            </w:pPr>
            <w:r w:rsidRPr="00781112">
              <w:rPr>
                <w:rFonts w:cs="Arial"/>
                <w:szCs w:val="16"/>
              </w:rPr>
              <w:t>749</w:t>
            </w:r>
          </w:p>
        </w:tc>
        <w:tc>
          <w:tcPr>
            <w:tcW w:w="797" w:type="pct"/>
            <w:vAlign w:val="center"/>
          </w:tcPr>
          <w:p w14:paraId="24CDFF6B" w14:textId="77777777" w:rsidR="00A86385" w:rsidRPr="00781112" w:rsidRDefault="002B7490" w:rsidP="00A018D4">
            <w:pPr>
              <w:jc w:val="center"/>
              <w:rPr>
                <w:rFonts w:cs="Arial"/>
                <w:szCs w:val="16"/>
              </w:rPr>
            </w:pPr>
            <w:r w:rsidRPr="00781112">
              <w:rPr>
                <w:rFonts w:cs="Arial"/>
                <w:szCs w:val="16"/>
              </w:rPr>
              <w:t>27.85%</w:t>
            </w:r>
          </w:p>
        </w:tc>
      </w:tr>
      <w:tr w:rsidR="005C29F8" w:rsidRPr="00781112" w14:paraId="44F7BDCA" w14:textId="77777777" w:rsidTr="00AB0D6A">
        <w:trPr>
          <w:trHeight w:val="361"/>
        </w:trPr>
        <w:tc>
          <w:tcPr>
            <w:tcW w:w="3406" w:type="pct"/>
            <w:vAlign w:val="center"/>
          </w:tcPr>
          <w:p w14:paraId="77248BF6" w14:textId="77777777" w:rsidR="00A86385" w:rsidRPr="00781112" w:rsidRDefault="00A86385" w:rsidP="00A86385">
            <w:pPr>
              <w:rPr>
                <w:rFonts w:cs="Arial"/>
                <w:szCs w:val="16"/>
              </w:rPr>
            </w:pPr>
            <w:r w:rsidRPr="00781112">
              <w:rPr>
                <w:rFonts w:cs="Arial"/>
                <w:szCs w:val="16"/>
              </w:rPr>
              <w:t>d. Preschool children who improved functioning to reach a level comparable to same-aged peers</w:t>
            </w:r>
          </w:p>
        </w:tc>
        <w:tc>
          <w:tcPr>
            <w:tcW w:w="797" w:type="pct"/>
            <w:vAlign w:val="center"/>
          </w:tcPr>
          <w:p w14:paraId="501A6483" w14:textId="77777777" w:rsidR="00A86385" w:rsidRPr="00781112" w:rsidRDefault="002B7490" w:rsidP="00A018D4">
            <w:pPr>
              <w:jc w:val="center"/>
              <w:rPr>
                <w:rFonts w:cs="Arial"/>
                <w:szCs w:val="16"/>
              </w:rPr>
            </w:pPr>
            <w:r w:rsidRPr="00781112">
              <w:rPr>
                <w:rFonts w:cs="Arial"/>
                <w:szCs w:val="16"/>
              </w:rPr>
              <w:t>1,169</w:t>
            </w:r>
          </w:p>
        </w:tc>
        <w:tc>
          <w:tcPr>
            <w:tcW w:w="797" w:type="pct"/>
            <w:vAlign w:val="center"/>
          </w:tcPr>
          <w:p w14:paraId="1F8ED114" w14:textId="77777777" w:rsidR="00A86385" w:rsidRPr="00781112" w:rsidRDefault="002B7490" w:rsidP="00A018D4">
            <w:pPr>
              <w:jc w:val="center"/>
              <w:rPr>
                <w:rFonts w:cs="Arial"/>
                <w:szCs w:val="16"/>
              </w:rPr>
            </w:pPr>
            <w:r w:rsidRPr="00781112">
              <w:rPr>
                <w:rFonts w:cs="Arial"/>
                <w:szCs w:val="16"/>
              </w:rPr>
              <w:t>43.47%</w:t>
            </w:r>
          </w:p>
        </w:tc>
      </w:tr>
      <w:tr w:rsidR="005C29F8" w:rsidRPr="00781112" w14:paraId="187A459A" w14:textId="77777777" w:rsidTr="00AB0D6A">
        <w:trPr>
          <w:trHeight w:val="361"/>
        </w:trPr>
        <w:tc>
          <w:tcPr>
            <w:tcW w:w="3406" w:type="pct"/>
            <w:vAlign w:val="center"/>
          </w:tcPr>
          <w:p w14:paraId="6F38B9D5" w14:textId="77777777" w:rsidR="00A86385" w:rsidRPr="00781112" w:rsidRDefault="00A86385" w:rsidP="00A86385">
            <w:pPr>
              <w:rPr>
                <w:rFonts w:cs="Arial"/>
                <w:szCs w:val="16"/>
              </w:rPr>
            </w:pPr>
            <w:r w:rsidRPr="00781112">
              <w:rPr>
                <w:rFonts w:cs="Arial"/>
                <w:szCs w:val="16"/>
              </w:rPr>
              <w:t>e. Preschool children who maintained functioning at a level comparable to same-aged peers</w:t>
            </w:r>
          </w:p>
        </w:tc>
        <w:tc>
          <w:tcPr>
            <w:tcW w:w="797" w:type="pct"/>
            <w:vAlign w:val="center"/>
          </w:tcPr>
          <w:p w14:paraId="6E3E1D35" w14:textId="77777777" w:rsidR="00A86385" w:rsidRPr="00781112" w:rsidRDefault="002B7490" w:rsidP="00A018D4">
            <w:pPr>
              <w:jc w:val="center"/>
              <w:rPr>
                <w:rFonts w:cs="Arial"/>
                <w:szCs w:val="16"/>
              </w:rPr>
            </w:pPr>
            <w:r w:rsidRPr="00781112">
              <w:rPr>
                <w:rFonts w:cs="Arial"/>
                <w:szCs w:val="16"/>
              </w:rPr>
              <w:t>347</w:t>
            </w:r>
          </w:p>
        </w:tc>
        <w:tc>
          <w:tcPr>
            <w:tcW w:w="797" w:type="pct"/>
            <w:vAlign w:val="center"/>
          </w:tcPr>
          <w:p w14:paraId="5FF36BC5" w14:textId="77777777" w:rsidR="00A86385" w:rsidRPr="00781112" w:rsidRDefault="002B7490" w:rsidP="00A018D4">
            <w:pPr>
              <w:jc w:val="center"/>
              <w:rPr>
                <w:rFonts w:cs="Arial"/>
                <w:szCs w:val="16"/>
              </w:rPr>
            </w:pPr>
            <w:r w:rsidRPr="00781112">
              <w:rPr>
                <w:rFonts w:cs="Arial"/>
                <w:szCs w:val="16"/>
              </w:rPr>
              <w:t>12.90%</w:t>
            </w:r>
          </w:p>
        </w:tc>
      </w:tr>
    </w:tbl>
    <w:p w14:paraId="25CCE10A"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ADATA"/>
      </w:tblPr>
      <w:tblGrid>
        <w:gridCol w:w="2245"/>
        <w:gridCol w:w="1149"/>
        <w:gridCol w:w="1234"/>
        <w:gridCol w:w="1232"/>
        <w:gridCol w:w="1234"/>
        <w:gridCol w:w="1232"/>
        <w:gridCol w:w="1234"/>
        <w:gridCol w:w="1230"/>
      </w:tblGrid>
      <w:tr w:rsidR="00AA4F85" w:rsidRPr="00781112" w14:paraId="0904FC16" w14:textId="77777777" w:rsidTr="00AA4F85">
        <w:trPr>
          <w:trHeight w:val="354"/>
          <w:tblHeader/>
        </w:trPr>
        <w:tc>
          <w:tcPr>
            <w:tcW w:w="1040" w:type="pct"/>
            <w:vAlign w:val="bottom"/>
          </w:tcPr>
          <w:p w14:paraId="3FE20A09" w14:textId="77777777" w:rsidR="00AA4F85" w:rsidRPr="00781112" w:rsidRDefault="00AA4F85" w:rsidP="00AA4F85">
            <w:pPr>
              <w:rPr>
                <w:rFonts w:cs="Arial"/>
                <w:color w:val="000000" w:themeColor="text1"/>
                <w:szCs w:val="16"/>
              </w:rPr>
            </w:pPr>
            <w:r w:rsidRPr="00781112">
              <w:rPr>
                <w:rFonts w:cs="Arial"/>
                <w:b/>
                <w:color w:val="000000" w:themeColor="text1"/>
                <w:szCs w:val="16"/>
              </w:rPr>
              <w:t>Outcome A</w:t>
            </w:r>
          </w:p>
        </w:tc>
        <w:tc>
          <w:tcPr>
            <w:tcW w:w="532" w:type="pct"/>
            <w:vAlign w:val="bottom"/>
          </w:tcPr>
          <w:p w14:paraId="5DA7C718"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Numerator</w:t>
            </w:r>
          </w:p>
        </w:tc>
        <w:tc>
          <w:tcPr>
            <w:tcW w:w="572" w:type="pct"/>
            <w:vAlign w:val="bottom"/>
          </w:tcPr>
          <w:p w14:paraId="088DDD08"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Denominator</w:t>
            </w:r>
          </w:p>
        </w:tc>
        <w:tc>
          <w:tcPr>
            <w:tcW w:w="571" w:type="pct"/>
            <w:vAlign w:val="bottom"/>
          </w:tcPr>
          <w:p w14:paraId="4565324E" w14:textId="77777777" w:rsidR="00AA4F85" w:rsidRPr="00CC1061" w:rsidRDefault="00AA4F85" w:rsidP="00AA4F85">
            <w:pPr>
              <w:jc w:val="center"/>
              <w:rPr>
                <w:rFonts w:cs="Arial"/>
                <w:b/>
                <w:bCs/>
                <w:color w:val="000000" w:themeColor="text1"/>
                <w:szCs w:val="16"/>
              </w:rPr>
            </w:pPr>
            <w:r w:rsidRPr="00CC1061">
              <w:rPr>
                <w:b/>
                <w:bCs/>
              </w:rPr>
              <w:t>FFY 2023 Data</w:t>
            </w:r>
          </w:p>
        </w:tc>
        <w:tc>
          <w:tcPr>
            <w:tcW w:w="572" w:type="pct"/>
            <w:vAlign w:val="bottom"/>
          </w:tcPr>
          <w:p w14:paraId="5647AF3B" w14:textId="77777777" w:rsidR="00AA4F85" w:rsidRPr="00CC1061" w:rsidRDefault="00AA4F85" w:rsidP="00AA4F85">
            <w:pPr>
              <w:jc w:val="center"/>
              <w:rPr>
                <w:rFonts w:cs="Arial"/>
                <w:b/>
                <w:bCs/>
                <w:color w:val="000000" w:themeColor="text1"/>
                <w:szCs w:val="16"/>
              </w:rPr>
            </w:pPr>
            <w:r w:rsidRPr="00CC1061">
              <w:rPr>
                <w:b/>
                <w:bCs/>
              </w:rPr>
              <w:t>FFY 2024 Target</w:t>
            </w:r>
          </w:p>
        </w:tc>
        <w:tc>
          <w:tcPr>
            <w:tcW w:w="571" w:type="pct"/>
            <w:vAlign w:val="bottom"/>
          </w:tcPr>
          <w:p w14:paraId="171A3C8F" w14:textId="77777777" w:rsidR="00AA4F85" w:rsidRPr="00CC1061" w:rsidRDefault="00AA4F85" w:rsidP="00AA4F85">
            <w:pPr>
              <w:jc w:val="center"/>
              <w:rPr>
                <w:rFonts w:cs="Arial"/>
                <w:b/>
                <w:bCs/>
                <w:color w:val="000000" w:themeColor="text1"/>
                <w:szCs w:val="16"/>
              </w:rPr>
            </w:pPr>
            <w:r w:rsidRPr="00CC1061">
              <w:rPr>
                <w:b/>
                <w:bCs/>
              </w:rPr>
              <w:t>FFY 2024 Data</w:t>
            </w:r>
          </w:p>
        </w:tc>
        <w:tc>
          <w:tcPr>
            <w:tcW w:w="572" w:type="pct"/>
            <w:vAlign w:val="bottom"/>
          </w:tcPr>
          <w:p w14:paraId="6491F06C"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Status</w:t>
            </w:r>
          </w:p>
        </w:tc>
        <w:tc>
          <w:tcPr>
            <w:tcW w:w="571" w:type="pct"/>
            <w:vAlign w:val="bottom"/>
          </w:tcPr>
          <w:p w14:paraId="4DC13B19"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Slippage</w:t>
            </w:r>
          </w:p>
        </w:tc>
      </w:tr>
      <w:tr w:rsidR="005C29F8" w:rsidRPr="00781112" w14:paraId="4EB0475E" w14:textId="77777777" w:rsidTr="00AA4F85">
        <w:trPr>
          <w:trHeight w:val="361"/>
        </w:trPr>
        <w:tc>
          <w:tcPr>
            <w:tcW w:w="1040" w:type="pct"/>
          </w:tcPr>
          <w:p w14:paraId="1F478ED8"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A1. Of those children who entered or exited the program below age expectations in Outcome A, the </w:t>
            </w:r>
            <w:proofErr w:type="gramStart"/>
            <w:r w:rsidRPr="00781112">
              <w:rPr>
                <w:rFonts w:cs="Arial"/>
                <w:color w:val="000000" w:themeColor="text1"/>
                <w:szCs w:val="16"/>
              </w:rPr>
              <w:t>percent who</w:t>
            </w:r>
            <w:proofErr w:type="gramEnd"/>
            <w:r w:rsidRPr="00781112">
              <w:rPr>
                <w:rFonts w:cs="Arial"/>
                <w:color w:val="000000" w:themeColor="text1"/>
                <w:szCs w:val="16"/>
              </w:rPr>
              <w:t xml:space="preserve"> substantially increased their rate of growth by the time they turned 6 years of age or exited the program. </w:t>
            </w:r>
            <w:r w:rsidRPr="00266107">
              <w:rPr>
                <w:rFonts w:cs="Arial"/>
                <w:i/>
                <w:iCs/>
                <w:color w:val="000000" w:themeColor="text1"/>
                <w:szCs w:val="16"/>
              </w:rPr>
              <w:t>Calculation:(</w:t>
            </w:r>
            <w:proofErr w:type="spellStart"/>
            <w:r w:rsidRPr="00266107">
              <w:rPr>
                <w:rFonts w:cs="Arial"/>
                <w:i/>
                <w:iCs/>
                <w:color w:val="000000" w:themeColor="text1"/>
                <w:szCs w:val="16"/>
              </w:rPr>
              <w:t>c+d</w:t>
            </w:r>
            <w:proofErr w:type="spellEnd"/>
            <w:r w:rsidRPr="00266107">
              <w:rPr>
                <w:rFonts w:cs="Arial"/>
                <w:i/>
                <w:iCs/>
                <w:color w:val="000000" w:themeColor="text1"/>
                <w:szCs w:val="16"/>
              </w:rPr>
              <w:t>)/(</w:t>
            </w:r>
            <w:proofErr w:type="spellStart"/>
            <w:r w:rsidRPr="00266107">
              <w:rPr>
                <w:rFonts w:cs="Arial"/>
                <w:i/>
                <w:iCs/>
                <w:color w:val="000000" w:themeColor="text1"/>
                <w:szCs w:val="16"/>
              </w:rPr>
              <w:t>a+b+c+d</w:t>
            </w:r>
            <w:proofErr w:type="spellEnd"/>
            <w:r w:rsidRPr="00266107">
              <w:rPr>
                <w:rFonts w:cs="Arial"/>
                <w:i/>
                <w:iCs/>
                <w:color w:val="000000" w:themeColor="text1"/>
                <w:szCs w:val="16"/>
              </w:rPr>
              <w:t>)</w:t>
            </w:r>
          </w:p>
        </w:tc>
        <w:tc>
          <w:tcPr>
            <w:tcW w:w="532" w:type="pct"/>
            <w:vAlign w:val="center"/>
          </w:tcPr>
          <w:p w14:paraId="173FA673" w14:textId="77777777" w:rsidR="00A86385" w:rsidRPr="00781112" w:rsidRDefault="002B7490" w:rsidP="00A86385">
            <w:pPr>
              <w:jc w:val="center"/>
              <w:rPr>
                <w:rFonts w:cs="Arial"/>
                <w:color w:val="000000" w:themeColor="text1"/>
                <w:szCs w:val="16"/>
              </w:rPr>
            </w:pPr>
            <w:r w:rsidRPr="00781112">
              <w:rPr>
                <w:rFonts w:cs="Arial"/>
                <w:color w:val="000000" w:themeColor="text1"/>
                <w:szCs w:val="16"/>
              </w:rPr>
              <w:t>1,918</w:t>
            </w:r>
          </w:p>
        </w:tc>
        <w:tc>
          <w:tcPr>
            <w:tcW w:w="572" w:type="pct"/>
            <w:vAlign w:val="center"/>
          </w:tcPr>
          <w:p w14:paraId="7FE1432B" w14:textId="77777777" w:rsidR="00A86385" w:rsidRPr="00781112" w:rsidRDefault="002B7490" w:rsidP="00A86385">
            <w:pPr>
              <w:jc w:val="center"/>
              <w:rPr>
                <w:rFonts w:cs="Arial"/>
                <w:color w:val="000000" w:themeColor="text1"/>
                <w:szCs w:val="16"/>
              </w:rPr>
            </w:pPr>
            <w:r w:rsidRPr="00781112">
              <w:rPr>
                <w:rFonts w:cs="Arial"/>
                <w:color w:val="000000" w:themeColor="text1"/>
                <w:szCs w:val="16"/>
              </w:rPr>
              <w:t>2,342</w:t>
            </w:r>
          </w:p>
        </w:tc>
        <w:tc>
          <w:tcPr>
            <w:tcW w:w="571" w:type="pct"/>
            <w:vAlign w:val="center"/>
          </w:tcPr>
          <w:p w14:paraId="7FDACE11" w14:textId="77777777" w:rsidR="00A86385" w:rsidRPr="00781112" w:rsidRDefault="002B7490" w:rsidP="00A86385">
            <w:pPr>
              <w:jc w:val="center"/>
              <w:rPr>
                <w:rFonts w:cs="Arial"/>
                <w:color w:val="000000" w:themeColor="text1"/>
                <w:szCs w:val="16"/>
              </w:rPr>
            </w:pPr>
            <w:r w:rsidRPr="00781112">
              <w:rPr>
                <w:rFonts w:cs="Arial"/>
                <w:color w:val="000000" w:themeColor="text1"/>
                <w:szCs w:val="16"/>
              </w:rPr>
              <w:t>82.84%</w:t>
            </w:r>
          </w:p>
        </w:tc>
        <w:tc>
          <w:tcPr>
            <w:tcW w:w="572" w:type="pct"/>
            <w:vAlign w:val="center"/>
          </w:tcPr>
          <w:p w14:paraId="08204F5A" w14:textId="77777777" w:rsidR="00A86385" w:rsidRPr="00781112" w:rsidRDefault="003D7F56">
            <w:pPr>
              <w:jc w:val="center"/>
              <w:rPr>
                <w:color w:val="000000" w:themeColor="text1"/>
              </w:rPr>
            </w:pPr>
            <w:r w:rsidRPr="00781112">
              <w:rPr>
                <w:color w:val="000000" w:themeColor="text1"/>
              </w:rPr>
              <w:t>86.50%</w:t>
            </w:r>
          </w:p>
        </w:tc>
        <w:tc>
          <w:tcPr>
            <w:tcW w:w="571" w:type="pct"/>
            <w:vAlign w:val="center"/>
          </w:tcPr>
          <w:p w14:paraId="5A90D5D5" w14:textId="77777777" w:rsidR="00A86385" w:rsidRPr="00781112" w:rsidRDefault="002B7490" w:rsidP="00A86385">
            <w:pPr>
              <w:jc w:val="center"/>
              <w:rPr>
                <w:rFonts w:cs="Arial"/>
                <w:color w:val="000000" w:themeColor="text1"/>
                <w:szCs w:val="16"/>
              </w:rPr>
            </w:pPr>
            <w:r w:rsidRPr="00781112">
              <w:rPr>
                <w:rFonts w:cs="Arial"/>
                <w:color w:val="000000" w:themeColor="text1"/>
                <w:szCs w:val="16"/>
              </w:rPr>
              <w:t>81.90%</w:t>
            </w:r>
          </w:p>
        </w:tc>
        <w:tc>
          <w:tcPr>
            <w:tcW w:w="572" w:type="pct"/>
            <w:vAlign w:val="center"/>
          </w:tcPr>
          <w:p w14:paraId="016837AE" w14:textId="77777777" w:rsidR="00A86385" w:rsidRPr="00781112" w:rsidRDefault="002B7490" w:rsidP="00A86385">
            <w:pPr>
              <w:jc w:val="center"/>
              <w:rPr>
                <w:rFonts w:cs="Arial"/>
                <w:color w:val="000000" w:themeColor="text1"/>
                <w:szCs w:val="16"/>
              </w:rPr>
            </w:pPr>
            <w:r w:rsidRPr="00781112">
              <w:rPr>
                <w:rFonts w:cs="Arial"/>
                <w:color w:val="000000" w:themeColor="text1"/>
                <w:szCs w:val="16"/>
              </w:rPr>
              <w:t>Did not meet target</w:t>
            </w:r>
          </w:p>
        </w:tc>
        <w:tc>
          <w:tcPr>
            <w:tcW w:w="571" w:type="pct"/>
            <w:vAlign w:val="center"/>
          </w:tcPr>
          <w:p w14:paraId="162CC5E3" w14:textId="77777777" w:rsidR="00A86385" w:rsidRPr="00781112" w:rsidRDefault="002B7490" w:rsidP="00A86385">
            <w:pPr>
              <w:jc w:val="center"/>
              <w:rPr>
                <w:rFonts w:cs="Arial"/>
                <w:color w:val="000000" w:themeColor="text1"/>
                <w:szCs w:val="16"/>
              </w:rPr>
            </w:pPr>
            <w:r w:rsidRPr="00781112">
              <w:rPr>
                <w:rFonts w:cs="Arial"/>
                <w:color w:val="000000" w:themeColor="text1"/>
                <w:szCs w:val="16"/>
              </w:rPr>
              <w:t>No Slippage</w:t>
            </w:r>
          </w:p>
        </w:tc>
      </w:tr>
      <w:tr w:rsidR="005C29F8" w:rsidRPr="00781112" w14:paraId="55CFE4CC" w14:textId="77777777" w:rsidTr="00AA4F85">
        <w:trPr>
          <w:trHeight w:val="361"/>
        </w:trPr>
        <w:tc>
          <w:tcPr>
            <w:tcW w:w="1040" w:type="pct"/>
          </w:tcPr>
          <w:p w14:paraId="5BAEC570"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A2. The percent of preschool children who were functioning within age expectations in Outcome A by the time they turned 6 years of age or exited the program. </w:t>
            </w:r>
            <w:r w:rsidRPr="00266107">
              <w:rPr>
                <w:rFonts w:cs="Arial"/>
                <w:i/>
                <w:iCs/>
                <w:color w:val="000000" w:themeColor="text1"/>
                <w:szCs w:val="16"/>
              </w:rPr>
              <w:t>Calculation: (</w:t>
            </w:r>
            <w:proofErr w:type="spellStart"/>
            <w:r w:rsidRPr="00266107">
              <w:rPr>
                <w:rFonts w:cs="Arial"/>
                <w:i/>
                <w:iCs/>
                <w:color w:val="000000" w:themeColor="text1"/>
                <w:szCs w:val="16"/>
              </w:rPr>
              <w:t>d+e</w:t>
            </w:r>
            <w:proofErr w:type="spellEnd"/>
            <w:r w:rsidRPr="00266107">
              <w:rPr>
                <w:rFonts w:cs="Arial"/>
                <w:i/>
                <w:iCs/>
                <w:color w:val="000000" w:themeColor="text1"/>
                <w:szCs w:val="16"/>
              </w:rPr>
              <w:t>)/(</w:t>
            </w:r>
            <w:proofErr w:type="spellStart"/>
            <w:r w:rsidRPr="00266107">
              <w:rPr>
                <w:rFonts w:cs="Arial"/>
                <w:i/>
                <w:iCs/>
                <w:color w:val="000000" w:themeColor="text1"/>
                <w:szCs w:val="16"/>
              </w:rPr>
              <w:t>a+b+c+d+e</w:t>
            </w:r>
            <w:proofErr w:type="spellEnd"/>
            <w:r w:rsidRPr="00266107">
              <w:rPr>
                <w:rFonts w:cs="Arial"/>
                <w:i/>
                <w:iCs/>
                <w:color w:val="000000" w:themeColor="text1"/>
                <w:szCs w:val="16"/>
              </w:rPr>
              <w:t>)</w:t>
            </w:r>
          </w:p>
        </w:tc>
        <w:tc>
          <w:tcPr>
            <w:tcW w:w="532" w:type="pct"/>
            <w:vAlign w:val="center"/>
          </w:tcPr>
          <w:p w14:paraId="5AD94B94" w14:textId="77777777" w:rsidR="00A86385" w:rsidRPr="00781112" w:rsidRDefault="002B7490" w:rsidP="00A86385">
            <w:pPr>
              <w:jc w:val="center"/>
              <w:rPr>
                <w:rFonts w:cs="Arial"/>
                <w:color w:val="000000" w:themeColor="text1"/>
                <w:szCs w:val="16"/>
              </w:rPr>
            </w:pPr>
            <w:r w:rsidRPr="00781112">
              <w:rPr>
                <w:rFonts w:cs="Arial"/>
                <w:color w:val="000000" w:themeColor="text1"/>
                <w:szCs w:val="16"/>
              </w:rPr>
              <w:t>1,516</w:t>
            </w:r>
          </w:p>
        </w:tc>
        <w:tc>
          <w:tcPr>
            <w:tcW w:w="572" w:type="pct"/>
            <w:vAlign w:val="center"/>
          </w:tcPr>
          <w:p w14:paraId="5D354A33" w14:textId="77777777" w:rsidR="00A86385" w:rsidRPr="00781112" w:rsidRDefault="002B7490" w:rsidP="00A86385">
            <w:pPr>
              <w:jc w:val="center"/>
              <w:rPr>
                <w:rFonts w:cs="Arial"/>
                <w:color w:val="000000" w:themeColor="text1"/>
                <w:szCs w:val="16"/>
              </w:rPr>
            </w:pPr>
            <w:r w:rsidRPr="00781112">
              <w:rPr>
                <w:rFonts w:cs="Arial"/>
                <w:color w:val="000000" w:themeColor="text1"/>
                <w:szCs w:val="16"/>
              </w:rPr>
              <w:t>2,689</w:t>
            </w:r>
          </w:p>
        </w:tc>
        <w:tc>
          <w:tcPr>
            <w:tcW w:w="571" w:type="pct"/>
            <w:vAlign w:val="center"/>
          </w:tcPr>
          <w:p w14:paraId="606C73C5" w14:textId="77777777" w:rsidR="00A86385" w:rsidRPr="00781112" w:rsidRDefault="002B7490" w:rsidP="00A86385">
            <w:pPr>
              <w:jc w:val="center"/>
              <w:rPr>
                <w:rFonts w:cs="Arial"/>
                <w:color w:val="000000" w:themeColor="text1"/>
                <w:szCs w:val="16"/>
              </w:rPr>
            </w:pPr>
            <w:r w:rsidRPr="00781112">
              <w:rPr>
                <w:rFonts w:cs="Arial"/>
                <w:color w:val="000000" w:themeColor="text1"/>
                <w:szCs w:val="16"/>
              </w:rPr>
              <w:t>59.27%</w:t>
            </w:r>
          </w:p>
        </w:tc>
        <w:tc>
          <w:tcPr>
            <w:tcW w:w="572" w:type="pct"/>
            <w:vAlign w:val="center"/>
          </w:tcPr>
          <w:p w14:paraId="3BA24653" w14:textId="77777777" w:rsidR="00A86385" w:rsidRPr="00781112" w:rsidRDefault="003D7F56">
            <w:pPr>
              <w:jc w:val="center"/>
              <w:rPr>
                <w:color w:val="000000" w:themeColor="text1"/>
              </w:rPr>
            </w:pPr>
            <w:r w:rsidRPr="00781112">
              <w:rPr>
                <w:color w:val="000000" w:themeColor="text1"/>
              </w:rPr>
              <w:t>64.70%</w:t>
            </w:r>
          </w:p>
        </w:tc>
        <w:tc>
          <w:tcPr>
            <w:tcW w:w="571" w:type="pct"/>
            <w:vAlign w:val="center"/>
          </w:tcPr>
          <w:p w14:paraId="5B70BE5C" w14:textId="77777777" w:rsidR="00A86385" w:rsidRPr="00781112" w:rsidRDefault="002B7490" w:rsidP="00A86385">
            <w:pPr>
              <w:jc w:val="center"/>
              <w:rPr>
                <w:rFonts w:cs="Arial"/>
                <w:color w:val="000000" w:themeColor="text1"/>
                <w:szCs w:val="16"/>
              </w:rPr>
            </w:pPr>
            <w:r w:rsidRPr="00781112">
              <w:rPr>
                <w:rFonts w:cs="Arial"/>
                <w:color w:val="000000" w:themeColor="text1"/>
                <w:szCs w:val="16"/>
              </w:rPr>
              <w:t>56.38%</w:t>
            </w:r>
          </w:p>
        </w:tc>
        <w:tc>
          <w:tcPr>
            <w:tcW w:w="572" w:type="pct"/>
            <w:vAlign w:val="center"/>
          </w:tcPr>
          <w:p w14:paraId="0F43B1F5" w14:textId="77777777" w:rsidR="00A86385" w:rsidRPr="00781112" w:rsidRDefault="002B7490" w:rsidP="00A86385">
            <w:pPr>
              <w:jc w:val="center"/>
              <w:rPr>
                <w:rFonts w:cs="Arial"/>
                <w:color w:val="000000" w:themeColor="text1"/>
                <w:szCs w:val="16"/>
              </w:rPr>
            </w:pPr>
            <w:r w:rsidRPr="00781112">
              <w:rPr>
                <w:rFonts w:cs="Arial"/>
                <w:color w:val="000000" w:themeColor="text1"/>
                <w:szCs w:val="16"/>
              </w:rPr>
              <w:t>Did not meet target</w:t>
            </w:r>
          </w:p>
        </w:tc>
        <w:tc>
          <w:tcPr>
            <w:tcW w:w="571" w:type="pct"/>
            <w:vAlign w:val="center"/>
          </w:tcPr>
          <w:p w14:paraId="330EB203" w14:textId="77777777" w:rsidR="00A86385" w:rsidRPr="00781112" w:rsidRDefault="002B7490" w:rsidP="00A86385">
            <w:pPr>
              <w:jc w:val="center"/>
              <w:rPr>
                <w:rFonts w:cs="Arial"/>
                <w:color w:val="000000" w:themeColor="text1"/>
                <w:szCs w:val="16"/>
              </w:rPr>
            </w:pPr>
            <w:r w:rsidRPr="00781112">
              <w:rPr>
                <w:rFonts w:cs="Arial"/>
                <w:color w:val="000000" w:themeColor="text1"/>
                <w:szCs w:val="16"/>
              </w:rPr>
              <w:t>Slippage</w:t>
            </w:r>
          </w:p>
        </w:tc>
      </w:tr>
    </w:tbl>
    <w:p w14:paraId="2389396F" w14:textId="77777777" w:rsidR="00A80FEB" w:rsidRPr="00781112" w:rsidRDefault="00A80FEB" w:rsidP="004369B2">
      <w:pPr>
        <w:rPr>
          <w:color w:val="000000" w:themeColor="text1"/>
        </w:rPr>
      </w:pPr>
      <w:r w:rsidRPr="00781112">
        <w:rPr>
          <w:b/>
          <w:color w:val="000000" w:themeColor="text1"/>
        </w:rPr>
        <w:t>Outcome B: Acquisition and use of knowledge and skills (including early language/communication)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B"/>
      </w:tblPr>
      <w:tblGrid>
        <w:gridCol w:w="7227"/>
        <w:gridCol w:w="1783"/>
        <w:gridCol w:w="1780"/>
      </w:tblGrid>
      <w:tr w:rsidR="005C29F8" w:rsidRPr="00781112" w14:paraId="5B5317FB" w14:textId="77777777" w:rsidTr="0033429D">
        <w:trPr>
          <w:trHeight w:val="361"/>
          <w:tblHeader/>
        </w:trPr>
        <w:tc>
          <w:tcPr>
            <w:tcW w:w="3349" w:type="pct"/>
            <w:vAlign w:val="bottom"/>
          </w:tcPr>
          <w:p w14:paraId="626D0A33" w14:textId="77777777" w:rsidR="00E13B95" w:rsidRPr="00781112" w:rsidRDefault="003E11AE" w:rsidP="0024351A">
            <w:pPr>
              <w:rPr>
                <w:rFonts w:cs="Arial"/>
                <w:color w:val="000000" w:themeColor="text1"/>
                <w:szCs w:val="16"/>
              </w:rPr>
            </w:pPr>
            <w:r w:rsidRPr="00781112">
              <w:rPr>
                <w:rFonts w:cs="Arial"/>
                <w:b/>
                <w:color w:val="000000" w:themeColor="text1"/>
                <w:szCs w:val="16"/>
              </w:rPr>
              <w:t xml:space="preserve">Outcome B </w:t>
            </w:r>
            <w:r w:rsidRPr="00781112">
              <w:rPr>
                <w:rFonts w:cs="Arial"/>
                <w:b/>
                <w:bCs/>
                <w:color w:val="000000" w:themeColor="text1"/>
                <w:szCs w:val="16"/>
              </w:rPr>
              <w:t xml:space="preserve">Progress </w:t>
            </w:r>
            <w:r w:rsidR="009028CA" w:rsidRPr="00781112">
              <w:rPr>
                <w:rFonts w:cs="Arial"/>
                <w:b/>
                <w:bCs/>
                <w:color w:val="000000" w:themeColor="text1"/>
                <w:szCs w:val="16"/>
              </w:rPr>
              <w:t>C</w:t>
            </w:r>
            <w:r w:rsidRPr="00781112">
              <w:rPr>
                <w:rFonts w:cs="Arial"/>
                <w:b/>
                <w:bCs/>
                <w:color w:val="000000" w:themeColor="text1"/>
                <w:szCs w:val="16"/>
              </w:rPr>
              <w:t>ategor</w:t>
            </w:r>
            <w:r w:rsidR="00E91363" w:rsidRPr="00781112">
              <w:rPr>
                <w:rFonts w:cs="Arial"/>
                <w:b/>
                <w:bCs/>
                <w:color w:val="000000" w:themeColor="text1"/>
                <w:szCs w:val="16"/>
              </w:rPr>
              <w:t>y</w:t>
            </w:r>
          </w:p>
        </w:tc>
        <w:tc>
          <w:tcPr>
            <w:tcW w:w="826" w:type="pct"/>
            <w:vAlign w:val="bottom"/>
          </w:tcPr>
          <w:p w14:paraId="0C2D2D2F" w14:textId="77777777" w:rsidR="00E13B95" w:rsidRPr="00781112" w:rsidRDefault="00E13B95" w:rsidP="0024351A">
            <w:pPr>
              <w:jc w:val="center"/>
              <w:rPr>
                <w:rFonts w:cs="Arial"/>
                <w:b/>
                <w:color w:val="000000" w:themeColor="text1"/>
                <w:szCs w:val="16"/>
              </w:rPr>
            </w:pPr>
            <w:r w:rsidRPr="00781112">
              <w:rPr>
                <w:rFonts w:cs="Arial"/>
                <w:b/>
                <w:color w:val="000000" w:themeColor="text1"/>
                <w:szCs w:val="16"/>
              </w:rPr>
              <w:t>Number of Children</w:t>
            </w:r>
          </w:p>
        </w:tc>
        <w:tc>
          <w:tcPr>
            <w:tcW w:w="825" w:type="pct"/>
            <w:vAlign w:val="bottom"/>
          </w:tcPr>
          <w:p w14:paraId="3C2B11B5" w14:textId="77777777" w:rsidR="00E13B95" w:rsidRPr="00781112" w:rsidRDefault="00E13B95" w:rsidP="0024351A">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7639EBD6" w14:textId="77777777" w:rsidTr="00AB0D6A">
        <w:trPr>
          <w:trHeight w:val="361"/>
        </w:trPr>
        <w:tc>
          <w:tcPr>
            <w:tcW w:w="3349" w:type="pct"/>
          </w:tcPr>
          <w:p w14:paraId="1DCBE01D" w14:textId="77777777" w:rsidR="00A86385" w:rsidRPr="00781112" w:rsidRDefault="00A86385" w:rsidP="00A86385">
            <w:pPr>
              <w:rPr>
                <w:rFonts w:cs="Arial"/>
                <w:color w:val="000000" w:themeColor="text1"/>
                <w:szCs w:val="16"/>
              </w:rPr>
            </w:pPr>
            <w:r w:rsidRPr="00781112">
              <w:rPr>
                <w:rFonts w:cs="Arial"/>
                <w:color w:val="000000" w:themeColor="text1"/>
                <w:szCs w:val="16"/>
              </w:rPr>
              <w:t>a. Preschool children who did not improve functioning</w:t>
            </w:r>
          </w:p>
        </w:tc>
        <w:tc>
          <w:tcPr>
            <w:tcW w:w="826" w:type="pct"/>
            <w:vAlign w:val="center"/>
          </w:tcPr>
          <w:p w14:paraId="3161698A"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70</w:t>
            </w:r>
          </w:p>
        </w:tc>
        <w:tc>
          <w:tcPr>
            <w:tcW w:w="825" w:type="pct"/>
            <w:vAlign w:val="center"/>
          </w:tcPr>
          <w:p w14:paraId="011AA509"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2.60%</w:t>
            </w:r>
          </w:p>
        </w:tc>
      </w:tr>
      <w:tr w:rsidR="005C29F8" w:rsidRPr="00781112" w14:paraId="0E9D5C7F" w14:textId="77777777" w:rsidTr="00AB0D6A">
        <w:trPr>
          <w:trHeight w:val="361"/>
        </w:trPr>
        <w:tc>
          <w:tcPr>
            <w:tcW w:w="3349" w:type="pct"/>
          </w:tcPr>
          <w:p w14:paraId="271958F8" w14:textId="77777777" w:rsidR="00A86385" w:rsidRPr="00781112" w:rsidRDefault="00A86385" w:rsidP="00A86385">
            <w:pPr>
              <w:rPr>
                <w:rFonts w:cs="Arial"/>
                <w:color w:val="000000" w:themeColor="text1"/>
                <w:szCs w:val="16"/>
              </w:rPr>
            </w:pPr>
            <w:r w:rsidRPr="00781112">
              <w:rPr>
                <w:rFonts w:cs="Arial"/>
                <w:color w:val="000000" w:themeColor="text1"/>
                <w:szCs w:val="16"/>
              </w:rPr>
              <w:t>b. Preschool children who improved functioning but not sufficient to move nearer to functioning comparable to same-aged peers</w:t>
            </w:r>
          </w:p>
        </w:tc>
        <w:tc>
          <w:tcPr>
            <w:tcW w:w="826" w:type="pct"/>
            <w:vAlign w:val="center"/>
          </w:tcPr>
          <w:p w14:paraId="1276FA96"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355</w:t>
            </w:r>
          </w:p>
        </w:tc>
        <w:tc>
          <w:tcPr>
            <w:tcW w:w="825" w:type="pct"/>
            <w:vAlign w:val="center"/>
          </w:tcPr>
          <w:p w14:paraId="797813D2"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13.20%</w:t>
            </w:r>
          </w:p>
        </w:tc>
      </w:tr>
      <w:tr w:rsidR="005C29F8" w:rsidRPr="00781112" w14:paraId="5925A015" w14:textId="77777777" w:rsidTr="00AB0D6A">
        <w:trPr>
          <w:trHeight w:val="361"/>
        </w:trPr>
        <w:tc>
          <w:tcPr>
            <w:tcW w:w="3349" w:type="pct"/>
          </w:tcPr>
          <w:p w14:paraId="45F23BB1" w14:textId="77777777" w:rsidR="00A86385" w:rsidRPr="00781112" w:rsidRDefault="00A86385" w:rsidP="00A86385">
            <w:pPr>
              <w:rPr>
                <w:rFonts w:cs="Arial"/>
                <w:color w:val="000000" w:themeColor="text1"/>
                <w:szCs w:val="16"/>
              </w:rPr>
            </w:pPr>
            <w:r w:rsidRPr="00781112">
              <w:rPr>
                <w:rFonts w:cs="Arial"/>
                <w:color w:val="000000" w:themeColor="text1"/>
                <w:szCs w:val="16"/>
              </w:rPr>
              <w:t>c. Preschool children who improved functioning to a level nearer to same-aged peers but did not reach it</w:t>
            </w:r>
          </w:p>
        </w:tc>
        <w:tc>
          <w:tcPr>
            <w:tcW w:w="826" w:type="pct"/>
            <w:vAlign w:val="center"/>
          </w:tcPr>
          <w:p w14:paraId="78E8E10B"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781</w:t>
            </w:r>
          </w:p>
        </w:tc>
        <w:tc>
          <w:tcPr>
            <w:tcW w:w="825" w:type="pct"/>
            <w:vAlign w:val="center"/>
          </w:tcPr>
          <w:p w14:paraId="190E6AD8"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29.04%</w:t>
            </w:r>
          </w:p>
        </w:tc>
      </w:tr>
      <w:tr w:rsidR="005C29F8" w:rsidRPr="00781112" w14:paraId="5F90BF32" w14:textId="77777777" w:rsidTr="00AB0D6A">
        <w:trPr>
          <w:trHeight w:val="361"/>
        </w:trPr>
        <w:tc>
          <w:tcPr>
            <w:tcW w:w="3349" w:type="pct"/>
          </w:tcPr>
          <w:p w14:paraId="137B27A3" w14:textId="77777777" w:rsidR="00A86385" w:rsidRPr="00781112" w:rsidRDefault="00A86385" w:rsidP="00A86385">
            <w:pPr>
              <w:rPr>
                <w:rFonts w:cs="Arial"/>
                <w:color w:val="000000" w:themeColor="text1"/>
                <w:szCs w:val="16"/>
              </w:rPr>
            </w:pPr>
            <w:r w:rsidRPr="00781112">
              <w:rPr>
                <w:rFonts w:cs="Arial"/>
                <w:color w:val="000000" w:themeColor="text1"/>
                <w:szCs w:val="16"/>
              </w:rPr>
              <w:t>d. Preschool children who improved functioning to reach a level comparable to same-aged peers</w:t>
            </w:r>
          </w:p>
        </w:tc>
        <w:tc>
          <w:tcPr>
            <w:tcW w:w="826" w:type="pct"/>
            <w:vAlign w:val="center"/>
          </w:tcPr>
          <w:p w14:paraId="76AC622B"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1,193</w:t>
            </w:r>
          </w:p>
        </w:tc>
        <w:tc>
          <w:tcPr>
            <w:tcW w:w="825" w:type="pct"/>
            <w:vAlign w:val="center"/>
          </w:tcPr>
          <w:p w14:paraId="4E3EF02D"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44.37%</w:t>
            </w:r>
          </w:p>
        </w:tc>
      </w:tr>
      <w:tr w:rsidR="005C29F8" w:rsidRPr="00781112" w14:paraId="68AE199B" w14:textId="77777777" w:rsidTr="00AB0D6A">
        <w:trPr>
          <w:trHeight w:val="361"/>
        </w:trPr>
        <w:tc>
          <w:tcPr>
            <w:tcW w:w="3349" w:type="pct"/>
          </w:tcPr>
          <w:p w14:paraId="4F03BAA1" w14:textId="77777777" w:rsidR="00A86385" w:rsidRPr="00781112" w:rsidRDefault="00A86385" w:rsidP="00A86385">
            <w:pPr>
              <w:rPr>
                <w:rFonts w:cs="Arial"/>
                <w:color w:val="000000" w:themeColor="text1"/>
                <w:szCs w:val="16"/>
              </w:rPr>
            </w:pPr>
            <w:r w:rsidRPr="00781112">
              <w:rPr>
                <w:rFonts w:cs="Arial"/>
                <w:color w:val="000000" w:themeColor="text1"/>
                <w:szCs w:val="16"/>
              </w:rPr>
              <w:t>e. Preschool children who maintained functioning at a level comparable to same-aged peers</w:t>
            </w:r>
          </w:p>
        </w:tc>
        <w:tc>
          <w:tcPr>
            <w:tcW w:w="826" w:type="pct"/>
            <w:vAlign w:val="center"/>
          </w:tcPr>
          <w:p w14:paraId="5D1B87AE"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290</w:t>
            </w:r>
          </w:p>
        </w:tc>
        <w:tc>
          <w:tcPr>
            <w:tcW w:w="825" w:type="pct"/>
            <w:vAlign w:val="center"/>
          </w:tcPr>
          <w:p w14:paraId="04310C36"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10.78%</w:t>
            </w:r>
          </w:p>
        </w:tc>
      </w:tr>
    </w:tbl>
    <w:p w14:paraId="7A192CAB"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BDATA"/>
      </w:tblPr>
      <w:tblGrid>
        <w:gridCol w:w="2159"/>
        <w:gridCol w:w="1262"/>
        <w:gridCol w:w="1262"/>
        <w:gridCol w:w="1172"/>
        <w:gridCol w:w="1260"/>
        <w:gridCol w:w="1260"/>
        <w:gridCol w:w="1049"/>
        <w:gridCol w:w="1366"/>
      </w:tblGrid>
      <w:tr w:rsidR="00AA4F85" w:rsidRPr="00781112" w14:paraId="34623380" w14:textId="77777777" w:rsidTr="00AA4F85">
        <w:trPr>
          <w:tblHeader/>
        </w:trPr>
        <w:tc>
          <w:tcPr>
            <w:tcW w:w="1000" w:type="pct"/>
            <w:vAlign w:val="bottom"/>
          </w:tcPr>
          <w:p w14:paraId="32D38266" w14:textId="77777777" w:rsidR="00AA4F85" w:rsidRPr="00781112" w:rsidRDefault="00AA4F85" w:rsidP="00AA4F85">
            <w:pPr>
              <w:rPr>
                <w:b/>
                <w:color w:val="000000" w:themeColor="text1"/>
              </w:rPr>
            </w:pPr>
            <w:r w:rsidRPr="00781112">
              <w:rPr>
                <w:b/>
                <w:color w:val="000000" w:themeColor="text1"/>
              </w:rPr>
              <w:t>Outcome B</w:t>
            </w:r>
          </w:p>
        </w:tc>
        <w:tc>
          <w:tcPr>
            <w:tcW w:w="585" w:type="pct"/>
            <w:vAlign w:val="bottom"/>
          </w:tcPr>
          <w:p w14:paraId="773E5AA5" w14:textId="77777777" w:rsidR="00AA4F85" w:rsidRPr="00781112" w:rsidRDefault="00AA4F85" w:rsidP="00AA4F85">
            <w:pPr>
              <w:rPr>
                <w:b/>
                <w:color w:val="000000" w:themeColor="text1"/>
              </w:rPr>
            </w:pPr>
            <w:r w:rsidRPr="00781112">
              <w:rPr>
                <w:b/>
                <w:color w:val="000000" w:themeColor="text1"/>
              </w:rPr>
              <w:t>Numerator</w:t>
            </w:r>
          </w:p>
        </w:tc>
        <w:tc>
          <w:tcPr>
            <w:tcW w:w="585" w:type="pct"/>
            <w:vAlign w:val="bottom"/>
          </w:tcPr>
          <w:p w14:paraId="2E2852BF" w14:textId="77777777" w:rsidR="00AA4F85" w:rsidRPr="00781112" w:rsidRDefault="00AA4F85" w:rsidP="00AA4F85">
            <w:pPr>
              <w:rPr>
                <w:b/>
                <w:color w:val="000000" w:themeColor="text1"/>
              </w:rPr>
            </w:pPr>
            <w:r w:rsidRPr="00781112">
              <w:rPr>
                <w:b/>
                <w:color w:val="000000" w:themeColor="text1"/>
              </w:rPr>
              <w:t>Denominator</w:t>
            </w:r>
          </w:p>
        </w:tc>
        <w:tc>
          <w:tcPr>
            <w:tcW w:w="543" w:type="pct"/>
            <w:vAlign w:val="bottom"/>
          </w:tcPr>
          <w:p w14:paraId="5BFB24F4" w14:textId="77777777" w:rsidR="00AA4F85" w:rsidRPr="00CC1061" w:rsidRDefault="00AA4F85" w:rsidP="00CC1061">
            <w:pPr>
              <w:jc w:val="center"/>
              <w:rPr>
                <w:b/>
                <w:bCs/>
                <w:color w:val="000000" w:themeColor="text1"/>
              </w:rPr>
            </w:pPr>
            <w:r w:rsidRPr="00CC1061">
              <w:rPr>
                <w:b/>
                <w:bCs/>
              </w:rPr>
              <w:t>FFY 2023 Data</w:t>
            </w:r>
          </w:p>
        </w:tc>
        <w:tc>
          <w:tcPr>
            <w:tcW w:w="584" w:type="pct"/>
            <w:vAlign w:val="bottom"/>
          </w:tcPr>
          <w:p w14:paraId="4CC58DFD" w14:textId="77777777" w:rsidR="00AA4F85" w:rsidRPr="00CC1061" w:rsidRDefault="00AA4F85" w:rsidP="00CC1061">
            <w:pPr>
              <w:jc w:val="center"/>
              <w:rPr>
                <w:b/>
                <w:bCs/>
                <w:color w:val="000000" w:themeColor="text1"/>
              </w:rPr>
            </w:pPr>
            <w:r w:rsidRPr="00CC1061">
              <w:rPr>
                <w:b/>
                <w:bCs/>
              </w:rPr>
              <w:t>FFY 2024 Target</w:t>
            </w:r>
          </w:p>
        </w:tc>
        <w:tc>
          <w:tcPr>
            <w:tcW w:w="584" w:type="pct"/>
            <w:vAlign w:val="bottom"/>
          </w:tcPr>
          <w:p w14:paraId="51E50B96" w14:textId="77777777" w:rsidR="00AA4F85" w:rsidRPr="00CC1061" w:rsidRDefault="00AA4F85" w:rsidP="00CC1061">
            <w:pPr>
              <w:jc w:val="center"/>
              <w:rPr>
                <w:b/>
                <w:bCs/>
                <w:color w:val="000000" w:themeColor="text1"/>
              </w:rPr>
            </w:pPr>
            <w:r w:rsidRPr="00CC1061">
              <w:rPr>
                <w:b/>
                <w:bCs/>
              </w:rPr>
              <w:t>FFY 2024 Data</w:t>
            </w:r>
          </w:p>
        </w:tc>
        <w:tc>
          <w:tcPr>
            <w:tcW w:w="486" w:type="pct"/>
            <w:vAlign w:val="bottom"/>
          </w:tcPr>
          <w:p w14:paraId="5AFA49D0" w14:textId="77777777" w:rsidR="00AA4F85" w:rsidRPr="00781112" w:rsidRDefault="00AA4F85" w:rsidP="00AA4F85">
            <w:pPr>
              <w:rPr>
                <w:b/>
                <w:color w:val="000000" w:themeColor="text1"/>
              </w:rPr>
            </w:pPr>
            <w:r w:rsidRPr="00781112">
              <w:rPr>
                <w:b/>
                <w:color w:val="000000" w:themeColor="text1"/>
              </w:rPr>
              <w:t>Status</w:t>
            </w:r>
          </w:p>
        </w:tc>
        <w:tc>
          <w:tcPr>
            <w:tcW w:w="633" w:type="pct"/>
            <w:vAlign w:val="bottom"/>
          </w:tcPr>
          <w:p w14:paraId="4EEEA5F9" w14:textId="77777777" w:rsidR="00AA4F85" w:rsidRPr="00781112" w:rsidRDefault="00AA4F85" w:rsidP="00AA4F85">
            <w:pPr>
              <w:rPr>
                <w:b/>
                <w:color w:val="000000" w:themeColor="text1"/>
              </w:rPr>
            </w:pPr>
            <w:r w:rsidRPr="00781112">
              <w:rPr>
                <w:b/>
                <w:color w:val="000000" w:themeColor="text1"/>
              </w:rPr>
              <w:t>Slippage</w:t>
            </w:r>
          </w:p>
        </w:tc>
      </w:tr>
      <w:tr w:rsidR="005C29F8" w:rsidRPr="00781112" w14:paraId="51D1C67E" w14:textId="77777777" w:rsidTr="00AA4F85">
        <w:tc>
          <w:tcPr>
            <w:tcW w:w="1000" w:type="pct"/>
          </w:tcPr>
          <w:p w14:paraId="365E7A83"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B1. Of those children who entered or exited the program below age expectations in Outcome B, the percent who substantially increased their rate of growth by the time they turned 6 years of age or exited the program. </w:t>
            </w:r>
            <w:r w:rsidRPr="00266107">
              <w:rPr>
                <w:rFonts w:cs="Arial"/>
                <w:i/>
                <w:iCs/>
                <w:color w:val="000000" w:themeColor="text1"/>
                <w:szCs w:val="16"/>
              </w:rPr>
              <w:t>Calculation: (</w:t>
            </w:r>
            <w:proofErr w:type="spellStart"/>
            <w:r w:rsidRPr="00266107">
              <w:rPr>
                <w:rFonts w:cs="Arial"/>
                <w:i/>
                <w:iCs/>
                <w:color w:val="000000" w:themeColor="text1"/>
                <w:szCs w:val="16"/>
              </w:rPr>
              <w:t>c+d</w:t>
            </w:r>
            <w:proofErr w:type="spellEnd"/>
            <w:r w:rsidRPr="00266107">
              <w:rPr>
                <w:rFonts w:cs="Arial"/>
                <w:i/>
                <w:iCs/>
                <w:color w:val="000000" w:themeColor="text1"/>
                <w:szCs w:val="16"/>
              </w:rPr>
              <w:t>)/(</w:t>
            </w:r>
            <w:proofErr w:type="spellStart"/>
            <w:r w:rsidRPr="00266107">
              <w:rPr>
                <w:rFonts w:cs="Arial"/>
                <w:i/>
                <w:iCs/>
                <w:color w:val="000000" w:themeColor="text1"/>
                <w:szCs w:val="16"/>
              </w:rPr>
              <w:t>a+b+c+d</w:t>
            </w:r>
            <w:proofErr w:type="spellEnd"/>
            <w:r w:rsidRPr="00266107">
              <w:rPr>
                <w:rFonts w:cs="Arial"/>
                <w:i/>
                <w:iCs/>
                <w:color w:val="000000" w:themeColor="text1"/>
                <w:szCs w:val="16"/>
              </w:rPr>
              <w:t>)</w:t>
            </w:r>
          </w:p>
        </w:tc>
        <w:tc>
          <w:tcPr>
            <w:tcW w:w="585" w:type="pct"/>
            <w:vAlign w:val="center"/>
          </w:tcPr>
          <w:p w14:paraId="618EB23A"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1,974</w:t>
            </w:r>
          </w:p>
        </w:tc>
        <w:tc>
          <w:tcPr>
            <w:tcW w:w="585" w:type="pct"/>
            <w:vAlign w:val="center"/>
          </w:tcPr>
          <w:p w14:paraId="3A585594"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2,399</w:t>
            </w:r>
          </w:p>
        </w:tc>
        <w:tc>
          <w:tcPr>
            <w:tcW w:w="543" w:type="pct"/>
            <w:vAlign w:val="center"/>
          </w:tcPr>
          <w:p w14:paraId="69D7E7EE"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82.57%</w:t>
            </w:r>
          </w:p>
        </w:tc>
        <w:tc>
          <w:tcPr>
            <w:tcW w:w="584" w:type="pct"/>
            <w:vAlign w:val="center"/>
          </w:tcPr>
          <w:p w14:paraId="1AE97526"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85.50%</w:t>
            </w:r>
          </w:p>
        </w:tc>
        <w:tc>
          <w:tcPr>
            <w:tcW w:w="584" w:type="pct"/>
            <w:vAlign w:val="center"/>
          </w:tcPr>
          <w:p w14:paraId="093FE490"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82.28%</w:t>
            </w:r>
          </w:p>
        </w:tc>
        <w:tc>
          <w:tcPr>
            <w:tcW w:w="486" w:type="pct"/>
            <w:vAlign w:val="center"/>
          </w:tcPr>
          <w:p w14:paraId="73300CCD"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33" w:type="pct"/>
            <w:vAlign w:val="center"/>
          </w:tcPr>
          <w:p w14:paraId="1567FFEC"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336C24D9" w14:textId="77777777" w:rsidTr="00AA4F85">
        <w:tc>
          <w:tcPr>
            <w:tcW w:w="1000" w:type="pct"/>
          </w:tcPr>
          <w:p w14:paraId="77B8ADBB"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B2. The percent of preschool children who were functioning within age expectations in Outcome B by the time they turned 6 years of age or exited the </w:t>
            </w:r>
            <w:r w:rsidRPr="00781112">
              <w:rPr>
                <w:rFonts w:cs="Arial"/>
                <w:color w:val="000000" w:themeColor="text1"/>
                <w:szCs w:val="16"/>
              </w:rPr>
              <w:lastRenderedPageBreak/>
              <w:t xml:space="preserve">program. </w:t>
            </w:r>
            <w:r w:rsidRPr="00266107">
              <w:rPr>
                <w:rFonts w:cs="Arial"/>
                <w:i/>
                <w:iCs/>
                <w:color w:val="000000" w:themeColor="text1"/>
                <w:szCs w:val="16"/>
              </w:rPr>
              <w:t>Calculation: (</w:t>
            </w:r>
            <w:proofErr w:type="spellStart"/>
            <w:r w:rsidRPr="00266107">
              <w:rPr>
                <w:rFonts w:cs="Arial"/>
                <w:i/>
                <w:iCs/>
                <w:color w:val="000000" w:themeColor="text1"/>
                <w:szCs w:val="16"/>
              </w:rPr>
              <w:t>d+e</w:t>
            </w:r>
            <w:proofErr w:type="spellEnd"/>
            <w:r w:rsidRPr="00266107">
              <w:rPr>
                <w:rFonts w:cs="Arial"/>
                <w:i/>
                <w:iCs/>
                <w:color w:val="000000" w:themeColor="text1"/>
                <w:szCs w:val="16"/>
              </w:rPr>
              <w:t>)/(</w:t>
            </w:r>
            <w:proofErr w:type="spellStart"/>
            <w:r w:rsidRPr="00266107">
              <w:rPr>
                <w:rFonts w:cs="Arial"/>
                <w:i/>
                <w:iCs/>
                <w:color w:val="000000" w:themeColor="text1"/>
                <w:szCs w:val="16"/>
              </w:rPr>
              <w:t>a+b+c+d+e</w:t>
            </w:r>
            <w:proofErr w:type="spellEnd"/>
            <w:r w:rsidRPr="00266107">
              <w:rPr>
                <w:rFonts w:cs="Arial"/>
                <w:i/>
                <w:iCs/>
                <w:color w:val="000000" w:themeColor="text1"/>
                <w:szCs w:val="16"/>
              </w:rPr>
              <w:t>)</w:t>
            </w:r>
          </w:p>
        </w:tc>
        <w:tc>
          <w:tcPr>
            <w:tcW w:w="585" w:type="pct"/>
            <w:vAlign w:val="center"/>
          </w:tcPr>
          <w:p w14:paraId="02EDD699"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lastRenderedPageBreak/>
              <w:t>1,483</w:t>
            </w:r>
          </w:p>
        </w:tc>
        <w:tc>
          <w:tcPr>
            <w:tcW w:w="585" w:type="pct"/>
            <w:vAlign w:val="center"/>
          </w:tcPr>
          <w:p w14:paraId="794E6234"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2,689</w:t>
            </w:r>
          </w:p>
        </w:tc>
        <w:tc>
          <w:tcPr>
            <w:tcW w:w="543" w:type="pct"/>
            <w:vAlign w:val="center"/>
          </w:tcPr>
          <w:p w14:paraId="4F1A4EB1"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58.32%</w:t>
            </w:r>
          </w:p>
        </w:tc>
        <w:tc>
          <w:tcPr>
            <w:tcW w:w="584" w:type="pct"/>
            <w:vAlign w:val="center"/>
          </w:tcPr>
          <w:p w14:paraId="3F49B923"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63.30%</w:t>
            </w:r>
          </w:p>
        </w:tc>
        <w:tc>
          <w:tcPr>
            <w:tcW w:w="584" w:type="pct"/>
            <w:vAlign w:val="center"/>
          </w:tcPr>
          <w:p w14:paraId="0A504F95"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55.15%</w:t>
            </w:r>
          </w:p>
        </w:tc>
        <w:tc>
          <w:tcPr>
            <w:tcW w:w="486" w:type="pct"/>
            <w:vAlign w:val="center"/>
          </w:tcPr>
          <w:p w14:paraId="4609AEC4"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33" w:type="pct"/>
            <w:vAlign w:val="center"/>
          </w:tcPr>
          <w:p w14:paraId="7C827269"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Slippage</w:t>
            </w:r>
          </w:p>
        </w:tc>
      </w:tr>
    </w:tbl>
    <w:p w14:paraId="56CE78AA" w14:textId="77777777" w:rsidR="00A80FEB" w:rsidRPr="00781112" w:rsidRDefault="00A80FEB" w:rsidP="004369B2">
      <w:pPr>
        <w:rPr>
          <w:color w:val="000000" w:themeColor="text1"/>
        </w:rPr>
      </w:pPr>
      <w:r w:rsidRPr="00781112">
        <w:rPr>
          <w:b/>
          <w:color w:val="000000" w:themeColor="text1"/>
        </w:rPr>
        <w:t>Outcome C: Use of appropriate behaviors to meet their needs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C"/>
      </w:tblPr>
      <w:tblGrid>
        <w:gridCol w:w="7227"/>
        <w:gridCol w:w="1783"/>
        <w:gridCol w:w="1780"/>
      </w:tblGrid>
      <w:tr w:rsidR="005C29F8" w:rsidRPr="00781112" w14:paraId="6CC66EA3" w14:textId="77777777" w:rsidTr="0033429D">
        <w:trPr>
          <w:trHeight w:val="361"/>
          <w:tblHeader/>
        </w:trPr>
        <w:tc>
          <w:tcPr>
            <w:tcW w:w="3349" w:type="pct"/>
            <w:vAlign w:val="bottom"/>
          </w:tcPr>
          <w:p w14:paraId="49F7F7CF" w14:textId="77777777" w:rsidR="002F2379" w:rsidRPr="00781112" w:rsidRDefault="009028CA" w:rsidP="0024351A">
            <w:pPr>
              <w:rPr>
                <w:rFonts w:cs="Arial"/>
                <w:color w:val="000000" w:themeColor="text1"/>
                <w:szCs w:val="16"/>
              </w:rPr>
            </w:pPr>
            <w:r w:rsidRPr="00781112">
              <w:rPr>
                <w:rFonts w:cs="Arial"/>
                <w:b/>
                <w:color w:val="000000" w:themeColor="text1"/>
                <w:szCs w:val="16"/>
              </w:rPr>
              <w:t xml:space="preserve">Outcome C </w:t>
            </w:r>
            <w:r w:rsidRPr="00781112">
              <w:rPr>
                <w:rFonts w:cs="Arial"/>
                <w:b/>
                <w:bCs/>
                <w:color w:val="000000" w:themeColor="text1"/>
                <w:szCs w:val="16"/>
              </w:rPr>
              <w:t>Progress Categor</w:t>
            </w:r>
            <w:r w:rsidR="00E91363" w:rsidRPr="00781112">
              <w:rPr>
                <w:rFonts w:cs="Arial"/>
                <w:b/>
                <w:bCs/>
                <w:color w:val="000000" w:themeColor="text1"/>
                <w:szCs w:val="16"/>
              </w:rPr>
              <w:t>y</w:t>
            </w:r>
          </w:p>
        </w:tc>
        <w:tc>
          <w:tcPr>
            <w:tcW w:w="826" w:type="pct"/>
            <w:vAlign w:val="bottom"/>
          </w:tcPr>
          <w:p w14:paraId="48EAA92C" w14:textId="77777777" w:rsidR="002F2379" w:rsidRPr="00781112" w:rsidRDefault="002F2379" w:rsidP="0024351A">
            <w:pPr>
              <w:jc w:val="center"/>
              <w:rPr>
                <w:rFonts w:cs="Arial"/>
                <w:b/>
                <w:color w:val="000000" w:themeColor="text1"/>
                <w:szCs w:val="16"/>
              </w:rPr>
            </w:pPr>
            <w:r w:rsidRPr="00781112">
              <w:rPr>
                <w:rFonts w:cs="Arial"/>
                <w:b/>
                <w:color w:val="000000" w:themeColor="text1"/>
                <w:szCs w:val="16"/>
              </w:rPr>
              <w:t>Number of Children</w:t>
            </w:r>
          </w:p>
        </w:tc>
        <w:tc>
          <w:tcPr>
            <w:tcW w:w="825" w:type="pct"/>
            <w:vAlign w:val="bottom"/>
          </w:tcPr>
          <w:p w14:paraId="6D68E92E" w14:textId="77777777" w:rsidR="002F2379" w:rsidRPr="00781112" w:rsidRDefault="002F2379" w:rsidP="0024351A">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77088CAA" w14:textId="77777777" w:rsidTr="00AB0D6A">
        <w:trPr>
          <w:trHeight w:val="361"/>
        </w:trPr>
        <w:tc>
          <w:tcPr>
            <w:tcW w:w="3349" w:type="pct"/>
          </w:tcPr>
          <w:p w14:paraId="138F56D5" w14:textId="77777777" w:rsidR="00A86385" w:rsidRPr="00781112" w:rsidRDefault="00A86385" w:rsidP="00A86385">
            <w:pPr>
              <w:rPr>
                <w:rFonts w:cs="Arial"/>
                <w:color w:val="000000" w:themeColor="text1"/>
                <w:szCs w:val="16"/>
              </w:rPr>
            </w:pPr>
            <w:r w:rsidRPr="00781112">
              <w:rPr>
                <w:rFonts w:cs="Arial"/>
                <w:color w:val="000000" w:themeColor="text1"/>
                <w:szCs w:val="16"/>
              </w:rPr>
              <w:t>a. Preschool children who did not improve functioning</w:t>
            </w:r>
          </w:p>
        </w:tc>
        <w:tc>
          <w:tcPr>
            <w:tcW w:w="826" w:type="pct"/>
            <w:vAlign w:val="center"/>
          </w:tcPr>
          <w:p w14:paraId="7D02E757"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74</w:t>
            </w:r>
          </w:p>
        </w:tc>
        <w:tc>
          <w:tcPr>
            <w:tcW w:w="825" w:type="pct"/>
            <w:vAlign w:val="center"/>
          </w:tcPr>
          <w:p w14:paraId="7371FD1F"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2.75%</w:t>
            </w:r>
          </w:p>
        </w:tc>
      </w:tr>
      <w:tr w:rsidR="005C29F8" w:rsidRPr="00781112" w14:paraId="44810816" w14:textId="77777777" w:rsidTr="00AB0D6A">
        <w:trPr>
          <w:trHeight w:val="361"/>
        </w:trPr>
        <w:tc>
          <w:tcPr>
            <w:tcW w:w="3349" w:type="pct"/>
          </w:tcPr>
          <w:p w14:paraId="1E094015" w14:textId="77777777" w:rsidR="00A86385" w:rsidRPr="00781112" w:rsidRDefault="00A86385" w:rsidP="00A86385">
            <w:pPr>
              <w:rPr>
                <w:rFonts w:cs="Arial"/>
                <w:color w:val="000000" w:themeColor="text1"/>
                <w:szCs w:val="16"/>
              </w:rPr>
            </w:pPr>
            <w:r w:rsidRPr="00781112">
              <w:rPr>
                <w:rFonts w:cs="Arial"/>
                <w:color w:val="000000" w:themeColor="text1"/>
                <w:szCs w:val="16"/>
              </w:rPr>
              <w:t>b. Preschool children who improved functioning but not sufficient to move nearer to functioning comparable to same-aged peers</w:t>
            </w:r>
          </w:p>
        </w:tc>
        <w:tc>
          <w:tcPr>
            <w:tcW w:w="826" w:type="pct"/>
            <w:vAlign w:val="center"/>
          </w:tcPr>
          <w:p w14:paraId="63EC35E0"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264</w:t>
            </w:r>
          </w:p>
        </w:tc>
        <w:tc>
          <w:tcPr>
            <w:tcW w:w="825" w:type="pct"/>
            <w:vAlign w:val="center"/>
          </w:tcPr>
          <w:p w14:paraId="77DBC0D1"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9.82%</w:t>
            </w:r>
          </w:p>
        </w:tc>
      </w:tr>
      <w:tr w:rsidR="005C29F8" w:rsidRPr="00781112" w14:paraId="73BAF765" w14:textId="77777777" w:rsidTr="00AB0D6A">
        <w:trPr>
          <w:trHeight w:val="395"/>
        </w:trPr>
        <w:tc>
          <w:tcPr>
            <w:tcW w:w="3349" w:type="pct"/>
          </w:tcPr>
          <w:p w14:paraId="25201F11" w14:textId="77777777" w:rsidR="00A86385" w:rsidRPr="00781112" w:rsidRDefault="00A86385" w:rsidP="00A86385">
            <w:pPr>
              <w:rPr>
                <w:rFonts w:cs="Arial"/>
                <w:color w:val="000000" w:themeColor="text1"/>
                <w:szCs w:val="16"/>
              </w:rPr>
            </w:pPr>
            <w:r w:rsidRPr="00781112">
              <w:rPr>
                <w:rFonts w:cs="Arial"/>
                <w:color w:val="000000" w:themeColor="text1"/>
                <w:szCs w:val="16"/>
              </w:rPr>
              <w:t>c. Preschool children who improved functioning to a level nearer to same-aged peers but did not reach it</w:t>
            </w:r>
          </w:p>
        </w:tc>
        <w:tc>
          <w:tcPr>
            <w:tcW w:w="826" w:type="pct"/>
            <w:vAlign w:val="center"/>
          </w:tcPr>
          <w:p w14:paraId="5C54984E"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609</w:t>
            </w:r>
          </w:p>
        </w:tc>
        <w:tc>
          <w:tcPr>
            <w:tcW w:w="825" w:type="pct"/>
            <w:vAlign w:val="center"/>
          </w:tcPr>
          <w:p w14:paraId="3463CCF7"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22.65%</w:t>
            </w:r>
          </w:p>
        </w:tc>
      </w:tr>
      <w:tr w:rsidR="005C29F8" w:rsidRPr="00781112" w14:paraId="2FB1D116" w14:textId="77777777" w:rsidTr="00AB0D6A">
        <w:trPr>
          <w:trHeight w:val="361"/>
        </w:trPr>
        <w:tc>
          <w:tcPr>
            <w:tcW w:w="3349" w:type="pct"/>
          </w:tcPr>
          <w:p w14:paraId="66B1CB76" w14:textId="77777777" w:rsidR="00A86385" w:rsidRPr="00781112" w:rsidRDefault="00A86385" w:rsidP="00A86385">
            <w:pPr>
              <w:rPr>
                <w:rFonts w:cs="Arial"/>
                <w:color w:val="000000" w:themeColor="text1"/>
                <w:szCs w:val="16"/>
              </w:rPr>
            </w:pPr>
            <w:r w:rsidRPr="00781112">
              <w:rPr>
                <w:rFonts w:cs="Arial"/>
                <w:color w:val="000000" w:themeColor="text1"/>
                <w:szCs w:val="16"/>
              </w:rPr>
              <w:t>d. Preschool children who improved functioning to reach a level comparable to same-aged peers</w:t>
            </w:r>
          </w:p>
        </w:tc>
        <w:tc>
          <w:tcPr>
            <w:tcW w:w="826" w:type="pct"/>
            <w:vAlign w:val="center"/>
          </w:tcPr>
          <w:p w14:paraId="4DD74BC0"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1,205</w:t>
            </w:r>
          </w:p>
        </w:tc>
        <w:tc>
          <w:tcPr>
            <w:tcW w:w="825" w:type="pct"/>
            <w:vAlign w:val="center"/>
          </w:tcPr>
          <w:p w14:paraId="5781F571"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44.81%</w:t>
            </w:r>
          </w:p>
        </w:tc>
      </w:tr>
      <w:tr w:rsidR="005C29F8" w:rsidRPr="00781112" w14:paraId="2385A144" w14:textId="77777777" w:rsidTr="00AB0D6A">
        <w:trPr>
          <w:trHeight w:val="361"/>
        </w:trPr>
        <w:tc>
          <w:tcPr>
            <w:tcW w:w="3349" w:type="pct"/>
          </w:tcPr>
          <w:p w14:paraId="53AEF515" w14:textId="77777777" w:rsidR="00A86385" w:rsidRPr="00781112" w:rsidRDefault="00A86385" w:rsidP="00A86385">
            <w:pPr>
              <w:rPr>
                <w:rFonts w:cs="Arial"/>
                <w:color w:val="000000" w:themeColor="text1"/>
                <w:szCs w:val="16"/>
              </w:rPr>
            </w:pPr>
            <w:r w:rsidRPr="00781112">
              <w:rPr>
                <w:rFonts w:cs="Arial"/>
                <w:color w:val="000000" w:themeColor="text1"/>
                <w:szCs w:val="16"/>
              </w:rPr>
              <w:t>e. Preschool children who maintained functioning at a level comparable to same-aged peers</w:t>
            </w:r>
          </w:p>
        </w:tc>
        <w:tc>
          <w:tcPr>
            <w:tcW w:w="826" w:type="pct"/>
            <w:vAlign w:val="center"/>
          </w:tcPr>
          <w:p w14:paraId="79FD1A64"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537</w:t>
            </w:r>
          </w:p>
        </w:tc>
        <w:tc>
          <w:tcPr>
            <w:tcW w:w="825" w:type="pct"/>
            <w:vAlign w:val="center"/>
          </w:tcPr>
          <w:p w14:paraId="7DEA6084"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19.97%</w:t>
            </w:r>
          </w:p>
        </w:tc>
      </w:tr>
    </w:tbl>
    <w:p w14:paraId="5888642D"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CDATA"/>
      </w:tblPr>
      <w:tblGrid>
        <w:gridCol w:w="2156"/>
        <w:gridCol w:w="1260"/>
        <w:gridCol w:w="1260"/>
        <w:gridCol w:w="1172"/>
        <w:gridCol w:w="1260"/>
        <w:gridCol w:w="1349"/>
        <w:gridCol w:w="991"/>
        <w:gridCol w:w="1342"/>
      </w:tblGrid>
      <w:tr w:rsidR="00AA4F85" w:rsidRPr="00781112" w14:paraId="4A3B198A" w14:textId="77777777" w:rsidTr="00AB0D6A">
        <w:trPr>
          <w:trHeight w:val="354"/>
          <w:tblHeader/>
        </w:trPr>
        <w:tc>
          <w:tcPr>
            <w:tcW w:w="999" w:type="pct"/>
            <w:vAlign w:val="bottom"/>
          </w:tcPr>
          <w:p w14:paraId="0377EE37" w14:textId="77777777" w:rsidR="00AA4F85" w:rsidRPr="00781112" w:rsidRDefault="00AA4F85" w:rsidP="00AA4F85">
            <w:pPr>
              <w:rPr>
                <w:rFonts w:cs="Arial"/>
                <w:b/>
                <w:bCs/>
                <w:color w:val="000000" w:themeColor="text1"/>
                <w:szCs w:val="16"/>
              </w:rPr>
            </w:pPr>
            <w:r w:rsidRPr="00781112">
              <w:rPr>
                <w:rFonts w:cs="Arial"/>
                <w:b/>
                <w:bCs/>
                <w:color w:val="000000" w:themeColor="text1"/>
                <w:szCs w:val="16"/>
              </w:rPr>
              <w:t>Outcome C</w:t>
            </w:r>
          </w:p>
        </w:tc>
        <w:tc>
          <w:tcPr>
            <w:tcW w:w="584" w:type="pct"/>
            <w:vAlign w:val="bottom"/>
          </w:tcPr>
          <w:p w14:paraId="2AFA5B9F"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Numerator</w:t>
            </w:r>
          </w:p>
        </w:tc>
        <w:tc>
          <w:tcPr>
            <w:tcW w:w="584" w:type="pct"/>
            <w:vAlign w:val="bottom"/>
          </w:tcPr>
          <w:p w14:paraId="6199999C"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Denominator</w:t>
            </w:r>
          </w:p>
        </w:tc>
        <w:tc>
          <w:tcPr>
            <w:tcW w:w="543" w:type="pct"/>
            <w:vAlign w:val="bottom"/>
          </w:tcPr>
          <w:p w14:paraId="5CA6CE03" w14:textId="77777777" w:rsidR="00AA4F85" w:rsidRPr="00CC1061" w:rsidRDefault="00AA4F85" w:rsidP="00AA4F85">
            <w:pPr>
              <w:jc w:val="center"/>
              <w:rPr>
                <w:rFonts w:cs="Arial"/>
                <w:b/>
                <w:bCs/>
                <w:color w:val="000000" w:themeColor="text1"/>
                <w:szCs w:val="16"/>
              </w:rPr>
            </w:pPr>
            <w:r w:rsidRPr="00CC1061">
              <w:rPr>
                <w:b/>
                <w:bCs/>
              </w:rPr>
              <w:t>FFY 2023 Data</w:t>
            </w:r>
          </w:p>
        </w:tc>
        <w:tc>
          <w:tcPr>
            <w:tcW w:w="584" w:type="pct"/>
            <w:vAlign w:val="bottom"/>
          </w:tcPr>
          <w:p w14:paraId="063A28DA" w14:textId="77777777" w:rsidR="00AA4F85" w:rsidRPr="00CC1061" w:rsidRDefault="00AA4F85" w:rsidP="00AA4F85">
            <w:pPr>
              <w:jc w:val="center"/>
              <w:rPr>
                <w:rFonts w:cs="Arial"/>
                <w:b/>
                <w:bCs/>
                <w:color w:val="000000" w:themeColor="text1"/>
                <w:szCs w:val="16"/>
              </w:rPr>
            </w:pPr>
            <w:r w:rsidRPr="00CC1061">
              <w:rPr>
                <w:b/>
                <w:bCs/>
              </w:rPr>
              <w:t>FFY 2024 Target</w:t>
            </w:r>
          </w:p>
        </w:tc>
        <w:tc>
          <w:tcPr>
            <w:tcW w:w="625" w:type="pct"/>
            <w:vAlign w:val="bottom"/>
          </w:tcPr>
          <w:p w14:paraId="003DEBEC" w14:textId="77777777" w:rsidR="00AA4F85" w:rsidRPr="00CC1061" w:rsidRDefault="00AA4F85" w:rsidP="00AA4F85">
            <w:pPr>
              <w:jc w:val="center"/>
              <w:rPr>
                <w:rFonts w:cs="Arial"/>
                <w:b/>
                <w:bCs/>
                <w:color w:val="000000" w:themeColor="text1"/>
                <w:szCs w:val="16"/>
              </w:rPr>
            </w:pPr>
            <w:r w:rsidRPr="00CC1061">
              <w:rPr>
                <w:b/>
                <w:bCs/>
              </w:rPr>
              <w:t>FFY 2024 Data</w:t>
            </w:r>
          </w:p>
        </w:tc>
        <w:tc>
          <w:tcPr>
            <w:tcW w:w="459" w:type="pct"/>
            <w:vAlign w:val="bottom"/>
          </w:tcPr>
          <w:p w14:paraId="62905D1A"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Status</w:t>
            </w:r>
          </w:p>
        </w:tc>
        <w:tc>
          <w:tcPr>
            <w:tcW w:w="622" w:type="pct"/>
            <w:vAlign w:val="bottom"/>
          </w:tcPr>
          <w:p w14:paraId="57509A44"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Slippage</w:t>
            </w:r>
          </w:p>
        </w:tc>
      </w:tr>
      <w:tr w:rsidR="005C29F8" w:rsidRPr="00781112" w14:paraId="17E9209C" w14:textId="77777777" w:rsidTr="00AB0D6A">
        <w:trPr>
          <w:trHeight w:val="361"/>
        </w:trPr>
        <w:tc>
          <w:tcPr>
            <w:tcW w:w="999" w:type="pct"/>
          </w:tcPr>
          <w:p w14:paraId="584FA01E" w14:textId="77777777" w:rsidR="00757D21" w:rsidRPr="00781112" w:rsidRDefault="00A86385" w:rsidP="00E526FC">
            <w:pPr>
              <w:rPr>
                <w:rFonts w:cs="Arial"/>
                <w:color w:val="000000" w:themeColor="text1"/>
                <w:szCs w:val="16"/>
              </w:rPr>
            </w:pPr>
            <w:r w:rsidRPr="00781112">
              <w:rPr>
                <w:rFonts w:cs="Arial"/>
                <w:color w:val="000000" w:themeColor="text1"/>
                <w:szCs w:val="16"/>
              </w:rPr>
              <w:t xml:space="preserve">C1. Of those children who entered or exited the program below age expectations in Outcome C, the </w:t>
            </w:r>
            <w:proofErr w:type="gramStart"/>
            <w:r w:rsidRPr="00781112">
              <w:rPr>
                <w:rFonts w:cs="Arial"/>
                <w:color w:val="000000" w:themeColor="text1"/>
                <w:szCs w:val="16"/>
              </w:rPr>
              <w:t>percent who</w:t>
            </w:r>
            <w:proofErr w:type="gramEnd"/>
            <w:r w:rsidRPr="00781112">
              <w:rPr>
                <w:rFonts w:cs="Arial"/>
                <w:color w:val="000000" w:themeColor="text1"/>
                <w:szCs w:val="16"/>
              </w:rPr>
              <w:t xml:space="preserve"> substantially increased their rate of growth by the time they turned 6 years of age or exited the program.</w:t>
            </w:r>
          </w:p>
          <w:p w14:paraId="01BE88B4" w14:textId="77777777" w:rsidR="00B31BA1" w:rsidRPr="00FE4611" w:rsidRDefault="00757D21" w:rsidP="00FE4611">
            <w:pPr>
              <w:spacing w:after="0"/>
              <w:rPr>
                <w:rFonts w:cs="Arial"/>
                <w:i/>
                <w:iCs/>
                <w:color w:val="C00000"/>
                <w:szCs w:val="16"/>
                <w:lang w:val="es-ES"/>
              </w:rPr>
            </w:pPr>
            <w:proofErr w:type="spellStart"/>
            <w:r w:rsidRPr="00FE4611">
              <w:rPr>
                <w:rFonts w:cs="Arial"/>
                <w:i/>
                <w:iCs/>
                <w:color w:val="C00000"/>
                <w:szCs w:val="16"/>
                <w:lang w:val="es-ES"/>
              </w:rPr>
              <w:t>Calculation</w:t>
            </w:r>
            <w:proofErr w:type="spellEnd"/>
            <w:r w:rsidRPr="00FE4611">
              <w:rPr>
                <w:rFonts w:cs="Arial"/>
                <w:i/>
                <w:iCs/>
                <w:color w:val="C00000"/>
                <w:szCs w:val="16"/>
                <w:lang w:val="es-ES"/>
              </w:rPr>
              <w:t>:</w:t>
            </w:r>
          </w:p>
          <w:p w14:paraId="058F00CA" w14:textId="77777777" w:rsidR="00A86385" w:rsidRPr="00781112" w:rsidRDefault="00757D21" w:rsidP="00FE4611">
            <w:pPr>
              <w:spacing w:before="0"/>
              <w:rPr>
                <w:rFonts w:cs="Arial"/>
                <w:color w:val="000000" w:themeColor="text1"/>
                <w:szCs w:val="16"/>
              </w:rPr>
            </w:pPr>
            <w:r w:rsidRPr="00FE4611">
              <w:rPr>
                <w:rFonts w:cs="Arial"/>
                <w:i/>
                <w:iCs/>
                <w:color w:val="C00000"/>
                <w:szCs w:val="16"/>
                <w:lang w:val="es-ES"/>
              </w:rPr>
              <w:t>(</w:t>
            </w:r>
            <w:proofErr w:type="spellStart"/>
            <w:r w:rsidRPr="00FE4611">
              <w:rPr>
                <w:rFonts w:cs="Arial"/>
                <w:i/>
                <w:iCs/>
                <w:color w:val="C00000"/>
                <w:szCs w:val="16"/>
                <w:lang w:val="es-ES"/>
              </w:rPr>
              <w:t>c+</w:t>
            </w:r>
            <w:proofErr w:type="gramStart"/>
            <w:r w:rsidRPr="00FE4611">
              <w:rPr>
                <w:rFonts w:cs="Arial"/>
                <w:i/>
                <w:iCs/>
                <w:color w:val="C00000"/>
                <w:szCs w:val="16"/>
                <w:lang w:val="es-ES"/>
              </w:rPr>
              <w:t>d</w:t>
            </w:r>
            <w:proofErr w:type="spellEnd"/>
            <w:r w:rsidRPr="00FE4611">
              <w:rPr>
                <w:rFonts w:cs="Arial"/>
                <w:i/>
                <w:iCs/>
                <w:color w:val="C00000"/>
                <w:szCs w:val="16"/>
                <w:lang w:val="es-ES"/>
              </w:rPr>
              <w:t>)/</w:t>
            </w:r>
            <w:proofErr w:type="gramEnd"/>
            <w:r w:rsidRPr="00FE4611">
              <w:rPr>
                <w:rFonts w:cs="Arial"/>
                <w:i/>
                <w:iCs/>
                <w:color w:val="C00000"/>
                <w:szCs w:val="16"/>
                <w:lang w:val="es-ES"/>
              </w:rPr>
              <w:t>(</w:t>
            </w:r>
            <w:proofErr w:type="spellStart"/>
            <w:r w:rsidRPr="00FE4611">
              <w:rPr>
                <w:rFonts w:cs="Arial"/>
                <w:i/>
                <w:iCs/>
                <w:color w:val="C00000"/>
                <w:szCs w:val="16"/>
                <w:lang w:val="es-ES"/>
              </w:rPr>
              <w:t>a+b+c+d</w:t>
            </w:r>
            <w:proofErr w:type="spellEnd"/>
            <w:r w:rsidRPr="00FE4611">
              <w:rPr>
                <w:rFonts w:cs="Arial"/>
                <w:i/>
                <w:iCs/>
                <w:color w:val="C00000"/>
                <w:szCs w:val="16"/>
                <w:lang w:val="es-ES"/>
              </w:rPr>
              <w:t>)</w:t>
            </w:r>
            <w:r w:rsidR="00A86385" w:rsidRPr="00781112">
              <w:rPr>
                <w:rFonts w:cs="Arial"/>
                <w:color w:val="000000" w:themeColor="text1"/>
                <w:szCs w:val="16"/>
              </w:rPr>
              <w:t xml:space="preserve"> </w:t>
            </w:r>
          </w:p>
        </w:tc>
        <w:tc>
          <w:tcPr>
            <w:tcW w:w="584" w:type="pct"/>
            <w:vAlign w:val="center"/>
          </w:tcPr>
          <w:p w14:paraId="5A1DFCFB"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1,814</w:t>
            </w:r>
          </w:p>
        </w:tc>
        <w:tc>
          <w:tcPr>
            <w:tcW w:w="584" w:type="pct"/>
            <w:vAlign w:val="center"/>
          </w:tcPr>
          <w:p w14:paraId="4B7F1179"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2,152</w:t>
            </w:r>
          </w:p>
        </w:tc>
        <w:tc>
          <w:tcPr>
            <w:tcW w:w="543" w:type="pct"/>
            <w:vAlign w:val="center"/>
          </w:tcPr>
          <w:p w14:paraId="64CE39E1"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84.69%</w:t>
            </w:r>
          </w:p>
        </w:tc>
        <w:tc>
          <w:tcPr>
            <w:tcW w:w="584" w:type="pct"/>
            <w:vAlign w:val="center"/>
          </w:tcPr>
          <w:p w14:paraId="568F4E4B"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88.30%</w:t>
            </w:r>
          </w:p>
        </w:tc>
        <w:tc>
          <w:tcPr>
            <w:tcW w:w="625" w:type="pct"/>
            <w:vAlign w:val="center"/>
          </w:tcPr>
          <w:p w14:paraId="52BB801E"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84.29%</w:t>
            </w:r>
          </w:p>
        </w:tc>
        <w:tc>
          <w:tcPr>
            <w:tcW w:w="459" w:type="pct"/>
            <w:vAlign w:val="center"/>
          </w:tcPr>
          <w:p w14:paraId="7E2ED5D0"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2" w:type="pct"/>
            <w:vAlign w:val="center"/>
          </w:tcPr>
          <w:p w14:paraId="65CD8160"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1AC38877" w14:textId="77777777" w:rsidTr="00AB0D6A">
        <w:trPr>
          <w:trHeight w:val="361"/>
        </w:trPr>
        <w:tc>
          <w:tcPr>
            <w:tcW w:w="999" w:type="pct"/>
          </w:tcPr>
          <w:p w14:paraId="6594C741" w14:textId="77777777" w:rsidR="00A86385" w:rsidRPr="00781112" w:rsidRDefault="00A86385" w:rsidP="00E526FC">
            <w:pPr>
              <w:rPr>
                <w:rFonts w:cs="Arial"/>
                <w:color w:val="000000" w:themeColor="text1"/>
                <w:szCs w:val="16"/>
              </w:rPr>
            </w:pPr>
            <w:r w:rsidRPr="00781112">
              <w:rPr>
                <w:rFonts w:cs="Arial"/>
                <w:color w:val="000000" w:themeColor="text1"/>
                <w:szCs w:val="16"/>
              </w:rPr>
              <w:t xml:space="preserve">C2. The percent of preschool children who were functioning within age expectations in Outcome C by the time they turned 6 years of age or exited the program. </w:t>
            </w:r>
          </w:p>
          <w:p w14:paraId="17ACE680" w14:textId="77777777" w:rsidR="00757D21" w:rsidRPr="0075451F" w:rsidRDefault="00757D21" w:rsidP="00E526FC">
            <w:pPr>
              <w:rPr>
                <w:rFonts w:cs="Arial"/>
                <w:color w:val="000000" w:themeColor="text1"/>
                <w:szCs w:val="16"/>
                <w:lang w:val="es-ES"/>
              </w:rPr>
            </w:pPr>
            <w:proofErr w:type="spellStart"/>
            <w:r w:rsidRPr="0075451F">
              <w:rPr>
                <w:rFonts w:cs="Arial"/>
                <w:i/>
                <w:iCs/>
                <w:color w:val="C00000"/>
                <w:szCs w:val="16"/>
                <w:lang w:val="es-ES"/>
              </w:rPr>
              <w:t>Calculation</w:t>
            </w:r>
            <w:proofErr w:type="spellEnd"/>
            <w:r w:rsidRPr="0075451F">
              <w:rPr>
                <w:rFonts w:cs="Arial"/>
                <w:i/>
                <w:iCs/>
                <w:color w:val="C00000"/>
                <w:szCs w:val="16"/>
                <w:lang w:val="es-ES"/>
              </w:rPr>
              <w:t>: (</w:t>
            </w:r>
            <w:proofErr w:type="spellStart"/>
            <w:r w:rsidRPr="0075451F">
              <w:rPr>
                <w:rFonts w:cs="Arial"/>
                <w:i/>
                <w:iCs/>
                <w:color w:val="C00000"/>
                <w:szCs w:val="16"/>
                <w:lang w:val="es-ES"/>
              </w:rPr>
              <w:t>d+</w:t>
            </w:r>
            <w:proofErr w:type="gramStart"/>
            <w:r w:rsidRPr="0075451F">
              <w:rPr>
                <w:rFonts w:cs="Arial"/>
                <w:i/>
                <w:iCs/>
                <w:color w:val="C00000"/>
                <w:szCs w:val="16"/>
                <w:lang w:val="es-ES"/>
              </w:rPr>
              <w:t>e</w:t>
            </w:r>
            <w:proofErr w:type="spellEnd"/>
            <w:r w:rsidRPr="0075451F">
              <w:rPr>
                <w:rFonts w:cs="Arial"/>
                <w:i/>
                <w:iCs/>
                <w:color w:val="C00000"/>
                <w:szCs w:val="16"/>
                <w:lang w:val="es-ES"/>
              </w:rPr>
              <w:t>)/</w:t>
            </w:r>
            <w:proofErr w:type="gramEnd"/>
            <w:r w:rsidRPr="0075451F">
              <w:rPr>
                <w:rFonts w:cs="Arial"/>
                <w:i/>
                <w:iCs/>
                <w:color w:val="C00000"/>
                <w:szCs w:val="16"/>
                <w:lang w:val="es-ES"/>
              </w:rPr>
              <w:t>(</w:t>
            </w:r>
            <w:proofErr w:type="spellStart"/>
            <w:r w:rsidRPr="0075451F">
              <w:rPr>
                <w:rFonts w:cs="Arial"/>
                <w:i/>
                <w:iCs/>
                <w:color w:val="C00000"/>
                <w:szCs w:val="16"/>
                <w:lang w:val="es-ES"/>
              </w:rPr>
              <w:t>a+b+c+d+e</w:t>
            </w:r>
            <w:proofErr w:type="spellEnd"/>
            <w:r w:rsidRPr="0075451F">
              <w:rPr>
                <w:rFonts w:cs="Arial"/>
                <w:i/>
                <w:iCs/>
                <w:color w:val="C00000"/>
                <w:szCs w:val="16"/>
                <w:lang w:val="es-ES"/>
              </w:rPr>
              <w:t>)</w:t>
            </w:r>
          </w:p>
        </w:tc>
        <w:tc>
          <w:tcPr>
            <w:tcW w:w="584" w:type="pct"/>
            <w:vAlign w:val="center"/>
          </w:tcPr>
          <w:p w14:paraId="5F1386D4" w14:textId="77777777" w:rsidR="00E526FC" w:rsidRPr="00781112" w:rsidRDefault="002B7490" w:rsidP="00A018D4">
            <w:pPr>
              <w:jc w:val="center"/>
              <w:rPr>
                <w:rFonts w:cs="Arial"/>
                <w:color w:val="000000" w:themeColor="text1"/>
                <w:szCs w:val="16"/>
              </w:rPr>
            </w:pPr>
            <w:r w:rsidRPr="00781112">
              <w:rPr>
                <w:rFonts w:cs="Arial"/>
                <w:color w:val="000000" w:themeColor="text1"/>
                <w:szCs w:val="16"/>
              </w:rPr>
              <w:t>1,742</w:t>
            </w:r>
          </w:p>
        </w:tc>
        <w:tc>
          <w:tcPr>
            <w:tcW w:w="584" w:type="pct"/>
            <w:vAlign w:val="center"/>
          </w:tcPr>
          <w:p w14:paraId="0B28540D" w14:textId="77777777" w:rsidR="00E526FC" w:rsidRPr="00781112" w:rsidRDefault="002B7490" w:rsidP="00A018D4">
            <w:pPr>
              <w:jc w:val="center"/>
              <w:rPr>
                <w:rFonts w:cs="Arial"/>
                <w:color w:val="000000" w:themeColor="text1"/>
                <w:szCs w:val="16"/>
              </w:rPr>
            </w:pPr>
            <w:r w:rsidRPr="00781112">
              <w:rPr>
                <w:rFonts w:cs="Arial"/>
                <w:color w:val="000000" w:themeColor="text1"/>
                <w:szCs w:val="16"/>
              </w:rPr>
              <w:t>2,689</w:t>
            </w:r>
          </w:p>
        </w:tc>
        <w:tc>
          <w:tcPr>
            <w:tcW w:w="543" w:type="pct"/>
            <w:vAlign w:val="center"/>
          </w:tcPr>
          <w:p w14:paraId="252D32D1"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68.12%</w:t>
            </w:r>
          </w:p>
        </w:tc>
        <w:tc>
          <w:tcPr>
            <w:tcW w:w="584" w:type="pct"/>
            <w:vAlign w:val="center"/>
          </w:tcPr>
          <w:p w14:paraId="52034953"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75.30%</w:t>
            </w:r>
          </w:p>
        </w:tc>
        <w:tc>
          <w:tcPr>
            <w:tcW w:w="625" w:type="pct"/>
            <w:vAlign w:val="center"/>
          </w:tcPr>
          <w:p w14:paraId="6320E757"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64.78%</w:t>
            </w:r>
          </w:p>
        </w:tc>
        <w:tc>
          <w:tcPr>
            <w:tcW w:w="459" w:type="pct"/>
            <w:vAlign w:val="center"/>
          </w:tcPr>
          <w:p w14:paraId="0057EDEB"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2" w:type="pct"/>
            <w:vAlign w:val="center"/>
          </w:tcPr>
          <w:p w14:paraId="484F06C5" w14:textId="77777777" w:rsidR="00A86385" w:rsidRPr="00781112" w:rsidRDefault="002B7490" w:rsidP="00A018D4">
            <w:pPr>
              <w:jc w:val="center"/>
              <w:rPr>
                <w:rFonts w:cs="Arial"/>
                <w:color w:val="000000" w:themeColor="text1"/>
                <w:szCs w:val="16"/>
              </w:rPr>
            </w:pPr>
            <w:r w:rsidRPr="00781112">
              <w:rPr>
                <w:rFonts w:cs="Arial"/>
                <w:color w:val="000000" w:themeColor="text1"/>
                <w:szCs w:val="16"/>
              </w:rPr>
              <w:t>Slippage</w:t>
            </w:r>
          </w:p>
        </w:tc>
      </w:tr>
    </w:tbl>
    <w:p w14:paraId="5A56F760" w14:textId="77777777" w:rsidR="009B37A2" w:rsidRPr="00781112" w:rsidRDefault="009B37A2" w:rsidP="00B3121C">
      <w:pPr>
        <w:rPr>
          <w:color w:val="000000" w:themeColor="text1"/>
        </w:rPr>
      </w:pPr>
    </w:p>
    <w:tbl>
      <w:tblPr>
        <w:tblStyle w:val="TableGrid"/>
        <w:tblW w:w="5000" w:type="pct"/>
        <w:shd w:val="clear" w:color="auto" w:fill="FBD4B4" w:themeFill="accent6" w:themeFillTint="66"/>
        <w:tblLook w:val="04A0" w:firstRow="1" w:lastRow="0" w:firstColumn="1" w:lastColumn="0" w:noHBand="0" w:noVBand="1"/>
        <w:tblCaption w:val="B07SLIPEXPLN"/>
      </w:tblPr>
      <w:tblGrid>
        <w:gridCol w:w="809"/>
        <w:gridCol w:w="9981"/>
      </w:tblGrid>
      <w:tr w:rsidR="005C29F8" w:rsidRPr="00781112" w14:paraId="0CA4392F" w14:textId="77777777" w:rsidTr="003138F9">
        <w:trPr>
          <w:tblHeader/>
        </w:trPr>
        <w:tc>
          <w:tcPr>
            <w:tcW w:w="375" w:type="pct"/>
            <w:vAlign w:val="bottom"/>
          </w:tcPr>
          <w:p w14:paraId="555CF5EA" w14:textId="77777777" w:rsidR="005033CE" w:rsidRPr="00781112" w:rsidRDefault="005033CE" w:rsidP="004369B2">
            <w:pPr>
              <w:jc w:val="center"/>
              <w:rPr>
                <w:color w:val="000000" w:themeColor="text1"/>
              </w:rPr>
            </w:pPr>
            <w:r w:rsidRPr="00781112">
              <w:rPr>
                <w:b/>
                <w:color w:val="000000" w:themeColor="text1"/>
              </w:rPr>
              <w:t>Part</w:t>
            </w:r>
          </w:p>
        </w:tc>
        <w:tc>
          <w:tcPr>
            <w:tcW w:w="4625" w:type="pct"/>
          </w:tcPr>
          <w:p w14:paraId="6A52FC41" w14:textId="77777777" w:rsidR="005033CE" w:rsidRPr="00781112" w:rsidRDefault="005033CE" w:rsidP="004369B2">
            <w:pPr>
              <w:jc w:val="center"/>
              <w:rPr>
                <w:color w:val="000000" w:themeColor="text1"/>
              </w:rPr>
            </w:pPr>
            <w:r w:rsidRPr="00781112">
              <w:rPr>
                <w:b/>
                <w:color w:val="000000" w:themeColor="text1"/>
              </w:rPr>
              <w:t>Reasons for slippage, if applicable</w:t>
            </w:r>
          </w:p>
        </w:tc>
      </w:tr>
      <w:tr w:rsidR="005C29F8" w:rsidRPr="00781112" w14:paraId="362367AB" w14:textId="77777777" w:rsidTr="003138F9">
        <w:tc>
          <w:tcPr>
            <w:tcW w:w="375" w:type="pct"/>
            <w:vAlign w:val="center"/>
          </w:tcPr>
          <w:p w14:paraId="13328550" w14:textId="77777777" w:rsidR="005033CE" w:rsidRPr="00781112" w:rsidRDefault="005033CE" w:rsidP="004369B2">
            <w:pPr>
              <w:jc w:val="center"/>
              <w:rPr>
                <w:b/>
                <w:color w:val="000000" w:themeColor="text1"/>
              </w:rPr>
            </w:pPr>
            <w:r w:rsidRPr="00781112">
              <w:rPr>
                <w:b/>
                <w:color w:val="000000" w:themeColor="text1"/>
              </w:rPr>
              <w:t>A2</w:t>
            </w:r>
          </w:p>
        </w:tc>
        <w:tc>
          <w:tcPr>
            <w:tcW w:w="4625" w:type="pct"/>
          </w:tcPr>
          <w:p w14:paraId="1430FB3F" w14:textId="77777777" w:rsidR="005033CE" w:rsidRPr="00781112" w:rsidRDefault="008C5922" w:rsidP="00E21107">
            <w:pPr>
              <w:rPr>
                <w:rFonts w:cs="Arial"/>
                <w:color w:val="000000" w:themeColor="text1"/>
                <w:szCs w:val="16"/>
              </w:rPr>
            </w:pPr>
            <w:r w:rsidRPr="00781112">
              <w:rPr>
                <w:rFonts w:cs="Arial"/>
                <w:color w:val="000000" w:themeColor="text1"/>
                <w:szCs w:val="16"/>
              </w:rPr>
              <w:t>Slippage from 59.27% in FFY 2023 to 56.38% in FFY 2024 reflects two contributing factors. FFY 2024’s cohort included children with complex social-emotional and behavioral needs who required intensive supports. While these children demonstrated progress across categories, fewer achieved age-expected functioning by exit. Additionally, ongoing training on the Child Outcomes Summary (COS) process resulted in more valid and reliable exit ratings, which produced more conservative scores than in prior years.</w:t>
            </w:r>
          </w:p>
        </w:tc>
      </w:tr>
      <w:tr w:rsidR="005C29F8" w:rsidRPr="00781112" w14:paraId="0D6E6B5F" w14:textId="77777777" w:rsidTr="003138F9">
        <w:tc>
          <w:tcPr>
            <w:tcW w:w="375" w:type="pct"/>
            <w:vAlign w:val="center"/>
          </w:tcPr>
          <w:p w14:paraId="074CE56A" w14:textId="77777777" w:rsidR="005033CE" w:rsidRPr="00781112" w:rsidRDefault="005033CE" w:rsidP="004369B2">
            <w:pPr>
              <w:jc w:val="center"/>
              <w:rPr>
                <w:b/>
                <w:color w:val="000000" w:themeColor="text1"/>
              </w:rPr>
            </w:pPr>
            <w:r w:rsidRPr="00781112">
              <w:rPr>
                <w:b/>
                <w:color w:val="000000" w:themeColor="text1"/>
              </w:rPr>
              <w:t>B2</w:t>
            </w:r>
          </w:p>
        </w:tc>
        <w:tc>
          <w:tcPr>
            <w:tcW w:w="4625" w:type="pct"/>
          </w:tcPr>
          <w:p w14:paraId="2C09C244" w14:textId="77777777" w:rsidR="005033CE" w:rsidRPr="00781112" w:rsidRDefault="008C5922" w:rsidP="00E21107">
            <w:pPr>
              <w:rPr>
                <w:rFonts w:cs="Arial"/>
                <w:i/>
                <w:color w:val="000000" w:themeColor="text1"/>
                <w:szCs w:val="16"/>
              </w:rPr>
            </w:pPr>
            <w:r w:rsidRPr="00781112">
              <w:rPr>
                <w:rFonts w:cs="Arial"/>
                <w:color w:val="000000" w:themeColor="text1"/>
                <w:szCs w:val="16"/>
              </w:rPr>
              <w:t>Slippage from 58.32% in FFY 2023 to 55.15% in FFY 2024 stems largely from improved data collection and the intensive support needs of the current cohort. Following identification of inconsistent reporting among itinerant and contracted staff in FFY 2023, WVDE/OSE provided enhanced monitoring and COS training. This resulted in more complete data for previously underreported populations, particularly speech-only children. The current data better reflects the actual challenges children face in reaching age expectations with respect to Outcome 7B rather than declining program effectiveness.</w:t>
            </w:r>
          </w:p>
        </w:tc>
      </w:tr>
      <w:tr w:rsidR="005C29F8" w:rsidRPr="00781112" w14:paraId="5F4A262F" w14:textId="77777777" w:rsidTr="003138F9">
        <w:tc>
          <w:tcPr>
            <w:tcW w:w="375" w:type="pct"/>
            <w:vAlign w:val="center"/>
          </w:tcPr>
          <w:p w14:paraId="6019C59F" w14:textId="77777777" w:rsidR="005033CE" w:rsidRPr="00781112" w:rsidRDefault="005033CE" w:rsidP="004369B2">
            <w:pPr>
              <w:jc w:val="center"/>
              <w:rPr>
                <w:b/>
                <w:color w:val="000000" w:themeColor="text1"/>
              </w:rPr>
            </w:pPr>
            <w:r w:rsidRPr="00781112">
              <w:rPr>
                <w:b/>
                <w:color w:val="000000" w:themeColor="text1"/>
              </w:rPr>
              <w:t>C2</w:t>
            </w:r>
          </w:p>
        </w:tc>
        <w:tc>
          <w:tcPr>
            <w:tcW w:w="4625" w:type="pct"/>
          </w:tcPr>
          <w:p w14:paraId="57BF41BF" w14:textId="77777777" w:rsidR="005033CE" w:rsidRPr="00781112" w:rsidRDefault="005033CE" w:rsidP="00E21107">
            <w:pPr>
              <w:rPr>
                <w:rFonts w:cs="Arial"/>
                <w:color w:val="000000" w:themeColor="text1"/>
                <w:szCs w:val="16"/>
              </w:rPr>
            </w:pPr>
            <w:r w:rsidRPr="00781112">
              <w:rPr>
                <w:rFonts w:cs="Arial"/>
                <w:color w:val="000000" w:themeColor="text1"/>
                <w:szCs w:val="16"/>
              </w:rPr>
              <w:t>Slippage from 68.12% in FFY 2023 to 64.78% in FFY 2024 follows similar patterns observed in 7A2 and 7B2. Outcome 7C is especially challenging for children with behavioral needs who often require extended intervention periods to reach age-expected functioning. Many children made strong progress (7C1 remained stable at 84.29%) but did not reach age expectations by exit. As with the other outcomes, enhanced COS training produced more valid and reliable exit ratings.</w:t>
            </w:r>
          </w:p>
        </w:tc>
      </w:tr>
    </w:tbl>
    <w:p w14:paraId="3AA7C532" w14:textId="77777777" w:rsidR="004B2C2D" w:rsidRPr="00781112" w:rsidRDefault="004B2C2D" w:rsidP="007D435F">
      <w:pPr>
        <w:rPr>
          <w:rFonts w:cs="Arial"/>
          <w:b/>
          <w:color w:val="000000" w:themeColor="text1"/>
          <w:szCs w:val="16"/>
        </w:rPr>
      </w:pPr>
      <w:r w:rsidRPr="00781112">
        <w:rPr>
          <w:rFonts w:cs="Arial"/>
          <w:b/>
          <w:color w:val="000000" w:themeColor="text1"/>
          <w:szCs w:val="16"/>
        </w:rPr>
        <w:t>Does the State include in the numerator and denominator only children who received special education and related services for at least six months during the age span of three through five years? (yes/no)</w:t>
      </w:r>
    </w:p>
    <w:p w14:paraId="5144ED20" w14:textId="77777777" w:rsidR="005033CE" w:rsidRPr="00781112" w:rsidRDefault="004B2C2D" w:rsidP="007D435F">
      <w:pPr>
        <w:rPr>
          <w:rFonts w:cs="Arial"/>
          <w:color w:val="000000" w:themeColor="text1"/>
          <w:szCs w:val="16"/>
        </w:rPr>
      </w:pPr>
      <w:r w:rsidRPr="00781112">
        <w:rPr>
          <w:rFonts w:cs="Arial"/>
          <w:color w:val="000000" w:themeColor="text1"/>
          <w:szCs w:val="16"/>
        </w:rPr>
        <w:t>YES</w:t>
      </w:r>
    </w:p>
    <w:tbl>
      <w:tblPr>
        <w:tblStyle w:val="TableGrid"/>
        <w:tblW w:w="5000" w:type="pct"/>
        <w:tblCellMar>
          <w:left w:w="115" w:type="dxa"/>
          <w:right w:w="115" w:type="dxa"/>
        </w:tblCellMar>
        <w:tblLook w:val="04A0" w:firstRow="1" w:lastRow="0" w:firstColumn="1" w:lastColumn="0" w:noHBand="0" w:noVBand="1"/>
        <w:tblCaption w:val="B07SAMPLINGUSED"/>
      </w:tblPr>
      <w:tblGrid>
        <w:gridCol w:w="8319"/>
        <w:gridCol w:w="2471"/>
      </w:tblGrid>
      <w:tr w:rsidR="005C29F8" w:rsidRPr="00781112" w14:paraId="0FC6CBC6" w14:textId="77777777" w:rsidTr="0033429D">
        <w:trPr>
          <w:tblHeader/>
        </w:trPr>
        <w:tc>
          <w:tcPr>
            <w:tcW w:w="3855" w:type="pct"/>
            <w:tcBorders>
              <w:top w:val="single" w:sz="4" w:space="0" w:color="auto"/>
              <w:left w:val="single" w:sz="4" w:space="0" w:color="auto"/>
            </w:tcBorders>
          </w:tcPr>
          <w:p w14:paraId="5C49B5EC" w14:textId="77777777" w:rsidR="00B461E1" w:rsidRPr="00781112" w:rsidRDefault="001D6B3B" w:rsidP="00A80FEB">
            <w:pPr>
              <w:rPr>
                <w:rFonts w:cs="Arial"/>
                <w:b/>
                <w:bCs/>
                <w:color w:val="000000" w:themeColor="text1"/>
                <w:szCs w:val="16"/>
              </w:rPr>
            </w:pPr>
            <w:r w:rsidRPr="00781112">
              <w:rPr>
                <w:rFonts w:cs="Arial"/>
                <w:b/>
                <w:bCs/>
                <w:color w:val="000000" w:themeColor="text1"/>
                <w:szCs w:val="16"/>
              </w:rPr>
              <w:t>Sampling Question</w:t>
            </w:r>
          </w:p>
        </w:tc>
        <w:tc>
          <w:tcPr>
            <w:tcW w:w="1145" w:type="pct"/>
            <w:tcBorders>
              <w:top w:val="single" w:sz="4" w:space="0" w:color="auto"/>
            </w:tcBorders>
          </w:tcPr>
          <w:p w14:paraId="12D4FBA6" w14:textId="77777777" w:rsidR="00B461E1" w:rsidRPr="00781112" w:rsidRDefault="00B461E1"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63D8E1D6" w14:textId="77777777" w:rsidTr="000A4757">
        <w:tc>
          <w:tcPr>
            <w:tcW w:w="3855" w:type="pct"/>
          </w:tcPr>
          <w:p w14:paraId="588434CF" w14:textId="77777777" w:rsidR="00B461E1" w:rsidRPr="00781112" w:rsidRDefault="00B461E1" w:rsidP="00A80FEB">
            <w:pPr>
              <w:rPr>
                <w:rFonts w:cs="Arial"/>
                <w:color w:val="000000" w:themeColor="text1"/>
                <w:szCs w:val="16"/>
              </w:rPr>
            </w:pPr>
            <w:r w:rsidRPr="00781112">
              <w:rPr>
                <w:rFonts w:cs="Arial"/>
                <w:color w:val="000000" w:themeColor="text1"/>
                <w:szCs w:val="16"/>
              </w:rPr>
              <w:t xml:space="preserve">Was sampling used? </w:t>
            </w:r>
          </w:p>
        </w:tc>
        <w:tc>
          <w:tcPr>
            <w:tcW w:w="1145" w:type="pct"/>
          </w:tcPr>
          <w:p w14:paraId="62EAC6C8" w14:textId="77777777" w:rsidR="00B461E1"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125CC043" w14:textId="77777777" w:rsidR="004B2C2D" w:rsidRPr="00781112" w:rsidRDefault="004B2C2D" w:rsidP="00A80FEB">
      <w:pPr>
        <w:rPr>
          <w:rFonts w:cs="Arial"/>
          <w:b/>
          <w:color w:val="000000" w:themeColor="text1"/>
          <w:szCs w:val="16"/>
        </w:rPr>
      </w:pPr>
      <w:r w:rsidRPr="00781112">
        <w:rPr>
          <w:rFonts w:cs="Arial"/>
          <w:b/>
          <w:color w:val="000000" w:themeColor="text1"/>
          <w:szCs w:val="16"/>
        </w:rPr>
        <w:t>Did you use the Early Childhood Outcomes Center (ECO) Child Outcomes Summary (COS) process? (yes/no)</w:t>
      </w:r>
    </w:p>
    <w:p w14:paraId="0B4884F0" w14:textId="77777777" w:rsidR="004B2C2D" w:rsidRPr="00781112" w:rsidRDefault="004B2C2D" w:rsidP="00A80FEB">
      <w:pPr>
        <w:rPr>
          <w:rFonts w:cs="Arial"/>
          <w:color w:val="000000" w:themeColor="text1"/>
          <w:szCs w:val="16"/>
        </w:rPr>
      </w:pPr>
      <w:r w:rsidRPr="00781112">
        <w:rPr>
          <w:rFonts w:cs="Arial"/>
          <w:color w:val="000000" w:themeColor="text1"/>
          <w:szCs w:val="16"/>
        </w:rPr>
        <w:t>YES</w:t>
      </w:r>
    </w:p>
    <w:p w14:paraId="7820A04F" w14:textId="77777777" w:rsidR="004611C1" w:rsidRPr="00781112" w:rsidRDefault="004611C1" w:rsidP="00401663">
      <w:pPr>
        <w:rPr>
          <w:rFonts w:cs="Arial"/>
          <w:b/>
          <w:color w:val="000000" w:themeColor="text1"/>
          <w:szCs w:val="16"/>
        </w:rPr>
      </w:pPr>
      <w:bookmarkStart w:id="39" w:name="_Toc382082381"/>
      <w:bookmarkStart w:id="40" w:name="_Toc392159306"/>
      <w:r w:rsidRPr="00781112">
        <w:rPr>
          <w:rFonts w:cs="Arial"/>
          <w:b/>
          <w:color w:val="000000" w:themeColor="text1"/>
          <w:szCs w:val="16"/>
        </w:rPr>
        <w:t>List the instruments and procedures used to gather data for this indicator.</w:t>
      </w:r>
    </w:p>
    <w:p w14:paraId="16B2EE96" w14:textId="77777777" w:rsidR="009B37A2" w:rsidRPr="00781112" w:rsidRDefault="002B7490" w:rsidP="007D435F">
      <w:pPr>
        <w:rPr>
          <w:rFonts w:cs="Arial"/>
          <w:color w:val="000000" w:themeColor="text1"/>
          <w:szCs w:val="16"/>
        </w:rPr>
      </w:pPr>
      <w:r w:rsidRPr="00781112">
        <w:rPr>
          <w:rFonts w:cs="Arial"/>
          <w:color w:val="000000" w:themeColor="text1"/>
          <w:szCs w:val="16"/>
        </w:rPr>
        <w:lastRenderedPageBreak/>
        <w:t>West Virginia’s Child Outcomes Summary (COS) process is a part of the West Virginia Early Learning Reporting System (ELRS). ELRS is the online platform where all Universal Pre-K program and child assessment data are maintained, including preschool special education and the COS process. The program data include school and classroom data, annual WV Universal Pre-K Health and Safety Checklist results, county collaborative early childhood core team information, and COS data. Child assessment data include child assessment checkpoints and COS forms for special education reporting requirements. Through data input, ELRS: Pre-K provides output reports for individual child support and instruction, and for classroom, school, and program continuous quality improvement planning. The system includes a process for students eligible for preschool special education that identifies each student with an Individualized Education Program (IEP) and generates the online COS rating form. The primary assessments used in WV are broad-based and look at the whole child for functioning and success in the home, school, and community, as well as their ability to function at the level of their typically developing, same-age peers.</w:t>
      </w:r>
    </w:p>
    <w:p w14:paraId="6977BBF1" w14:textId="77777777" w:rsidR="00CA787A" w:rsidRDefault="00CA787A"/>
    <w:p w14:paraId="31720962" w14:textId="77777777" w:rsidR="00CA787A" w:rsidRDefault="003169E9">
      <w:r>
        <w:rPr>
          <w:color w:val="000000"/>
        </w:rPr>
        <w:t>The Early Learning Scale and other assessments are completed as part of the ongoing formative assessment process and entered into the ELRS three times per year during checkpoint periods. The COS Form is also completed as part of the process to assist with ongoing teacher-driven instruction for all students. The COS Form is completed after it is determined that the child qualifies for special education. Members of the Eligibility and/or IEP team can review all the information presented to determine the initial ratings. It is also recommended that a team representative review this information with the preschool receiving teacher if they were not at the meeting, to enter the summary form information into the ELRS. The ratings should be completed by a team of individuals, including the parent(s), who have experience with and/or knowledge of the student’s functioning across a variety of settings and situations. The information available to the team can include, but need not be limited to, age-reference assessments (standardized, norm-referenced), observations, portfolios, service provider notes, interviews, and/or information from other partners such as WV Birth to Three (WVBTT) and/or related service personnel. To complete the ratings, the team should use multiple sources of information that are typically collected as part of the IEP planning for a student. The purpose is to gather information to obtain an overall picture of how the child functions across a variety of settings in their life. The initial rating is completed at entry, and the exit rating is completed before the student exits the program. The exit data for the COS process are determined as the child exits early childhood preschool special education, transitions into kindergarten, or moves out of state and/or enrolls in a private school.</w:t>
      </w:r>
    </w:p>
    <w:p w14:paraId="7EDEBF9A" w14:textId="77777777" w:rsidR="00221EC9" w:rsidRPr="00781112" w:rsidRDefault="00221EC9" w:rsidP="004369B2">
      <w:pPr>
        <w:rPr>
          <w:b/>
          <w:color w:val="000000" w:themeColor="text1"/>
        </w:rPr>
      </w:pPr>
      <w:r w:rsidRPr="00781112">
        <w:rPr>
          <w:b/>
          <w:color w:val="000000" w:themeColor="text1"/>
        </w:rPr>
        <w:t>Provide additional information about this indicator (optional)</w:t>
      </w:r>
    </w:p>
    <w:p w14:paraId="42697054" w14:textId="77777777" w:rsidR="009B37A2" w:rsidRPr="00781112" w:rsidRDefault="002B7490" w:rsidP="007D435F">
      <w:pPr>
        <w:rPr>
          <w:rFonts w:cs="Arial"/>
          <w:color w:val="000000" w:themeColor="text1"/>
          <w:szCs w:val="16"/>
        </w:rPr>
      </w:pPr>
      <w:r w:rsidRPr="00781112">
        <w:rPr>
          <w:rFonts w:cs="Arial"/>
          <w:color w:val="000000" w:themeColor="text1"/>
          <w:szCs w:val="16"/>
        </w:rPr>
        <w:t>To assess whether the observed slippage represented meaningful shifts rather than normal year-to-year variation, WVDE/OSE conducted two-proportion z-tests and calculated Cohen’s h to evaluate both statistical significance and effect size.</w:t>
      </w:r>
    </w:p>
    <w:p w14:paraId="62072A3E" w14:textId="77777777" w:rsidR="00CA787A" w:rsidRDefault="003169E9">
      <w:r>
        <w:rPr>
          <w:color w:val="000000"/>
        </w:rPr>
        <w:t>SLIPPAGE 7A2 — The 2.89 percentage-point (pp) decrease is statistically significant (p = 0.03); however, the effect size is negligible (Cohen’s h = 0.06).</w:t>
      </w:r>
    </w:p>
    <w:p w14:paraId="47EC83A9" w14:textId="77777777" w:rsidR="00CA787A" w:rsidRDefault="003169E9">
      <w:r>
        <w:rPr>
          <w:color w:val="000000"/>
        </w:rPr>
        <w:t>SLIPPAGE 7B2 — The 3.17 pp decrease is statistically significant (p = 0.02); however, the effect size is negligible (Cohen’s h = 0.06).</w:t>
      </w:r>
    </w:p>
    <w:p w14:paraId="5783BCE4" w14:textId="77777777" w:rsidR="00CA787A" w:rsidRDefault="003169E9">
      <w:r>
        <w:rPr>
          <w:color w:val="000000"/>
        </w:rPr>
        <w:t>SLIPPAGE 7C2 — The 3.34 pp decrease is statistically significant (p = 0.01); however, the effect size is negligible (Cohen’s h = 0.07).</w:t>
      </w:r>
    </w:p>
    <w:p w14:paraId="73F25024" w14:textId="77777777" w:rsidR="00CA787A" w:rsidRDefault="00CA787A"/>
    <w:p w14:paraId="31F962B3" w14:textId="77777777" w:rsidR="00CA787A" w:rsidRDefault="003169E9">
      <w:r>
        <w:rPr>
          <w:color w:val="000000"/>
        </w:rPr>
        <w:t>-------------------------------------------------------------------------</w:t>
      </w:r>
    </w:p>
    <w:p w14:paraId="474C3CFA" w14:textId="77777777" w:rsidR="00CA787A" w:rsidRDefault="003169E9">
      <w:r>
        <w:rPr>
          <w:color w:val="000000"/>
        </w:rPr>
        <w:t>COHEN’S H INTERPRETATION</w:t>
      </w:r>
    </w:p>
    <w:p w14:paraId="52CC1564" w14:textId="77777777" w:rsidR="00CA787A" w:rsidRDefault="003169E9">
      <w:r>
        <w:rPr>
          <w:color w:val="000000"/>
        </w:rPr>
        <w:t>0.20 = Small</w:t>
      </w:r>
    </w:p>
    <w:p w14:paraId="7A5D7D9C" w14:textId="77777777" w:rsidR="00CA787A" w:rsidRDefault="003169E9">
      <w:r>
        <w:rPr>
          <w:color w:val="000000"/>
        </w:rPr>
        <w:t>0.50 = Medium</w:t>
      </w:r>
    </w:p>
    <w:p w14:paraId="6FA8B32B" w14:textId="77777777" w:rsidR="00CA787A" w:rsidRDefault="003169E9">
      <w:r>
        <w:rPr>
          <w:color w:val="000000"/>
        </w:rPr>
        <w:t>0.80 = Large</w:t>
      </w:r>
    </w:p>
    <w:p w14:paraId="35EE6F3C" w14:textId="77777777" w:rsidR="00CA787A" w:rsidRDefault="00CA787A"/>
    <w:p w14:paraId="172E18F5" w14:textId="77777777" w:rsidR="00CA787A" w:rsidRDefault="003169E9">
      <w:r>
        <w:rPr>
          <w:color w:val="000000"/>
        </w:rPr>
        <w:t>Adapted from Cohen (1988)</w:t>
      </w:r>
    </w:p>
    <w:p w14:paraId="5E801F68" w14:textId="77777777" w:rsidR="000A2C83" w:rsidRPr="00781112" w:rsidRDefault="00C96236" w:rsidP="008645AD">
      <w:pPr>
        <w:pStyle w:val="Heading2"/>
      </w:pPr>
      <w:r w:rsidRPr="00781112">
        <w:t>7</w:t>
      </w:r>
      <w:r w:rsidR="00444A9D" w:rsidRPr="00781112">
        <w:t xml:space="preserve"> </w:t>
      </w:r>
      <w:r w:rsidRPr="00781112">
        <w:t xml:space="preserve">- </w:t>
      </w:r>
      <w:r w:rsidR="000A2C83" w:rsidRPr="00781112">
        <w:t>Prior FFY Required Actions</w:t>
      </w:r>
    </w:p>
    <w:p w14:paraId="7441BFA8" w14:textId="77777777" w:rsidR="000A2C83" w:rsidRPr="00781112" w:rsidRDefault="002B7490" w:rsidP="000A2C83">
      <w:pPr>
        <w:rPr>
          <w:rFonts w:cs="Arial"/>
          <w:color w:val="000000" w:themeColor="text1"/>
          <w:szCs w:val="16"/>
        </w:rPr>
      </w:pPr>
      <w:r w:rsidRPr="00781112">
        <w:rPr>
          <w:rFonts w:cs="Arial"/>
          <w:color w:val="000000" w:themeColor="text1"/>
          <w:szCs w:val="16"/>
        </w:rPr>
        <w:t>None</w:t>
      </w:r>
    </w:p>
    <w:p w14:paraId="196278EF" w14:textId="77777777" w:rsidR="00B1280F" w:rsidRPr="00781112" w:rsidRDefault="00B1280F" w:rsidP="000A2C83">
      <w:pPr>
        <w:rPr>
          <w:rFonts w:cs="Arial"/>
          <w:color w:val="000000" w:themeColor="text1"/>
          <w:szCs w:val="16"/>
        </w:rPr>
      </w:pPr>
    </w:p>
    <w:p w14:paraId="71C627B0" w14:textId="77777777" w:rsidR="000A2C83" w:rsidRPr="00781112" w:rsidRDefault="000A2C83" w:rsidP="000A2C83">
      <w:pPr>
        <w:rPr>
          <w:rFonts w:cs="Arial"/>
          <w:color w:val="000000" w:themeColor="text1"/>
          <w:szCs w:val="16"/>
        </w:rPr>
      </w:pPr>
      <w:r w:rsidRPr="00781112">
        <w:rPr>
          <w:rFonts w:cs="Arial"/>
          <w:color w:val="000000" w:themeColor="text1"/>
          <w:szCs w:val="16"/>
        </w:rPr>
        <w:t xml:space="preserve"> </w:t>
      </w:r>
    </w:p>
    <w:p w14:paraId="59ED73FC" w14:textId="77777777" w:rsidR="00221EC9" w:rsidRPr="00781112" w:rsidRDefault="00C96236" w:rsidP="008645AD">
      <w:pPr>
        <w:pStyle w:val="Heading2"/>
      </w:pPr>
      <w:r w:rsidRPr="00781112">
        <w:t>7 - OSEP Response</w:t>
      </w:r>
    </w:p>
    <w:p w14:paraId="05877DDE" w14:textId="77777777" w:rsidR="009B37A2" w:rsidRPr="00781112" w:rsidRDefault="009B37A2" w:rsidP="001F692C">
      <w:pPr>
        <w:rPr>
          <w:rFonts w:cs="Arial"/>
          <w:color w:val="000000" w:themeColor="text1"/>
          <w:szCs w:val="16"/>
        </w:rPr>
      </w:pPr>
    </w:p>
    <w:p w14:paraId="39F44FAB" w14:textId="77777777" w:rsidR="00221EC9" w:rsidRPr="00781112" w:rsidRDefault="00C96236" w:rsidP="008645AD">
      <w:pPr>
        <w:pStyle w:val="Heading2"/>
      </w:pPr>
      <w:r w:rsidRPr="00781112">
        <w:t>7 - Required Actions</w:t>
      </w:r>
    </w:p>
    <w:p w14:paraId="6CA1186D" w14:textId="77777777" w:rsidR="00415684" w:rsidRDefault="00415684" w:rsidP="006D5DC4">
      <w:pPr>
        <w:rPr>
          <w:rFonts w:cs="Arial"/>
          <w:color w:val="000000" w:themeColor="text1"/>
          <w:szCs w:val="16"/>
        </w:rPr>
      </w:pPr>
    </w:p>
    <w:p w14:paraId="7B330E79" w14:textId="77777777" w:rsidR="00415684" w:rsidRDefault="00415684">
      <w:pPr>
        <w:spacing w:before="0" w:after="200" w:line="276" w:lineRule="auto"/>
        <w:rPr>
          <w:rFonts w:cs="Arial"/>
          <w:color w:val="000000" w:themeColor="text1"/>
          <w:szCs w:val="16"/>
        </w:rPr>
      </w:pPr>
      <w:r>
        <w:rPr>
          <w:rFonts w:cs="Arial"/>
          <w:color w:val="000000" w:themeColor="text1"/>
          <w:szCs w:val="16"/>
        </w:rPr>
        <w:br w:type="page"/>
      </w:r>
    </w:p>
    <w:p w14:paraId="70BF21FA" w14:textId="77777777" w:rsidR="00B3462E" w:rsidRPr="00781112" w:rsidRDefault="00B3462E" w:rsidP="000444E2">
      <w:pPr>
        <w:pStyle w:val="Heading1"/>
        <w:rPr>
          <w:color w:val="000000" w:themeColor="text1"/>
          <w:sz w:val="22"/>
        </w:rPr>
      </w:pPr>
      <w:r w:rsidRPr="00781112">
        <w:rPr>
          <w:color w:val="000000" w:themeColor="text1"/>
          <w:sz w:val="22"/>
        </w:rPr>
        <w:lastRenderedPageBreak/>
        <w:t>Indicator 8: Parent involvement</w:t>
      </w:r>
      <w:bookmarkEnd w:id="39"/>
      <w:bookmarkEnd w:id="40"/>
    </w:p>
    <w:p w14:paraId="6F8774EB" w14:textId="77777777" w:rsidR="00B654C1" w:rsidRPr="002C274F" w:rsidRDefault="00B654C1" w:rsidP="002C274F">
      <w:pPr>
        <w:rPr>
          <w:b/>
          <w:bCs/>
          <w:sz w:val="20"/>
          <w:szCs w:val="20"/>
        </w:rPr>
      </w:pPr>
      <w:bookmarkStart w:id="41" w:name="_Toc392159307"/>
      <w:r w:rsidRPr="002C274F">
        <w:rPr>
          <w:b/>
          <w:bCs/>
          <w:sz w:val="20"/>
          <w:szCs w:val="20"/>
        </w:rPr>
        <w:t>Instructions and Measurement</w:t>
      </w:r>
    </w:p>
    <w:p w14:paraId="3A9D5A60" w14:textId="77777777"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41A0EA38" w14:textId="77777777" w:rsidR="009C613A" w:rsidRPr="00781112" w:rsidRDefault="00CC634E" w:rsidP="006424B2">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parents with a child receiving special education services who report that schools facilitated parent involvement as a means of improving services and results for children with disabilities.</w:t>
      </w:r>
    </w:p>
    <w:p w14:paraId="55463BE9" w14:textId="77777777" w:rsidR="00CC634E" w:rsidRPr="00781112" w:rsidRDefault="00CC634E" w:rsidP="006424B2">
      <w:pPr>
        <w:rPr>
          <w:rFonts w:cs="Arial"/>
          <w:color w:val="000000" w:themeColor="text1"/>
          <w:szCs w:val="16"/>
        </w:rPr>
      </w:pPr>
      <w:r w:rsidRPr="00781112">
        <w:rPr>
          <w:rFonts w:cs="Arial"/>
          <w:color w:val="000000" w:themeColor="text1"/>
          <w:szCs w:val="16"/>
        </w:rPr>
        <w:t>(20 U.S.C. 1416(a)(3)(A))</w:t>
      </w:r>
    </w:p>
    <w:p w14:paraId="0275441F" w14:textId="77777777" w:rsidR="009C613A" w:rsidRPr="00781112" w:rsidRDefault="009C613A" w:rsidP="004369B2">
      <w:pPr>
        <w:rPr>
          <w:color w:val="000000" w:themeColor="text1"/>
        </w:rPr>
      </w:pPr>
      <w:r w:rsidRPr="00781112">
        <w:rPr>
          <w:b/>
          <w:color w:val="000000" w:themeColor="text1"/>
        </w:rPr>
        <w:t>Data Source</w:t>
      </w:r>
    </w:p>
    <w:p w14:paraId="67C31102" w14:textId="77777777" w:rsidR="009C613A" w:rsidRPr="00781112" w:rsidRDefault="009C613A" w:rsidP="00286BDF">
      <w:pPr>
        <w:rPr>
          <w:rFonts w:cs="Arial"/>
          <w:color w:val="000000" w:themeColor="text1"/>
          <w:szCs w:val="16"/>
        </w:rPr>
      </w:pPr>
      <w:r w:rsidRPr="00781112">
        <w:rPr>
          <w:rFonts w:cs="Arial"/>
          <w:color w:val="000000" w:themeColor="text1"/>
          <w:szCs w:val="16"/>
        </w:rPr>
        <w:t>State selected data source.</w:t>
      </w:r>
    </w:p>
    <w:p w14:paraId="417058F7" w14:textId="77777777" w:rsidR="009C613A" w:rsidRPr="00781112" w:rsidRDefault="009C613A" w:rsidP="004369B2">
      <w:pPr>
        <w:rPr>
          <w:color w:val="000000" w:themeColor="text1"/>
        </w:rPr>
      </w:pPr>
      <w:r w:rsidRPr="00781112">
        <w:rPr>
          <w:b/>
          <w:color w:val="000000" w:themeColor="text1"/>
        </w:rPr>
        <w:t>Measurement</w:t>
      </w:r>
    </w:p>
    <w:p w14:paraId="0E11C10B" w14:textId="77777777" w:rsidR="009C613A" w:rsidRPr="00781112" w:rsidRDefault="009C613A" w:rsidP="00286BDF">
      <w:pPr>
        <w:rPr>
          <w:rFonts w:cs="Arial"/>
          <w:color w:val="000000" w:themeColor="text1"/>
          <w:szCs w:val="16"/>
        </w:rPr>
      </w:pPr>
      <w:r w:rsidRPr="00781112">
        <w:rPr>
          <w:rFonts w:cs="Arial"/>
          <w:color w:val="000000" w:themeColor="text1"/>
          <w:szCs w:val="16"/>
        </w:rPr>
        <w:t>Percent</w:t>
      </w:r>
      <w:r w:rsidRPr="00781112">
        <w:rPr>
          <w:rFonts w:cs="Arial"/>
          <w:color w:val="000000" w:themeColor="text1"/>
          <w:szCs w:val="16"/>
          <w:shd w:val="clear" w:color="auto" w:fill="FFFFFF"/>
        </w:rPr>
        <w:t xml:space="preserve"> = </w:t>
      </w:r>
      <w:r w:rsidR="00655C91" w:rsidRPr="00781112">
        <w:rPr>
          <w:rFonts w:cs="Arial"/>
          <w:color w:val="000000" w:themeColor="text1"/>
          <w:szCs w:val="16"/>
          <w:shd w:val="clear" w:color="auto" w:fill="FFFFFF"/>
        </w:rPr>
        <w:t>[</w:t>
      </w:r>
      <w:r w:rsidRPr="00781112">
        <w:rPr>
          <w:rFonts w:cs="Arial"/>
          <w:color w:val="000000" w:themeColor="text1"/>
          <w:szCs w:val="16"/>
          <w:shd w:val="clear" w:color="auto" w:fill="FFFFFF"/>
        </w:rPr>
        <w:t>(# of respondent parents who report schools facilitated parent involvement as a means of improving services and results for children with disabilities) divided by the (total # of respondent parents of children with disabilities)</w:t>
      </w:r>
      <w:r w:rsidR="00655C91"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times 100.</w:t>
      </w:r>
    </w:p>
    <w:p w14:paraId="5A277725" w14:textId="77777777" w:rsidR="009C613A" w:rsidRPr="00781112" w:rsidRDefault="009C613A" w:rsidP="004369B2">
      <w:pPr>
        <w:rPr>
          <w:color w:val="000000" w:themeColor="text1"/>
        </w:rPr>
      </w:pPr>
      <w:r w:rsidRPr="00781112">
        <w:rPr>
          <w:b/>
          <w:color w:val="000000" w:themeColor="text1"/>
        </w:rPr>
        <w:t>Instructions</w:t>
      </w:r>
    </w:p>
    <w:p w14:paraId="3712B077" w14:textId="77777777" w:rsidR="002D7AD6" w:rsidRPr="00781112" w:rsidRDefault="002D7AD6" w:rsidP="00286BDF">
      <w:pPr>
        <w:rPr>
          <w:rFonts w:cs="Arial"/>
          <w:color w:val="000000" w:themeColor="text1"/>
          <w:szCs w:val="16"/>
        </w:rPr>
      </w:pPr>
      <w:r w:rsidRPr="00781112">
        <w:rPr>
          <w:rFonts w:cs="Arial"/>
          <w:i/>
          <w:iCs/>
          <w:color w:val="000000" w:themeColor="text1"/>
          <w:szCs w:val="16"/>
        </w:rPr>
        <w:t>Sampling </w:t>
      </w:r>
      <w:r w:rsidRPr="00781112">
        <w:rPr>
          <w:rFonts w:cs="Arial"/>
          <w:b/>
          <w:bCs/>
          <w:i/>
          <w:iCs/>
          <w:color w:val="000000" w:themeColor="text1"/>
          <w:szCs w:val="16"/>
        </w:rPr>
        <w:t>of parents from whom response is requested</w:t>
      </w:r>
      <w:r w:rsidRPr="00781112">
        <w:rPr>
          <w:rFonts w:cs="Arial"/>
          <w:i/>
          <w:iCs/>
          <w:color w:val="000000" w:themeColor="text1"/>
          <w:szCs w:val="16"/>
        </w:rPr>
        <w:t> is allowed.</w:t>
      </w:r>
      <w:r w:rsidRPr="00781112">
        <w:rPr>
          <w:rFonts w:cs="Arial"/>
          <w:color w:val="000000" w:themeColor="text1"/>
          <w:szCs w:val="16"/>
        </w:rPr>
        <w:t xml:space="preserve"> </w:t>
      </w:r>
      <w:r w:rsidRPr="00781112">
        <w:rPr>
          <w:rFonts w:cs="Arial"/>
          <w:i/>
          <w:iCs/>
          <w:color w:val="000000" w:themeColor="text1"/>
          <w:szCs w:val="16"/>
        </w:rPr>
        <w:t>When sampling is used, submit a description of the sampling methodology outlining how the design will yield valid and reliable estimates. (See </w:t>
      </w:r>
      <w:r w:rsidRPr="00781112">
        <w:rPr>
          <w:rFonts w:cs="Arial"/>
          <w:i/>
          <w:iCs/>
          <w:color w:val="000000" w:themeColor="text1"/>
          <w:szCs w:val="16"/>
          <w:u w:val="single"/>
        </w:rPr>
        <w:t>General Instructions</w:t>
      </w:r>
      <w:r w:rsidRPr="00781112">
        <w:rPr>
          <w:rFonts w:cs="Arial"/>
          <w:i/>
          <w:iCs/>
          <w:color w:val="000000" w:themeColor="text1"/>
          <w:szCs w:val="16"/>
        </w:rPr>
        <w:t xml:space="preserve"> on page </w:t>
      </w:r>
      <w:r w:rsidR="006170BD">
        <w:rPr>
          <w:rFonts w:cs="Arial"/>
          <w:i/>
          <w:iCs/>
          <w:color w:val="000000" w:themeColor="text1"/>
          <w:szCs w:val="16"/>
        </w:rPr>
        <w:t>3</w:t>
      </w:r>
      <w:r w:rsidRPr="00781112">
        <w:rPr>
          <w:rFonts w:cs="Arial"/>
          <w:i/>
          <w:iCs/>
          <w:color w:val="000000" w:themeColor="text1"/>
          <w:szCs w:val="16"/>
        </w:rPr>
        <w:t xml:space="preserve"> for additional instructions on sampling.)</w:t>
      </w:r>
    </w:p>
    <w:p w14:paraId="63089FE4" w14:textId="77777777" w:rsidR="002D7AD6" w:rsidRPr="00781112" w:rsidRDefault="002D7AD6"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5CEAE5C9" w14:textId="77777777" w:rsidR="002D7AD6" w:rsidRPr="00781112" w:rsidRDefault="002D7AD6" w:rsidP="00286BDF">
      <w:pPr>
        <w:rPr>
          <w:rFonts w:cs="Arial"/>
          <w:color w:val="000000" w:themeColor="text1"/>
          <w:szCs w:val="16"/>
        </w:rPr>
      </w:pPr>
      <w:r w:rsidRPr="00781112">
        <w:rPr>
          <w:rFonts w:cs="Arial"/>
          <w:color w:val="000000" w:themeColor="text1"/>
          <w:szCs w:val="16"/>
        </w:rPr>
        <w:t>Provide the actual numbers used in the calculation.</w:t>
      </w:r>
    </w:p>
    <w:p w14:paraId="3A7E48CE" w14:textId="77777777" w:rsidR="002D7AD6" w:rsidRPr="00781112" w:rsidRDefault="002D7AD6" w:rsidP="00286BDF">
      <w:pPr>
        <w:rPr>
          <w:rFonts w:cs="Arial"/>
          <w:color w:val="000000" w:themeColor="text1"/>
          <w:szCs w:val="16"/>
        </w:rPr>
      </w:pPr>
      <w:r w:rsidRPr="00781112">
        <w:rPr>
          <w:rFonts w:cs="Arial"/>
          <w:color w:val="000000" w:themeColor="text1"/>
          <w:szCs w:val="16"/>
        </w:rPr>
        <w:t>If the State is using a separate data collection methodology for preschool children, the State must provide separate baseline data, targets, and actual target data or discuss the procedures used to combine data from school age and preschool data collection methodologies in a manner that is valid and reliable.</w:t>
      </w:r>
    </w:p>
    <w:p w14:paraId="19BBD92F" w14:textId="77777777" w:rsidR="002D7AD6" w:rsidRPr="00781112" w:rsidRDefault="002D7AD6" w:rsidP="00286BDF">
      <w:pPr>
        <w:rPr>
          <w:rFonts w:cs="Arial"/>
          <w:color w:val="000000" w:themeColor="text1"/>
          <w:szCs w:val="16"/>
        </w:rPr>
      </w:pPr>
      <w:r w:rsidRPr="00781112">
        <w:rPr>
          <w:rFonts w:cs="Arial"/>
          <w:color w:val="000000" w:themeColor="text1"/>
          <w:szCs w:val="16"/>
        </w:rPr>
        <w:t>While a survey is not required for this indicator, a State using a survey must submit a copy of any new or revised survey with its SPP/APR.</w:t>
      </w:r>
    </w:p>
    <w:p w14:paraId="5687AB73" w14:textId="77777777" w:rsidR="004A6352" w:rsidRPr="00781112" w:rsidRDefault="002D7AD6" w:rsidP="004A6352">
      <w:pPr>
        <w:rPr>
          <w:rFonts w:cs="Arial"/>
          <w:szCs w:val="16"/>
        </w:rPr>
      </w:pPr>
      <w:proofErr w:type="gramStart"/>
      <w:r w:rsidRPr="00781112">
        <w:rPr>
          <w:rFonts w:cs="Arial"/>
          <w:color w:val="000000" w:themeColor="text1"/>
          <w:szCs w:val="16"/>
        </w:rPr>
        <w:t>Report</w:t>
      </w:r>
      <w:proofErr w:type="gramEnd"/>
      <w:r w:rsidRPr="00781112">
        <w:rPr>
          <w:rFonts w:cs="Arial"/>
          <w:color w:val="000000" w:themeColor="text1"/>
          <w:szCs w:val="16"/>
        </w:rPr>
        <w:t xml:space="preserve"> the number of parents to whom the surveys were distributed </w:t>
      </w:r>
      <w:r w:rsidR="004A6352" w:rsidRPr="00781112">
        <w:rPr>
          <w:rFonts w:cs="Arial"/>
          <w:szCs w:val="16"/>
        </w:rPr>
        <w:t>and the number of respondent parents. The survey response rate is automatically calculated using the submitted data.</w:t>
      </w:r>
    </w:p>
    <w:p w14:paraId="2DC950A4" w14:textId="77777777" w:rsidR="009C74BD" w:rsidRDefault="009C74BD" w:rsidP="009C74BD">
      <w:pPr>
        <w:rPr>
          <w:rFonts w:cs="Arial"/>
          <w:szCs w:val="16"/>
        </w:rPr>
      </w:pPr>
      <w:r w:rsidRPr="00781112">
        <w:rPr>
          <w:rFonts w:cs="Arial"/>
          <w:szCs w:val="16"/>
        </w:rPr>
        <w:t>States must compare the response rate for the reporting year to the response rate for the previous year (e.g., in the FFY 2024 SPP/APR, compare the FFY 2024 response rate to the FFY 2023 response rate) and describe strategies that will be implemented which are expected to increase the response rate, particularly for those groups that are underrepresented.</w:t>
      </w:r>
    </w:p>
    <w:p w14:paraId="1F2772B4" w14:textId="77777777" w:rsidR="004D1797" w:rsidRPr="00BA3DBE" w:rsidRDefault="004D1797" w:rsidP="00BA3DBE">
      <w:pPr>
        <w:rPr>
          <w:rFonts w:cs="Arial"/>
          <w:color w:val="000000" w:themeColor="text1"/>
          <w:szCs w:val="16"/>
        </w:rPr>
      </w:pPr>
      <w:bookmarkStart w:id="42" w:name="_Hlk116647902"/>
      <w:r w:rsidRPr="00BA3DBE">
        <w:rPr>
          <w:rFonts w:cs="Arial"/>
          <w:color w:val="000000" w:themeColor="text1"/>
          <w:szCs w:val="16"/>
        </w:rPr>
        <w:t>The State must also analyze the response rate to identify potential nonresponse bias and take steps to reduce any identified bias and promote response from a broad cross-section of parents of children with disabilities.</w:t>
      </w:r>
    </w:p>
    <w:p w14:paraId="47683609" w14:textId="77777777" w:rsidR="006170BD" w:rsidRDefault="004D1797" w:rsidP="009C74BD">
      <w:r>
        <w:t>I</w:t>
      </w:r>
      <w:r w:rsidR="00DF5951">
        <w:t xml:space="preserve">nclude in the State’s analysis the extent to which the demographics of the children for whom parents responded are representative of the demographics of children receiving special education services. States must consider race/ethnicity. In addition, the State’s analysis must also include at least one of the following demographics: age of the student, disability category, gender, geographic location, and/or another demographic category approved through the stakeholder input process. </w:t>
      </w:r>
    </w:p>
    <w:p w14:paraId="03EDDE86" w14:textId="77777777" w:rsidR="00DF5951" w:rsidRDefault="00DF5951" w:rsidP="009C74BD">
      <w:r>
        <w:t xml:space="preserve">States must describe the metric used to determine representativeness (e.g., +/- 3% discrepancy in the proportion of responders compared to target group). </w:t>
      </w:r>
    </w:p>
    <w:p w14:paraId="577E79B1" w14:textId="77777777" w:rsidR="00DF5951" w:rsidRDefault="00DF5951" w:rsidP="009C74BD">
      <w:r>
        <w:t xml:space="preserve">If the analysis shows that the demographics of the children for whom parents responding are not representative of the demographics of children receiving special education services in the State, describe the strategies that the State will use to ensure that in the future the response data are representative of those demographics. In identifying such strategies, the State should consider factors such as how the State distributed the survey to parents (e.g., by mail, by e-mail, on-line, by telephone, in-person through school personnel), and how responses were collected. </w:t>
      </w:r>
    </w:p>
    <w:p w14:paraId="2A0F724A" w14:textId="77777777" w:rsidR="00DF5951" w:rsidRPr="00781112" w:rsidRDefault="00DF5951" w:rsidP="009C74BD">
      <w:pPr>
        <w:rPr>
          <w:rFonts w:cs="Arial"/>
          <w:szCs w:val="16"/>
        </w:rPr>
      </w:pPr>
      <w:r>
        <w:t>States are encouraged to work in collaboration with their OSEP-funded parent centers in collecting data.</w:t>
      </w:r>
    </w:p>
    <w:bookmarkEnd w:id="42"/>
    <w:p w14:paraId="2DA04572" w14:textId="77777777" w:rsidR="000B547A" w:rsidRPr="00781112" w:rsidRDefault="00752BAF" w:rsidP="008645AD">
      <w:pPr>
        <w:pStyle w:val="Heading2"/>
      </w:pPr>
      <w:r w:rsidRPr="00781112">
        <w:t>8</w:t>
      </w:r>
      <w:r w:rsidR="001F6BAA" w:rsidRPr="00781112">
        <w:t xml:space="preserve"> </w:t>
      </w:r>
      <w:r w:rsidRPr="00781112">
        <w:t xml:space="preserve">- </w:t>
      </w:r>
      <w:r w:rsidR="000B547A" w:rsidRPr="00781112">
        <w:t>Indicator Data</w:t>
      </w:r>
    </w:p>
    <w:tbl>
      <w:tblPr>
        <w:tblStyle w:val="TableGrid"/>
        <w:tblW w:w="10800" w:type="dxa"/>
        <w:tblLook w:val="04A0" w:firstRow="1" w:lastRow="0" w:firstColumn="1" w:lastColumn="0" w:noHBand="0" w:noVBand="1"/>
        <w:tblCaption w:val="B08INDDATA"/>
      </w:tblPr>
      <w:tblGrid>
        <w:gridCol w:w="8324"/>
        <w:gridCol w:w="2476"/>
      </w:tblGrid>
      <w:tr w:rsidR="005C29F8" w:rsidRPr="00781112" w14:paraId="4B018FB4" w14:textId="77777777" w:rsidTr="0033429D">
        <w:trPr>
          <w:tblHeader/>
        </w:trPr>
        <w:tc>
          <w:tcPr>
            <w:tcW w:w="8324" w:type="dxa"/>
          </w:tcPr>
          <w:p w14:paraId="7894E19B" w14:textId="77777777" w:rsidR="000B547A" w:rsidRPr="00781112" w:rsidRDefault="002E111A" w:rsidP="00286BDF">
            <w:pPr>
              <w:rPr>
                <w:rFonts w:cs="Arial"/>
                <w:b/>
                <w:bCs/>
                <w:color w:val="000000" w:themeColor="text1"/>
                <w:szCs w:val="16"/>
              </w:rPr>
            </w:pPr>
            <w:r w:rsidRPr="00781112">
              <w:rPr>
                <w:rFonts w:cs="Arial"/>
                <w:b/>
                <w:bCs/>
                <w:color w:val="000000" w:themeColor="text1"/>
                <w:szCs w:val="16"/>
              </w:rPr>
              <w:t>Question</w:t>
            </w:r>
          </w:p>
        </w:tc>
        <w:tc>
          <w:tcPr>
            <w:tcW w:w="2476" w:type="dxa"/>
          </w:tcPr>
          <w:p w14:paraId="029FE42F" w14:textId="77777777" w:rsidR="000B547A" w:rsidRPr="00781112" w:rsidRDefault="000B547A" w:rsidP="001011BB">
            <w:pPr>
              <w:jc w:val="center"/>
              <w:rPr>
                <w:rFonts w:cs="Arial"/>
                <w:b/>
                <w:color w:val="000000" w:themeColor="text1"/>
                <w:szCs w:val="16"/>
              </w:rPr>
            </w:pPr>
            <w:r w:rsidRPr="00781112">
              <w:rPr>
                <w:rFonts w:cs="Arial"/>
                <w:b/>
                <w:color w:val="000000" w:themeColor="text1"/>
                <w:szCs w:val="16"/>
              </w:rPr>
              <w:t xml:space="preserve">Yes / No </w:t>
            </w:r>
          </w:p>
        </w:tc>
      </w:tr>
      <w:tr w:rsidR="005C29F8" w:rsidRPr="00781112" w14:paraId="7408D0F1" w14:textId="77777777" w:rsidTr="00487CBD">
        <w:trPr>
          <w:trHeight w:val="215"/>
        </w:trPr>
        <w:tc>
          <w:tcPr>
            <w:tcW w:w="8324" w:type="dxa"/>
          </w:tcPr>
          <w:p w14:paraId="15F2C1D0" w14:textId="77777777" w:rsidR="000B547A" w:rsidRPr="00781112" w:rsidRDefault="000B547A" w:rsidP="00286BDF">
            <w:pPr>
              <w:rPr>
                <w:rFonts w:cs="Arial"/>
                <w:color w:val="000000" w:themeColor="text1"/>
                <w:szCs w:val="16"/>
              </w:rPr>
            </w:pPr>
            <w:r w:rsidRPr="00781112">
              <w:rPr>
                <w:rFonts w:cs="Arial"/>
                <w:color w:val="000000" w:themeColor="text1"/>
                <w:szCs w:val="16"/>
              </w:rPr>
              <w:t xml:space="preserve">Do you use a separate data collection methodology for preschool children? </w:t>
            </w:r>
          </w:p>
        </w:tc>
        <w:tc>
          <w:tcPr>
            <w:tcW w:w="2476" w:type="dxa"/>
          </w:tcPr>
          <w:p w14:paraId="1D0215BE" w14:textId="77777777" w:rsidR="000B547A" w:rsidRPr="00781112" w:rsidRDefault="002B7490" w:rsidP="00A018D4">
            <w:pPr>
              <w:jc w:val="center"/>
              <w:rPr>
                <w:rFonts w:cs="Arial"/>
                <w:color w:val="000000" w:themeColor="text1"/>
                <w:szCs w:val="16"/>
              </w:rPr>
            </w:pPr>
            <w:r w:rsidRPr="00781112">
              <w:rPr>
                <w:rFonts w:cs="Arial"/>
                <w:color w:val="000000" w:themeColor="text1"/>
                <w:szCs w:val="16"/>
              </w:rPr>
              <w:t>NO</w:t>
            </w:r>
          </w:p>
        </w:tc>
      </w:tr>
    </w:tbl>
    <w:bookmarkEnd w:id="41"/>
    <w:p w14:paraId="1144B33A" w14:textId="77777777" w:rsidR="00487CBD" w:rsidRPr="00781112" w:rsidRDefault="00487CBD" w:rsidP="00487CBD">
      <w:pPr>
        <w:rPr>
          <w:b/>
          <w:color w:val="000000" w:themeColor="text1"/>
        </w:rPr>
      </w:pPr>
      <w:r w:rsidRPr="00781112">
        <w:rPr>
          <w:b/>
          <w:color w:val="000000" w:themeColor="text1"/>
        </w:rPr>
        <w:t xml:space="preserve">Targets: Description of Stakeholder Input </w:t>
      </w:r>
    </w:p>
    <w:p w14:paraId="139C6D59" w14:textId="77777777" w:rsidR="00487CBD" w:rsidRPr="00781112" w:rsidRDefault="00487CBD" w:rsidP="00487CBD">
      <w:pPr>
        <w:rPr>
          <w:rFonts w:cs="Arial"/>
          <w:color w:val="000000" w:themeColor="text1"/>
          <w:szCs w:val="16"/>
        </w:rPr>
      </w:pPr>
      <w:r w:rsidRPr="00781112">
        <w:rPr>
          <w:rFonts w:cs="Arial"/>
          <w:color w:val="000000" w:themeColor="text1"/>
          <w:szCs w:val="16"/>
        </w:rPr>
        <w:t>WVDE/OSE maintains robust stakeholder engagement through multiple communication and collaboration channels:</w:t>
      </w:r>
    </w:p>
    <w:p w14:paraId="731BA86D" w14:textId="77777777" w:rsidR="00CA787A" w:rsidRDefault="003169E9">
      <w:r>
        <w:rPr>
          <w:color w:val="000000"/>
        </w:rPr>
        <w:t>*DIRECT COMMUNICATION/CONSULTATION*</w:t>
      </w:r>
    </w:p>
    <w:p w14:paraId="0719472D" w14:textId="77777777" w:rsidR="00CA787A" w:rsidRDefault="003169E9">
      <w:r>
        <w:rPr>
          <w:color w:val="000000"/>
        </w:rPr>
        <w:t>—Engaging in one-on-one calls with parents, advocates, educators, and community stakeholders.</w:t>
      </w:r>
    </w:p>
    <w:p w14:paraId="6FCC3A46" w14:textId="77777777" w:rsidR="00CA787A" w:rsidRDefault="003169E9">
      <w:r>
        <w:rPr>
          <w:color w:val="000000"/>
        </w:rPr>
        <w:t>—Distributing emails and surveys to solicit input from diverse stakeholder groups.</w:t>
      </w:r>
    </w:p>
    <w:p w14:paraId="08E480BA" w14:textId="77777777" w:rsidR="00CA787A" w:rsidRDefault="003169E9">
      <w:r>
        <w:rPr>
          <w:color w:val="000000"/>
        </w:rPr>
        <w:t>—Hosting bi-monthly secondary transition office hours to address Indicator 13 compliance and results, and to provide technical assistance for IEP development.</w:t>
      </w:r>
    </w:p>
    <w:p w14:paraId="412B0542" w14:textId="77777777" w:rsidR="00CA787A" w:rsidRDefault="003169E9">
      <w:r>
        <w:rPr>
          <w:color w:val="000000"/>
        </w:rPr>
        <w:t>—Monthly virtual meetings with stakeholders to identify and troubleshoot areas of concern throughout the state.</w:t>
      </w:r>
    </w:p>
    <w:p w14:paraId="2A759CD4" w14:textId="77777777" w:rsidR="00CA787A" w:rsidRDefault="003169E9">
      <w:r>
        <w:rPr>
          <w:color w:val="000000"/>
        </w:rPr>
        <w:t>*INFORMATION SHARING*</w:t>
      </w:r>
    </w:p>
    <w:p w14:paraId="7D0E4169" w14:textId="77777777" w:rsidR="00CA787A" w:rsidRDefault="003169E9">
      <w:r>
        <w:rPr>
          <w:color w:val="000000"/>
        </w:rPr>
        <w:t>—Utilizing a dedicated Microsoft Teams platform for communication with LEAs.</w:t>
      </w:r>
    </w:p>
    <w:p w14:paraId="26F05587" w14:textId="77777777" w:rsidR="00CA787A" w:rsidRDefault="003169E9">
      <w:r>
        <w:rPr>
          <w:color w:val="000000"/>
        </w:rPr>
        <w:t>—Maintaining a public input form on the WVDE website specifically for SSIP feedback.</w:t>
      </w:r>
    </w:p>
    <w:p w14:paraId="6D0DE399" w14:textId="77777777" w:rsidR="00CA787A" w:rsidRDefault="003169E9">
      <w:r>
        <w:rPr>
          <w:color w:val="000000"/>
        </w:rPr>
        <w:t xml:space="preserve">—Collecting input from parents, students, and school personnel as required components of monitoring activities. </w:t>
      </w:r>
    </w:p>
    <w:p w14:paraId="48E15054" w14:textId="77777777" w:rsidR="00CA787A" w:rsidRDefault="003169E9">
      <w:r>
        <w:rPr>
          <w:color w:val="000000"/>
        </w:rPr>
        <w:t>—Facilitating cross-office communication and coordination on general and special education initiatives.</w:t>
      </w:r>
    </w:p>
    <w:p w14:paraId="06D38827" w14:textId="77777777" w:rsidR="00CA787A" w:rsidRDefault="003169E9">
      <w:r>
        <w:rPr>
          <w:color w:val="000000"/>
        </w:rPr>
        <w:t>*COLLABORATIVE PARTNERSHIPS*</w:t>
      </w:r>
    </w:p>
    <w:p w14:paraId="7C1AE747" w14:textId="77777777" w:rsidR="00CA787A" w:rsidRDefault="003169E9">
      <w:r>
        <w:rPr>
          <w:color w:val="000000"/>
        </w:rPr>
        <w:t>—Engaging in ongoing meetings and interagency teams dedicated to enhancing outcomes for individuals with disabilities.</w:t>
      </w:r>
    </w:p>
    <w:p w14:paraId="2F2787F4" w14:textId="77777777" w:rsidR="00CA787A" w:rsidRDefault="003169E9">
      <w:r>
        <w:rPr>
          <w:color w:val="000000"/>
        </w:rPr>
        <w:t>—Ensuring the state director's active participation in all WVACEEC meetings, including involvement in sessions, capacity-building efforts, and feedback collection from LEAs, parents, and community organizations.</w:t>
      </w:r>
    </w:p>
    <w:p w14:paraId="1A976A8B" w14:textId="77777777" w:rsidR="00CA787A" w:rsidRDefault="003169E9">
      <w:r>
        <w:rPr>
          <w:color w:val="000000"/>
        </w:rPr>
        <w:t>—Maintaining regular meetings and collaborative relationships with legislators, advocacy organizations, educator associations, and other stakeholders to strengthen stakeholder knowledge of IDEA procedures, improve SEA-stakeholder dialogue, and collaboratively develop strategies for ongoing improvement toward special education goals (e.g., the Developmental Disability Council (DD Council), Statewide Independent Living Council (SILC), State Rehabilitation Council (SRC), Employment First Task Force, Olmstead Council).</w:t>
      </w:r>
    </w:p>
    <w:p w14:paraId="3DDF143D" w14:textId="77777777" w:rsidR="00487CBD" w:rsidRPr="00781112" w:rsidRDefault="00487CBD" w:rsidP="00487CBD">
      <w:pPr>
        <w:rPr>
          <w:rFonts w:cs="Arial"/>
          <w:color w:val="000000" w:themeColor="text1"/>
          <w:szCs w:val="16"/>
        </w:rPr>
      </w:pPr>
      <w:r w:rsidRPr="00781112">
        <w:rPr>
          <w:rFonts w:cs="Arial"/>
          <w:color w:val="000000" w:themeColor="text1"/>
          <w:szCs w:val="16"/>
        </w:rPr>
        <w:lastRenderedPageBreak/>
        <w:t>Stakeholders did not indicate any interest in revising the Parent Involvement targets during meetings held throughout the reporting period. However, WVDE/OSE remains open to considering any concerns or recommendations stakeholders may have regarding these targets.</w:t>
      </w:r>
    </w:p>
    <w:p w14:paraId="3218356A" w14:textId="77777777" w:rsidR="008B600B" w:rsidRPr="00781112" w:rsidRDefault="008B600B" w:rsidP="004369B2">
      <w:pPr>
        <w:rPr>
          <w:rFonts w:cs="Arial"/>
          <w:color w:val="000000" w:themeColor="text1"/>
          <w:szCs w:val="16"/>
        </w:rPr>
      </w:pPr>
    </w:p>
    <w:p w14:paraId="65C5E166" w14:textId="77777777" w:rsidR="00ED0065" w:rsidRPr="00781112" w:rsidRDefault="00ED0065"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8BASELINEDATA"/>
      </w:tblPr>
      <w:tblGrid>
        <w:gridCol w:w="1797"/>
        <w:gridCol w:w="1798"/>
      </w:tblGrid>
      <w:tr w:rsidR="002E111A" w:rsidRPr="00781112" w14:paraId="2F22DAB5" w14:textId="77777777" w:rsidTr="00123D76">
        <w:trPr>
          <w:trHeight w:val="311"/>
          <w:tblHeader/>
        </w:trPr>
        <w:tc>
          <w:tcPr>
            <w:tcW w:w="1797" w:type="dxa"/>
          </w:tcPr>
          <w:p w14:paraId="7364E13D" w14:textId="77777777" w:rsidR="002E111A" w:rsidRPr="00781112" w:rsidRDefault="002E111A" w:rsidP="00123D76">
            <w:pPr>
              <w:jc w:val="center"/>
              <w:rPr>
                <w:b/>
                <w:color w:val="000000" w:themeColor="text1"/>
              </w:rPr>
            </w:pPr>
            <w:r w:rsidRPr="00781112">
              <w:rPr>
                <w:rFonts w:cs="Arial"/>
                <w:b/>
                <w:color w:val="000000" w:themeColor="text1"/>
                <w:szCs w:val="16"/>
              </w:rPr>
              <w:t>Baseline Year</w:t>
            </w:r>
          </w:p>
        </w:tc>
        <w:tc>
          <w:tcPr>
            <w:tcW w:w="1798" w:type="dxa"/>
          </w:tcPr>
          <w:p w14:paraId="0021E38A" w14:textId="77777777" w:rsidR="002E111A" w:rsidRPr="00781112" w:rsidRDefault="002E111A" w:rsidP="00123D76">
            <w:pPr>
              <w:jc w:val="center"/>
              <w:rPr>
                <w:b/>
                <w:color w:val="000000" w:themeColor="text1"/>
              </w:rPr>
            </w:pPr>
            <w:r w:rsidRPr="00781112">
              <w:rPr>
                <w:b/>
                <w:color w:val="000000" w:themeColor="text1"/>
              </w:rPr>
              <w:t>Baseline Data</w:t>
            </w:r>
          </w:p>
        </w:tc>
      </w:tr>
      <w:tr w:rsidR="002E111A" w:rsidRPr="00781112" w14:paraId="322A037F" w14:textId="77777777" w:rsidTr="00123D76">
        <w:trPr>
          <w:trHeight w:val="311"/>
        </w:trPr>
        <w:tc>
          <w:tcPr>
            <w:tcW w:w="1797" w:type="dxa"/>
            <w:vAlign w:val="center"/>
          </w:tcPr>
          <w:p w14:paraId="672D26B9" w14:textId="77777777" w:rsidR="002E111A" w:rsidRPr="00781112" w:rsidRDefault="002E111A" w:rsidP="00123D76">
            <w:pPr>
              <w:jc w:val="center"/>
              <w:rPr>
                <w:bCs/>
                <w:color w:val="000000" w:themeColor="text1"/>
              </w:rPr>
            </w:pPr>
            <w:r w:rsidRPr="00781112">
              <w:rPr>
                <w:bCs/>
                <w:color w:val="000000" w:themeColor="text1"/>
              </w:rPr>
              <w:t>2018</w:t>
            </w:r>
          </w:p>
        </w:tc>
        <w:tc>
          <w:tcPr>
            <w:tcW w:w="1798" w:type="dxa"/>
            <w:vAlign w:val="center"/>
          </w:tcPr>
          <w:p w14:paraId="4A336EAF" w14:textId="77777777" w:rsidR="002E111A" w:rsidRPr="00781112" w:rsidRDefault="002E111A" w:rsidP="00123D76">
            <w:pPr>
              <w:jc w:val="center"/>
              <w:rPr>
                <w:bCs/>
                <w:color w:val="000000" w:themeColor="text1"/>
              </w:rPr>
            </w:pPr>
            <w:r w:rsidRPr="00781112">
              <w:rPr>
                <w:bCs/>
                <w:color w:val="000000" w:themeColor="text1"/>
              </w:rPr>
              <w:t>37.63%</w:t>
            </w:r>
          </w:p>
        </w:tc>
      </w:tr>
    </w:tbl>
    <w:p w14:paraId="10D4E366" w14:textId="77777777" w:rsidR="002E111A" w:rsidRPr="00781112" w:rsidRDefault="002E111A"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8HISTDATAOPT1"/>
      </w:tblPr>
      <w:tblGrid>
        <w:gridCol w:w="1798"/>
        <w:gridCol w:w="1798"/>
        <w:gridCol w:w="1798"/>
        <w:gridCol w:w="1798"/>
        <w:gridCol w:w="1798"/>
        <w:gridCol w:w="1800"/>
      </w:tblGrid>
      <w:tr w:rsidR="005C29F8" w:rsidRPr="00781112" w14:paraId="099B3610" w14:textId="77777777" w:rsidTr="00C40E4D">
        <w:trPr>
          <w:trHeight w:val="287"/>
        </w:trPr>
        <w:tc>
          <w:tcPr>
            <w:tcW w:w="833" w:type="pct"/>
            <w:tcBorders>
              <w:bottom w:val="single" w:sz="4" w:space="0" w:color="auto"/>
            </w:tcBorders>
          </w:tcPr>
          <w:p w14:paraId="522485BD" w14:textId="77777777" w:rsidR="00FB6462" w:rsidRPr="00781112" w:rsidRDefault="00FB6462" w:rsidP="0033429D">
            <w:pPr>
              <w:jc w:val="center"/>
              <w:rPr>
                <w:rFonts w:cs="Arial"/>
                <w:b/>
                <w:color w:val="000000" w:themeColor="text1"/>
                <w:szCs w:val="16"/>
              </w:rPr>
            </w:pPr>
            <w:r w:rsidRPr="00781112">
              <w:rPr>
                <w:rFonts w:cs="Arial"/>
                <w:b/>
                <w:color w:val="000000" w:themeColor="text1"/>
                <w:szCs w:val="16"/>
              </w:rPr>
              <w:t>FFY</w:t>
            </w:r>
          </w:p>
        </w:tc>
        <w:tc>
          <w:tcPr>
            <w:tcW w:w="833" w:type="pct"/>
          </w:tcPr>
          <w:p w14:paraId="5E2B7AA6" w14:textId="77777777" w:rsidR="00FB6462" w:rsidRPr="00781112" w:rsidRDefault="002B7490" w:rsidP="00DC263A">
            <w:pPr>
              <w:jc w:val="center"/>
              <w:rPr>
                <w:rFonts w:cs="Arial"/>
                <w:b/>
                <w:color w:val="000000" w:themeColor="text1"/>
                <w:szCs w:val="16"/>
              </w:rPr>
            </w:pPr>
            <w:r w:rsidRPr="00781112">
              <w:rPr>
                <w:rFonts w:cs="Arial"/>
                <w:b/>
                <w:color w:val="000000" w:themeColor="text1"/>
                <w:szCs w:val="16"/>
              </w:rPr>
              <w:t>2019</w:t>
            </w:r>
          </w:p>
        </w:tc>
        <w:tc>
          <w:tcPr>
            <w:tcW w:w="833" w:type="pct"/>
          </w:tcPr>
          <w:p w14:paraId="450D2E16" w14:textId="77777777" w:rsidR="00FB6462" w:rsidRPr="00781112" w:rsidRDefault="002B7490" w:rsidP="00DC263A">
            <w:pPr>
              <w:keepNext/>
              <w:jc w:val="center"/>
              <w:rPr>
                <w:rFonts w:cs="Arial"/>
                <w:b/>
                <w:color w:val="000000" w:themeColor="text1"/>
                <w:szCs w:val="16"/>
              </w:rPr>
            </w:pPr>
            <w:r w:rsidRPr="00781112">
              <w:rPr>
                <w:rFonts w:cs="Arial"/>
                <w:b/>
                <w:color w:val="000000" w:themeColor="text1"/>
                <w:szCs w:val="16"/>
              </w:rPr>
              <w:t>2020</w:t>
            </w:r>
          </w:p>
        </w:tc>
        <w:tc>
          <w:tcPr>
            <w:tcW w:w="833" w:type="pct"/>
          </w:tcPr>
          <w:p w14:paraId="25ADDE88" w14:textId="77777777" w:rsidR="00FB6462" w:rsidRPr="00781112" w:rsidRDefault="002B7490" w:rsidP="00DC263A">
            <w:pPr>
              <w:jc w:val="center"/>
              <w:rPr>
                <w:rFonts w:cs="Arial"/>
                <w:b/>
                <w:color w:val="000000" w:themeColor="text1"/>
                <w:szCs w:val="16"/>
              </w:rPr>
            </w:pPr>
            <w:r w:rsidRPr="00781112">
              <w:rPr>
                <w:rFonts w:cs="Arial"/>
                <w:b/>
                <w:color w:val="000000" w:themeColor="text1"/>
                <w:szCs w:val="16"/>
              </w:rPr>
              <w:t>2021</w:t>
            </w:r>
          </w:p>
        </w:tc>
        <w:tc>
          <w:tcPr>
            <w:tcW w:w="833" w:type="pct"/>
          </w:tcPr>
          <w:p w14:paraId="1A3EC766" w14:textId="77777777" w:rsidR="00FB6462" w:rsidRPr="00781112" w:rsidRDefault="002B7490" w:rsidP="00DC263A">
            <w:pPr>
              <w:jc w:val="center"/>
              <w:rPr>
                <w:rFonts w:cs="Arial"/>
                <w:b/>
                <w:color w:val="000000" w:themeColor="text1"/>
                <w:szCs w:val="16"/>
              </w:rPr>
            </w:pPr>
            <w:r w:rsidRPr="00781112">
              <w:rPr>
                <w:rFonts w:cs="Arial"/>
                <w:b/>
                <w:color w:val="000000" w:themeColor="text1"/>
                <w:szCs w:val="16"/>
              </w:rPr>
              <w:t>2022</w:t>
            </w:r>
          </w:p>
        </w:tc>
        <w:tc>
          <w:tcPr>
            <w:tcW w:w="834" w:type="pct"/>
          </w:tcPr>
          <w:p w14:paraId="75744C2C" w14:textId="77777777" w:rsidR="00FB6462" w:rsidRPr="00781112" w:rsidRDefault="002B7490" w:rsidP="00DC263A">
            <w:pPr>
              <w:jc w:val="center"/>
              <w:rPr>
                <w:rFonts w:cs="Arial"/>
                <w:b/>
                <w:color w:val="000000" w:themeColor="text1"/>
                <w:szCs w:val="16"/>
              </w:rPr>
            </w:pPr>
            <w:r w:rsidRPr="00781112">
              <w:rPr>
                <w:rFonts w:cs="Arial"/>
                <w:b/>
                <w:color w:val="000000" w:themeColor="text1"/>
                <w:szCs w:val="16"/>
              </w:rPr>
              <w:t>2023</w:t>
            </w:r>
          </w:p>
        </w:tc>
      </w:tr>
      <w:tr w:rsidR="005C29F8" w:rsidRPr="00781112" w14:paraId="254E2893" w14:textId="77777777" w:rsidTr="00C40E4D">
        <w:trPr>
          <w:trHeight w:val="357"/>
        </w:trPr>
        <w:tc>
          <w:tcPr>
            <w:tcW w:w="833" w:type="pct"/>
          </w:tcPr>
          <w:p w14:paraId="2275C3E1" w14:textId="77777777" w:rsidR="00FB6462" w:rsidRPr="00781112" w:rsidRDefault="00FB6462" w:rsidP="00BA3DBE">
            <w:pPr>
              <w:jc w:val="center"/>
              <w:rPr>
                <w:rFonts w:cs="Arial"/>
                <w:color w:val="000000" w:themeColor="text1"/>
                <w:szCs w:val="16"/>
              </w:rPr>
            </w:pPr>
            <w:r w:rsidRPr="00781112">
              <w:rPr>
                <w:rFonts w:cs="Arial"/>
                <w:color w:val="000000" w:themeColor="text1"/>
                <w:szCs w:val="16"/>
              </w:rPr>
              <w:t>Target &gt;=</w:t>
            </w:r>
          </w:p>
        </w:tc>
        <w:tc>
          <w:tcPr>
            <w:tcW w:w="833" w:type="pct"/>
          </w:tcPr>
          <w:p w14:paraId="1AE84DD5" w14:textId="77777777" w:rsidR="00FB6462" w:rsidRPr="00781112" w:rsidRDefault="002B7490" w:rsidP="00A018D4">
            <w:pPr>
              <w:jc w:val="center"/>
              <w:rPr>
                <w:rFonts w:cs="Arial"/>
                <w:color w:val="000000" w:themeColor="text1"/>
                <w:szCs w:val="16"/>
              </w:rPr>
            </w:pPr>
            <w:r w:rsidRPr="00781112">
              <w:rPr>
                <w:rFonts w:cs="Arial"/>
                <w:color w:val="000000" w:themeColor="text1"/>
                <w:szCs w:val="16"/>
              </w:rPr>
              <w:t>38.50%</w:t>
            </w:r>
          </w:p>
        </w:tc>
        <w:tc>
          <w:tcPr>
            <w:tcW w:w="833" w:type="pct"/>
          </w:tcPr>
          <w:p w14:paraId="5CFE959B" w14:textId="77777777" w:rsidR="00FB6462" w:rsidRPr="00781112" w:rsidRDefault="002B7490" w:rsidP="00A018D4">
            <w:pPr>
              <w:jc w:val="center"/>
              <w:rPr>
                <w:rFonts w:cs="Arial"/>
                <w:color w:val="000000" w:themeColor="text1"/>
                <w:szCs w:val="16"/>
              </w:rPr>
            </w:pPr>
            <w:r w:rsidRPr="00781112">
              <w:rPr>
                <w:rFonts w:cs="Arial"/>
                <w:color w:val="000000" w:themeColor="text1"/>
                <w:szCs w:val="16"/>
              </w:rPr>
              <w:t>39.00%</w:t>
            </w:r>
          </w:p>
        </w:tc>
        <w:tc>
          <w:tcPr>
            <w:tcW w:w="833" w:type="pct"/>
            <w:vAlign w:val="center"/>
          </w:tcPr>
          <w:p w14:paraId="2DBE421D" w14:textId="77777777" w:rsidR="00FB6462" w:rsidRPr="00781112" w:rsidRDefault="002B7490" w:rsidP="00A018D4">
            <w:pPr>
              <w:jc w:val="center"/>
              <w:rPr>
                <w:rFonts w:cs="Arial"/>
                <w:color w:val="000000" w:themeColor="text1"/>
                <w:szCs w:val="16"/>
              </w:rPr>
            </w:pPr>
            <w:r w:rsidRPr="00781112">
              <w:rPr>
                <w:rFonts w:cs="Arial"/>
                <w:color w:val="000000" w:themeColor="text1"/>
                <w:szCs w:val="16"/>
              </w:rPr>
              <w:t>39.00%</w:t>
            </w:r>
          </w:p>
        </w:tc>
        <w:tc>
          <w:tcPr>
            <w:tcW w:w="833" w:type="pct"/>
            <w:vAlign w:val="center"/>
          </w:tcPr>
          <w:p w14:paraId="76FB0E1A" w14:textId="77777777" w:rsidR="00FB6462" w:rsidRPr="00781112" w:rsidRDefault="002B7490" w:rsidP="00A018D4">
            <w:pPr>
              <w:jc w:val="center"/>
              <w:rPr>
                <w:rFonts w:cs="Arial"/>
                <w:color w:val="000000" w:themeColor="text1"/>
                <w:szCs w:val="16"/>
              </w:rPr>
            </w:pPr>
            <w:r w:rsidRPr="00781112">
              <w:rPr>
                <w:rFonts w:cs="Arial"/>
                <w:color w:val="000000" w:themeColor="text1"/>
                <w:szCs w:val="16"/>
              </w:rPr>
              <w:t>39.00%</w:t>
            </w:r>
          </w:p>
        </w:tc>
        <w:tc>
          <w:tcPr>
            <w:tcW w:w="834" w:type="pct"/>
            <w:vAlign w:val="center"/>
          </w:tcPr>
          <w:p w14:paraId="1858E4CC" w14:textId="77777777" w:rsidR="00FB6462" w:rsidRPr="00781112" w:rsidRDefault="002B7490" w:rsidP="00A018D4">
            <w:pPr>
              <w:jc w:val="center"/>
              <w:rPr>
                <w:rFonts w:cs="Arial"/>
                <w:color w:val="000000" w:themeColor="text1"/>
                <w:szCs w:val="16"/>
              </w:rPr>
            </w:pPr>
            <w:r w:rsidRPr="00781112">
              <w:rPr>
                <w:rFonts w:cs="Arial"/>
                <w:color w:val="000000" w:themeColor="text1"/>
                <w:szCs w:val="16"/>
              </w:rPr>
              <w:t>40.00%</w:t>
            </w:r>
          </w:p>
        </w:tc>
      </w:tr>
      <w:tr w:rsidR="005C29F8" w:rsidRPr="00781112" w14:paraId="787CA954" w14:textId="77777777" w:rsidTr="00C40E4D">
        <w:trPr>
          <w:trHeight w:val="85"/>
        </w:trPr>
        <w:tc>
          <w:tcPr>
            <w:tcW w:w="833" w:type="pct"/>
          </w:tcPr>
          <w:p w14:paraId="4277474D" w14:textId="77777777" w:rsidR="00FB6462" w:rsidRPr="00781112" w:rsidRDefault="00FB6462" w:rsidP="00BA3DBE">
            <w:pPr>
              <w:jc w:val="center"/>
              <w:rPr>
                <w:rFonts w:cs="Arial"/>
                <w:color w:val="000000" w:themeColor="text1"/>
                <w:szCs w:val="16"/>
              </w:rPr>
            </w:pPr>
            <w:r w:rsidRPr="00781112">
              <w:rPr>
                <w:rFonts w:cs="Arial"/>
                <w:color w:val="000000" w:themeColor="text1"/>
                <w:szCs w:val="16"/>
              </w:rPr>
              <w:t>Data</w:t>
            </w:r>
          </w:p>
        </w:tc>
        <w:tc>
          <w:tcPr>
            <w:tcW w:w="833" w:type="pct"/>
          </w:tcPr>
          <w:p w14:paraId="74F71BC7" w14:textId="77777777" w:rsidR="00FB6462" w:rsidRPr="00781112" w:rsidRDefault="002B7490" w:rsidP="00A018D4">
            <w:pPr>
              <w:jc w:val="center"/>
              <w:rPr>
                <w:rFonts w:cs="Arial"/>
                <w:color w:val="000000" w:themeColor="text1"/>
                <w:szCs w:val="16"/>
              </w:rPr>
            </w:pPr>
            <w:r w:rsidRPr="00781112">
              <w:rPr>
                <w:rFonts w:cs="Arial"/>
                <w:color w:val="000000" w:themeColor="text1"/>
                <w:szCs w:val="16"/>
              </w:rPr>
              <w:t>44.42%</w:t>
            </w:r>
          </w:p>
        </w:tc>
        <w:tc>
          <w:tcPr>
            <w:tcW w:w="833" w:type="pct"/>
          </w:tcPr>
          <w:p w14:paraId="46F19415" w14:textId="77777777" w:rsidR="00FB6462" w:rsidRPr="00781112" w:rsidRDefault="002B7490" w:rsidP="00A018D4">
            <w:pPr>
              <w:jc w:val="center"/>
              <w:rPr>
                <w:rFonts w:cs="Arial"/>
                <w:color w:val="000000" w:themeColor="text1"/>
                <w:szCs w:val="16"/>
              </w:rPr>
            </w:pPr>
            <w:r w:rsidRPr="00781112">
              <w:rPr>
                <w:rFonts w:cs="Arial"/>
                <w:color w:val="000000" w:themeColor="text1"/>
                <w:szCs w:val="16"/>
              </w:rPr>
              <w:t>43.48%</w:t>
            </w:r>
          </w:p>
        </w:tc>
        <w:tc>
          <w:tcPr>
            <w:tcW w:w="833" w:type="pct"/>
            <w:tcBorders>
              <w:bottom w:val="single" w:sz="4" w:space="0" w:color="auto"/>
            </w:tcBorders>
            <w:vAlign w:val="center"/>
          </w:tcPr>
          <w:p w14:paraId="3CCACDF5" w14:textId="77777777" w:rsidR="00FB6462" w:rsidRPr="00781112" w:rsidRDefault="002B7490" w:rsidP="00A018D4">
            <w:pPr>
              <w:jc w:val="center"/>
              <w:rPr>
                <w:rFonts w:cs="Arial"/>
                <w:color w:val="000000" w:themeColor="text1"/>
                <w:szCs w:val="16"/>
              </w:rPr>
            </w:pPr>
            <w:r w:rsidRPr="00781112">
              <w:rPr>
                <w:rFonts w:cs="Arial"/>
                <w:color w:val="000000" w:themeColor="text1"/>
                <w:szCs w:val="16"/>
              </w:rPr>
              <w:t>36.60%</w:t>
            </w:r>
          </w:p>
        </w:tc>
        <w:tc>
          <w:tcPr>
            <w:tcW w:w="833" w:type="pct"/>
            <w:tcBorders>
              <w:bottom w:val="single" w:sz="4" w:space="0" w:color="auto"/>
            </w:tcBorders>
            <w:vAlign w:val="center"/>
          </w:tcPr>
          <w:p w14:paraId="4B4C1229" w14:textId="77777777" w:rsidR="00FB6462" w:rsidRPr="00781112" w:rsidRDefault="002B7490" w:rsidP="00A018D4">
            <w:pPr>
              <w:jc w:val="center"/>
              <w:rPr>
                <w:rFonts w:cs="Arial"/>
                <w:color w:val="000000" w:themeColor="text1"/>
                <w:szCs w:val="16"/>
              </w:rPr>
            </w:pPr>
            <w:r w:rsidRPr="00781112">
              <w:rPr>
                <w:rFonts w:cs="Arial"/>
                <w:color w:val="000000" w:themeColor="text1"/>
                <w:szCs w:val="16"/>
              </w:rPr>
              <w:t>38.67%</w:t>
            </w:r>
          </w:p>
        </w:tc>
        <w:tc>
          <w:tcPr>
            <w:tcW w:w="834" w:type="pct"/>
            <w:tcBorders>
              <w:bottom w:val="single" w:sz="4" w:space="0" w:color="auto"/>
            </w:tcBorders>
            <w:vAlign w:val="center"/>
          </w:tcPr>
          <w:p w14:paraId="406186C9" w14:textId="77777777" w:rsidR="00FB6462" w:rsidRPr="00781112" w:rsidRDefault="002B7490" w:rsidP="00A018D4">
            <w:pPr>
              <w:jc w:val="center"/>
              <w:rPr>
                <w:rFonts w:cs="Arial"/>
                <w:color w:val="000000" w:themeColor="text1"/>
                <w:szCs w:val="16"/>
              </w:rPr>
            </w:pPr>
            <w:r w:rsidRPr="00781112">
              <w:rPr>
                <w:rFonts w:cs="Arial"/>
                <w:color w:val="000000" w:themeColor="text1"/>
                <w:szCs w:val="16"/>
              </w:rPr>
              <w:t>39.66%</w:t>
            </w:r>
          </w:p>
        </w:tc>
      </w:tr>
    </w:tbl>
    <w:p w14:paraId="6178F353" w14:textId="77777777" w:rsidR="000417B4" w:rsidRPr="00781112" w:rsidRDefault="000417B4" w:rsidP="004369B2">
      <w:pPr>
        <w:rPr>
          <w:color w:val="000000" w:themeColor="text1"/>
        </w:rPr>
      </w:pPr>
    </w:p>
    <w:p w14:paraId="781BA212" w14:textId="77777777" w:rsidR="00FB6462" w:rsidRPr="00781112" w:rsidRDefault="00FB6462" w:rsidP="004369B2">
      <w:pPr>
        <w:rPr>
          <w:color w:val="000000" w:themeColor="text1"/>
        </w:rPr>
      </w:pPr>
      <w:r w:rsidRPr="00781112">
        <w:rPr>
          <w:b/>
          <w:color w:val="000000" w:themeColor="text1"/>
        </w:rPr>
        <w:t>Targets</w:t>
      </w:r>
    </w:p>
    <w:tbl>
      <w:tblPr>
        <w:tblW w:w="1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8TARGETSOPT1"/>
      </w:tblPr>
      <w:tblGrid>
        <w:gridCol w:w="900"/>
        <w:gridCol w:w="1651"/>
        <w:gridCol w:w="1651"/>
      </w:tblGrid>
      <w:tr w:rsidR="008B52D3" w:rsidRPr="00781112" w14:paraId="78B883F9" w14:textId="77777777" w:rsidTr="00924AD9">
        <w:trPr>
          <w:trHeight w:val="242"/>
        </w:trPr>
        <w:tc>
          <w:tcPr>
            <w:tcW w:w="1070" w:type="pct"/>
            <w:tcBorders>
              <w:bottom w:val="single" w:sz="4" w:space="0" w:color="auto"/>
            </w:tcBorders>
            <w:vAlign w:val="center"/>
          </w:tcPr>
          <w:p w14:paraId="57259475" w14:textId="77777777" w:rsidR="008B52D3" w:rsidRPr="003F088A" w:rsidRDefault="008B52D3" w:rsidP="00AD5583">
            <w:pPr>
              <w:jc w:val="center"/>
              <w:rPr>
                <w:rFonts w:cs="Arial"/>
                <w:b/>
                <w:color w:val="000000" w:themeColor="text1"/>
                <w:szCs w:val="16"/>
              </w:rPr>
            </w:pPr>
            <w:r w:rsidRPr="003F088A">
              <w:rPr>
                <w:rFonts w:cs="Arial"/>
                <w:b/>
                <w:color w:val="000000" w:themeColor="text1"/>
                <w:szCs w:val="16"/>
              </w:rPr>
              <w:t>FFY</w:t>
            </w:r>
          </w:p>
        </w:tc>
        <w:tc>
          <w:tcPr>
            <w:tcW w:w="1965" w:type="pct"/>
            <w:vAlign w:val="center"/>
          </w:tcPr>
          <w:p w14:paraId="57BD3986" w14:textId="77777777" w:rsidR="008B52D3" w:rsidRPr="003F088A" w:rsidRDefault="008B52D3" w:rsidP="00AD5583">
            <w:pPr>
              <w:jc w:val="center"/>
              <w:rPr>
                <w:rFonts w:cs="Arial"/>
                <w:b/>
                <w:color w:val="000000" w:themeColor="text1"/>
                <w:szCs w:val="16"/>
              </w:rPr>
            </w:pPr>
            <w:r w:rsidRPr="003F088A">
              <w:rPr>
                <w:rFonts w:cs="Arial"/>
                <w:b/>
                <w:color w:val="000000" w:themeColor="text1"/>
                <w:szCs w:val="16"/>
              </w:rPr>
              <w:t>2024</w:t>
            </w:r>
          </w:p>
        </w:tc>
        <w:tc>
          <w:tcPr>
            <w:tcW w:w="1965" w:type="pct"/>
            <w:vAlign w:val="center"/>
          </w:tcPr>
          <w:p w14:paraId="1154AE89" w14:textId="77777777" w:rsidR="008B52D3" w:rsidRPr="003F088A" w:rsidRDefault="008B52D3" w:rsidP="00730C62">
            <w:pPr>
              <w:jc w:val="center"/>
              <w:rPr>
                <w:rFonts w:cs="Arial"/>
                <w:b/>
                <w:color w:val="000000" w:themeColor="text1"/>
                <w:szCs w:val="16"/>
              </w:rPr>
            </w:pPr>
            <w:r w:rsidRPr="00781112">
              <w:rPr>
                <w:rFonts w:cs="Arial"/>
                <w:b/>
                <w:color w:val="000000" w:themeColor="text1"/>
                <w:szCs w:val="16"/>
              </w:rPr>
              <w:t>2025</w:t>
            </w:r>
          </w:p>
        </w:tc>
      </w:tr>
      <w:tr w:rsidR="008B52D3" w:rsidRPr="00781112" w14:paraId="0CEB6E62" w14:textId="77777777" w:rsidTr="00924AD9">
        <w:trPr>
          <w:trHeight w:val="370"/>
        </w:trPr>
        <w:tc>
          <w:tcPr>
            <w:tcW w:w="1070" w:type="pct"/>
          </w:tcPr>
          <w:p w14:paraId="59ABEF3A" w14:textId="77777777" w:rsidR="008B52D3" w:rsidRPr="00781112" w:rsidRDefault="008B52D3" w:rsidP="00BA3DBE">
            <w:pPr>
              <w:jc w:val="center"/>
              <w:rPr>
                <w:rFonts w:cs="Arial"/>
                <w:color w:val="000000" w:themeColor="text1"/>
                <w:szCs w:val="16"/>
              </w:rPr>
            </w:pPr>
            <w:r w:rsidRPr="00781112">
              <w:rPr>
                <w:rFonts w:cs="Arial"/>
                <w:color w:val="000000" w:themeColor="text1"/>
                <w:szCs w:val="16"/>
              </w:rPr>
              <w:t>Target &gt;=</w:t>
            </w:r>
          </w:p>
        </w:tc>
        <w:tc>
          <w:tcPr>
            <w:tcW w:w="1965" w:type="pct"/>
            <w:vAlign w:val="center"/>
          </w:tcPr>
          <w:p w14:paraId="34056301" w14:textId="77777777" w:rsidR="008B52D3" w:rsidRPr="00781112" w:rsidRDefault="008B52D3" w:rsidP="00AD5583">
            <w:pPr>
              <w:jc w:val="center"/>
              <w:rPr>
                <w:rFonts w:cs="Arial"/>
                <w:color w:val="000000" w:themeColor="text1"/>
                <w:szCs w:val="16"/>
              </w:rPr>
            </w:pPr>
            <w:r w:rsidRPr="00781112">
              <w:rPr>
                <w:rFonts w:cs="Arial"/>
                <w:color w:val="000000" w:themeColor="text1"/>
                <w:szCs w:val="16"/>
              </w:rPr>
              <w:t>40.00%</w:t>
            </w:r>
          </w:p>
        </w:tc>
        <w:tc>
          <w:tcPr>
            <w:tcW w:w="1965" w:type="pct"/>
          </w:tcPr>
          <w:p w14:paraId="4DB3FC86" w14:textId="77777777" w:rsidR="008B52D3" w:rsidRPr="00781112" w:rsidRDefault="008B52D3" w:rsidP="00AB3D2E">
            <w:pPr>
              <w:spacing w:before="0" w:after="200" w:line="276" w:lineRule="auto"/>
              <w:jc w:val="center"/>
            </w:pPr>
            <w:r w:rsidRPr="00781112">
              <w:rPr>
                <w:color w:val="000000" w:themeColor="text1"/>
                <w:szCs w:val="16"/>
              </w:rPr>
              <w:t>40.00%</w:t>
            </w:r>
          </w:p>
        </w:tc>
      </w:tr>
    </w:tbl>
    <w:p w14:paraId="3EF666F0" w14:textId="77777777" w:rsidR="007E2779" w:rsidRPr="00781112" w:rsidRDefault="007E2779" w:rsidP="000A2C83">
      <w:pPr>
        <w:rPr>
          <w:rFonts w:cs="Arial"/>
          <w:color w:val="000000" w:themeColor="text1"/>
          <w:szCs w:val="16"/>
        </w:rPr>
      </w:pPr>
    </w:p>
    <w:p w14:paraId="0DD7EE04" w14:textId="77777777" w:rsidR="00FB6462" w:rsidRPr="00781112" w:rsidRDefault="0047313F" w:rsidP="004369B2">
      <w:pPr>
        <w:rPr>
          <w:color w:val="000000" w:themeColor="text1"/>
        </w:rPr>
      </w:pPr>
      <w:r>
        <w:rPr>
          <w:b/>
          <w:color w:val="000000" w:themeColor="text1"/>
        </w:rPr>
        <w:t>FFY 2024 SPP/APR Data</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8CFFYAPRDATAOPT1"/>
      </w:tblPr>
      <w:tblGrid>
        <w:gridCol w:w="2701"/>
        <w:gridCol w:w="1455"/>
        <w:gridCol w:w="1170"/>
        <w:gridCol w:w="1440"/>
        <w:gridCol w:w="1170"/>
        <w:gridCol w:w="1349"/>
        <w:gridCol w:w="1509"/>
      </w:tblGrid>
      <w:tr w:rsidR="00206A65" w:rsidRPr="00781112" w14:paraId="38BD3FE5" w14:textId="77777777" w:rsidTr="00AB0D6A">
        <w:trPr>
          <w:trHeight w:val="368"/>
          <w:tblHeader/>
        </w:trPr>
        <w:tc>
          <w:tcPr>
            <w:tcW w:w="1244" w:type="pct"/>
            <w:vAlign w:val="bottom"/>
          </w:tcPr>
          <w:p w14:paraId="2FD2C75A" w14:textId="77777777" w:rsidR="00206A65" w:rsidRPr="00781112" w:rsidRDefault="00206A65" w:rsidP="00206A65">
            <w:pPr>
              <w:jc w:val="center"/>
              <w:rPr>
                <w:b/>
                <w:color w:val="000000" w:themeColor="text1"/>
              </w:rPr>
            </w:pPr>
            <w:r w:rsidRPr="00781112">
              <w:rPr>
                <w:b/>
                <w:color w:val="000000" w:themeColor="text1"/>
              </w:rPr>
              <w:t xml:space="preserve">Number of respondent parents who </w:t>
            </w:r>
            <w:proofErr w:type="gramStart"/>
            <w:r w:rsidRPr="00781112">
              <w:rPr>
                <w:b/>
                <w:color w:val="000000" w:themeColor="text1"/>
              </w:rPr>
              <w:t>report</w:t>
            </w:r>
            <w:proofErr w:type="gramEnd"/>
            <w:r w:rsidRPr="00781112">
              <w:rPr>
                <w:b/>
                <w:color w:val="000000" w:themeColor="text1"/>
              </w:rPr>
              <w:t xml:space="preserve"> schools facilitated parent involvement as a means of improving services and results for children with disabilities</w:t>
            </w:r>
          </w:p>
        </w:tc>
        <w:tc>
          <w:tcPr>
            <w:tcW w:w="674" w:type="pct"/>
            <w:vAlign w:val="bottom"/>
          </w:tcPr>
          <w:p w14:paraId="44368E81" w14:textId="77777777" w:rsidR="00206A65" w:rsidRPr="00781112" w:rsidRDefault="00206A65" w:rsidP="00206A65">
            <w:pPr>
              <w:jc w:val="center"/>
              <w:rPr>
                <w:b/>
                <w:color w:val="000000" w:themeColor="text1"/>
              </w:rPr>
            </w:pPr>
            <w:r w:rsidRPr="00781112">
              <w:rPr>
                <w:b/>
                <w:color w:val="000000" w:themeColor="text1"/>
              </w:rPr>
              <w:t>Total number of respondent parents of children with disabilities</w:t>
            </w:r>
          </w:p>
        </w:tc>
        <w:tc>
          <w:tcPr>
            <w:tcW w:w="542" w:type="pct"/>
            <w:vAlign w:val="bottom"/>
          </w:tcPr>
          <w:p w14:paraId="7C05B749" w14:textId="77777777" w:rsidR="00206A65" w:rsidRPr="00CC1061" w:rsidRDefault="00206A65" w:rsidP="00206A65">
            <w:pPr>
              <w:jc w:val="center"/>
              <w:rPr>
                <w:b/>
                <w:bCs/>
                <w:color w:val="000000" w:themeColor="text1"/>
              </w:rPr>
            </w:pPr>
            <w:r w:rsidRPr="00CC1061">
              <w:rPr>
                <w:b/>
                <w:bCs/>
              </w:rPr>
              <w:t>FFY 2023 Data</w:t>
            </w:r>
          </w:p>
        </w:tc>
        <w:tc>
          <w:tcPr>
            <w:tcW w:w="667" w:type="pct"/>
            <w:vAlign w:val="bottom"/>
          </w:tcPr>
          <w:p w14:paraId="02557637" w14:textId="77777777" w:rsidR="00206A65" w:rsidRPr="00CC1061" w:rsidRDefault="00206A65" w:rsidP="00206A65">
            <w:pPr>
              <w:jc w:val="center"/>
              <w:rPr>
                <w:b/>
                <w:bCs/>
                <w:color w:val="000000" w:themeColor="text1"/>
              </w:rPr>
            </w:pPr>
            <w:r w:rsidRPr="00CC1061">
              <w:rPr>
                <w:b/>
                <w:bCs/>
              </w:rPr>
              <w:t>FFY 2024 Target</w:t>
            </w:r>
          </w:p>
        </w:tc>
        <w:tc>
          <w:tcPr>
            <w:tcW w:w="542" w:type="pct"/>
            <w:vAlign w:val="bottom"/>
          </w:tcPr>
          <w:p w14:paraId="23A4D7DA" w14:textId="77777777" w:rsidR="00206A65" w:rsidRPr="00CC1061" w:rsidRDefault="00206A65" w:rsidP="00206A65">
            <w:pPr>
              <w:jc w:val="center"/>
              <w:rPr>
                <w:b/>
                <w:bCs/>
                <w:color w:val="000000" w:themeColor="text1"/>
              </w:rPr>
            </w:pPr>
            <w:r w:rsidRPr="00CC1061">
              <w:rPr>
                <w:b/>
                <w:bCs/>
              </w:rPr>
              <w:t>FFY 2024 Data</w:t>
            </w:r>
          </w:p>
        </w:tc>
        <w:tc>
          <w:tcPr>
            <w:tcW w:w="625" w:type="pct"/>
            <w:vAlign w:val="bottom"/>
          </w:tcPr>
          <w:p w14:paraId="05F97EB3" w14:textId="77777777" w:rsidR="00206A65" w:rsidRPr="00781112" w:rsidRDefault="00206A65" w:rsidP="00206A65">
            <w:pPr>
              <w:jc w:val="center"/>
              <w:rPr>
                <w:b/>
                <w:color w:val="000000" w:themeColor="text1"/>
              </w:rPr>
            </w:pPr>
            <w:r w:rsidRPr="00781112">
              <w:rPr>
                <w:b/>
                <w:color w:val="000000" w:themeColor="text1"/>
              </w:rPr>
              <w:t>Status</w:t>
            </w:r>
          </w:p>
        </w:tc>
        <w:tc>
          <w:tcPr>
            <w:tcW w:w="706" w:type="pct"/>
            <w:vAlign w:val="bottom"/>
          </w:tcPr>
          <w:p w14:paraId="4F7E3B7E" w14:textId="77777777" w:rsidR="00206A65" w:rsidRPr="00781112" w:rsidRDefault="00206A65" w:rsidP="00206A65">
            <w:pPr>
              <w:jc w:val="center"/>
              <w:rPr>
                <w:b/>
                <w:color w:val="000000" w:themeColor="text1"/>
              </w:rPr>
            </w:pPr>
            <w:r w:rsidRPr="00781112">
              <w:rPr>
                <w:b/>
                <w:color w:val="000000" w:themeColor="text1"/>
              </w:rPr>
              <w:t>Slippage</w:t>
            </w:r>
          </w:p>
        </w:tc>
      </w:tr>
      <w:tr w:rsidR="005C29F8" w:rsidRPr="00781112" w14:paraId="139DD79F" w14:textId="77777777" w:rsidTr="00AB0D6A">
        <w:trPr>
          <w:trHeight w:val="366"/>
        </w:trPr>
        <w:tc>
          <w:tcPr>
            <w:tcW w:w="1251" w:type="pct"/>
            <w:vAlign w:val="bottom"/>
          </w:tcPr>
          <w:p w14:paraId="4F48F5FA" w14:textId="77777777" w:rsidR="00FB6462" w:rsidRPr="00781112" w:rsidRDefault="002B7490" w:rsidP="00A018D4">
            <w:pPr>
              <w:jc w:val="center"/>
              <w:rPr>
                <w:rFonts w:cs="Arial"/>
                <w:color w:val="000000" w:themeColor="text1"/>
                <w:szCs w:val="16"/>
              </w:rPr>
            </w:pPr>
            <w:r w:rsidRPr="00781112">
              <w:rPr>
                <w:rFonts w:cs="Arial"/>
                <w:color w:val="000000" w:themeColor="text1"/>
                <w:szCs w:val="16"/>
              </w:rPr>
              <w:t>1,069</w:t>
            </w:r>
          </w:p>
        </w:tc>
        <w:tc>
          <w:tcPr>
            <w:tcW w:w="667" w:type="pct"/>
            <w:vAlign w:val="bottom"/>
          </w:tcPr>
          <w:p w14:paraId="3D116418" w14:textId="77777777" w:rsidR="00FB6462" w:rsidRPr="00781112" w:rsidRDefault="002B7490" w:rsidP="00A018D4">
            <w:pPr>
              <w:jc w:val="center"/>
              <w:rPr>
                <w:rFonts w:cs="Arial"/>
                <w:color w:val="000000" w:themeColor="text1"/>
                <w:szCs w:val="16"/>
              </w:rPr>
            </w:pPr>
            <w:r w:rsidRPr="00781112">
              <w:rPr>
                <w:rFonts w:cs="Arial"/>
                <w:color w:val="000000" w:themeColor="text1"/>
                <w:szCs w:val="16"/>
              </w:rPr>
              <w:t>3,159</w:t>
            </w:r>
          </w:p>
        </w:tc>
        <w:tc>
          <w:tcPr>
            <w:tcW w:w="542" w:type="pct"/>
            <w:vAlign w:val="bottom"/>
          </w:tcPr>
          <w:p w14:paraId="5F39B240" w14:textId="77777777" w:rsidR="00FB6462" w:rsidRPr="00781112" w:rsidRDefault="002B7490" w:rsidP="00A018D4">
            <w:pPr>
              <w:jc w:val="center"/>
              <w:rPr>
                <w:rFonts w:cs="Arial"/>
                <w:color w:val="000000" w:themeColor="text1"/>
                <w:szCs w:val="16"/>
              </w:rPr>
            </w:pPr>
            <w:r w:rsidRPr="00781112">
              <w:rPr>
                <w:rFonts w:cs="Arial"/>
                <w:color w:val="000000" w:themeColor="text1"/>
                <w:szCs w:val="16"/>
              </w:rPr>
              <w:t>39.66%</w:t>
            </w:r>
          </w:p>
        </w:tc>
        <w:tc>
          <w:tcPr>
            <w:tcW w:w="667" w:type="pct"/>
            <w:vAlign w:val="bottom"/>
          </w:tcPr>
          <w:p w14:paraId="437830AB" w14:textId="77777777" w:rsidR="00FB6462" w:rsidRPr="00781112" w:rsidRDefault="002B7490" w:rsidP="00A018D4">
            <w:pPr>
              <w:jc w:val="center"/>
              <w:rPr>
                <w:rFonts w:cs="Arial"/>
                <w:color w:val="000000" w:themeColor="text1"/>
                <w:szCs w:val="16"/>
              </w:rPr>
            </w:pPr>
            <w:r w:rsidRPr="00781112">
              <w:rPr>
                <w:rFonts w:cs="Arial"/>
                <w:color w:val="000000" w:themeColor="text1"/>
                <w:szCs w:val="16"/>
              </w:rPr>
              <w:t>40.00%</w:t>
            </w:r>
          </w:p>
        </w:tc>
        <w:tc>
          <w:tcPr>
            <w:tcW w:w="542" w:type="pct"/>
            <w:vAlign w:val="bottom"/>
          </w:tcPr>
          <w:p w14:paraId="74EFEDC7" w14:textId="77777777" w:rsidR="00FB6462" w:rsidRPr="00781112" w:rsidRDefault="002B7490" w:rsidP="00A018D4">
            <w:pPr>
              <w:jc w:val="center"/>
              <w:rPr>
                <w:rFonts w:cs="Arial"/>
                <w:color w:val="000000" w:themeColor="text1"/>
                <w:szCs w:val="16"/>
              </w:rPr>
            </w:pPr>
            <w:r w:rsidRPr="00781112">
              <w:rPr>
                <w:rFonts w:cs="Arial"/>
                <w:color w:val="000000" w:themeColor="text1"/>
                <w:szCs w:val="16"/>
              </w:rPr>
              <w:t>33.84%</w:t>
            </w:r>
          </w:p>
        </w:tc>
        <w:tc>
          <w:tcPr>
            <w:tcW w:w="625" w:type="pct"/>
            <w:vAlign w:val="bottom"/>
          </w:tcPr>
          <w:p w14:paraId="3381ED72" w14:textId="77777777" w:rsidR="00FB6462"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706" w:type="pct"/>
            <w:vAlign w:val="bottom"/>
          </w:tcPr>
          <w:p w14:paraId="1A7EF586" w14:textId="77777777" w:rsidR="00FB6462" w:rsidRPr="00781112" w:rsidRDefault="002B7490" w:rsidP="00A018D4">
            <w:pPr>
              <w:jc w:val="center"/>
              <w:rPr>
                <w:rFonts w:cs="Arial"/>
                <w:color w:val="000000" w:themeColor="text1"/>
                <w:szCs w:val="16"/>
              </w:rPr>
            </w:pPr>
            <w:r w:rsidRPr="00781112">
              <w:rPr>
                <w:rFonts w:cs="Arial"/>
                <w:color w:val="000000" w:themeColor="text1"/>
                <w:szCs w:val="16"/>
              </w:rPr>
              <w:t>Slippage</w:t>
            </w:r>
          </w:p>
        </w:tc>
      </w:tr>
    </w:tbl>
    <w:p w14:paraId="29659C3F" w14:textId="77777777" w:rsidR="006D77A0" w:rsidRPr="00781112" w:rsidRDefault="006D77A0" w:rsidP="00230EE6">
      <w:pPr>
        <w:rPr>
          <w:b/>
          <w:color w:val="000000" w:themeColor="text1"/>
        </w:rPr>
      </w:pPr>
      <w:r w:rsidRPr="00781112">
        <w:rPr>
          <w:b/>
          <w:color w:val="000000" w:themeColor="text1"/>
        </w:rPr>
        <w:t>Provide reasons for slippage, if applicable</w:t>
      </w:r>
    </w:p>
    <w:p w14:paraId="3A27DA2E" w14:textId="77777777" w:rsidR="00230EE6" w:rsidRPr="00781112" w:rsidRDefault="00230EE6" w:rsidP="004369B2">
      <w:pPr>
        <w:rPr>
          <w:rFonts w:cs="Arial"/>
          <w:color w:val="000000" w:themeColor="text1"/>
          <w:szCs w:val="16"/>
        </w:rPr>
      </w:pPr>
      <w:r w:rsidRPr="00781112">
        <w:rPr>
          <w:rFonts w:cs="Arial"/>
          <w:color w:val="000000" w:themeColor="text1"/>
          <w:szCs w:val="16"/>
        </w:rPr>
        <w:t xml:space="preserve">The percentage of respondent parents who report schools facilitated parent involvement as a means of improving services and results for children with disabilities decreased from 39.66% in FFY 2023 to 33.84% in FFY 2024, a 5.82 percentage point (pp) decline. The higher rate observed in FFY 2023 (39.66%) was supported by 49.27% of parents of children in the preschool demographic reporting facilitated involvement, whereas the FFY 2024 preschool rate for the current cohort was 40.26%. This shift, along with a 5.41 pp difference in school-age parent ratings between the two cohorts (38.56% vs. 33.15%), accounts for a portion of the reported slippage. </w:t>
      </w:r>
    </w:p>
    <w:p w14:paraId="25E9E084" w14:textId="77777777" w:rsidR="00CA787A" w:rsidRDefault="00CA787A"/>
    <w:p w14:paraId="1856FE93" w14:textId="77777777" w:rsidR="00CA787A" w:rsidRDefault="003169E9">
      <w:r>
        <w:rPr>
          <w:color w:val="000000"/>
        </w:rPr>
        <w:t>Further, the decrease between FFY 2023 and FFY 2024 represents a comparison between two distinct LEA cohorts (see “additional information” section). Because these cohorts represent different LEAs with varying levels of family engagement and personnel capacity, fluctuations are expected from year to year.</w:t>
      </w:r>
    </w:p>
    <w:p w14:paraId="5C70FFFA" w14:textId="77777777" w:rsidR="00FB6462" w:rsidRPr="00781112" w:rsidRDefault="00FB6462" w:rsidP="005A338D">
      <w:pPr>
        <w:rPr>
          <w:rFonts w:cs="Arial"/>
          <w:b/>
          <w:color w:val="000000" w:themeColor="text1"/>
          <w:szCs w:val="16"/>
        </w:rPr>
      </w:pPr>
      <w:r w:rsidRPr="00781112">
        <w:rPr>
          <w:rFonts w:cs="Arial"/>
          <w:b/>
          <w:color w:val="000000" w:themeColor="text1"/>
          <w:szCs w:val="16"/>
        </w:rPr>
        <w:t>Since the State did not report preschool children separately, discuss the procedures used to combine data from school age and preschool surveys in a manner that is valid and reliable.</w:t>
      </w:r>
    </w:p>
    <w:p w14:paraId="76190AF6" w14:textId="77777777" w:rsidR="00230EE6" w:rsidRPr="00781112" w:rsidRDefault="00230EE6" w:rsidP="005A338D">
      <w:pPr>
        <w:rPr>
          <w:rFonts w:cs="Arial"/>
          <w:color w:val="000000" w:themeColor="text1"/>
          <w:szCs w:val="16"/>
        </w:rPr>
      </w:pPr>
      <w:r w:rsidRPr="00781112">
        <w:rPr>
          <w:rFonts w:cs="Arial"/>
          <w:color w:val="000000" w:themeColor="text1"/>
          <w:szCs w:val="16"/>
        </w:rPr>
        <w:t>The data were collected using two parent surveys which were converted to a scannable format. One survey, with 26 items and a comment section, was designed for and administered to parents of preschool children (ages 3–5). The other, composed of 24 items and space for comments, targeted parents of school-age children (ages 5–21) and was distributed accordingly. Using the Rasch method of data analysis, each parent survey was scored and then the percentage of parent surveys above the “cut-off” score of 600 was computed. A score above the standard (i.e., cut-off score) indicates agreement that the child’s LEA facilitated parental involvement as a means of improving the services and results for children with disabilities.</w:t>
      </w:r>
    </w:p>
    <w:p w14:paraId="39C663D9" w14:textId="77777777" w:rsidR="007E2779" w:rsidRPr="00781112" w:rsidRDefault="007E2779" w:rsidP="007E2779">
      <w:pPr>
        <w:pStyle w:val="Bold"/>
        <w:rPr>
          <w:color w:val="000000" w:themeColor="text1"/>
        </w:rPr>
      </w:pPr>
    </w:p>
    <w:p w14:paraId="0AF145A4" w14:textId="77777777" w:rsidR="00DF5DC9" w:rsidRDefault="00DF5DC9" w:rsidP="00415FE9">
      <w:pPr>
        <w:rPr>
          <w:rFonts w:cs="Arial"/>
          <w:b/>
          <w:color w:val="000000" w:themeColor="text1"/>
          <w:szCs w:val="16"/>
        </w:rPr>
      </w:pPr>
    </w:p>
    <w:p w14:paraId="650954D4" w14:textId="77777777" w:rsidR="00415FE9" w:rsidRPr="00781112" w:rsidRDefault="00415FE9" w:rsidP="00415FE9">
      <w:pPr>
        <w:rPr>
          <w:rFonts w:cs="Arial"/>
          <w:b/>
          <w:color w:val="000000" w:themeColor="text1"/>
          <w:szCs w:val="16"/>
        </w:rPr>
      </w:pPr>
      <w:r w:rsidRPr="00781112">
        <w:rPr>
          <w:rFonts w:cs="Arial"/>
          <w:b/>
          <w:color w:val="000000" w:themeColor="text1"/>
          <w:szCs w:val="16"/>
        </w:rPr>
        <w:t>The number of parents to whom the surveys were distributed.</w:t>
      </w:r>
    </w:p>
    <w:p w14:paraId="32084852" w14:textId="77777777" w:rsidR="00415FE9" w:rsidRPr="00781112" w:rsidRDefault="00415FE9" w:rsidP="00415FE9">
      <w:pPr>
        <w:rPr>
          <w:rFonts w:cs="Arial"/>
          <w:color w:val="000000" w:themeColor="text1"/>
          <w:szCs w:val="16"/>
        </w:rPr>
      </w:pPr>
      <w:r w:rsidRPr="00781112">
        <w:rPr>
          <w:rFonts w:cs="Arial"/>
          <w:color w:val="000000" w:themeColor="text1"/>
          <w:szCs w:val="16"/>
        </w:rPr>
        <w:t>16,048</w:t>
      </w:r>
    </w:p>
    <w:p w14:paraId="02CB3C92" w14:textId="77777777" w:rsidR="00415FE9" w:rsidRPr="00781112" w:rsidRDefault="00415FE9" w:rsidP="00415FE9">
      <w:pPr>
        <w:rPr>
          <w:rFonts w:cs="Arial"/>
          <w:b/>
          <w:color w:val="000000" w:themeColor="text1"/>
          <w:szCs w:val="16"/>
        </w:rPr>
      </w:pPr>
      <w:r w:rsidRPr="00781112">
        <w:rPr>
          <w:rFonts w:cs="Arial"/>
          <w:b/>
          <w:color w:val="000000" w:themeColor="text1"/>
          <w:szCs w:val="16"/>
        </w:rPr>
        <w:t>Percentage of respondent parents</w:t>
      </w:r>
    </w:p>
    <w:p w14:paraId="49DF6B28" w14:textId="77777777" w:rsidR="00415FE9" w:rsidRPr="00781112" w:rsidRDefault="00415FE9" w:rsidP="00415FE9">
      <w:pPr>
        <w:rPr>
          <w:rFonts w:cs="Arial"/>
          <w:color w:val="000000" w:themeColor="text1"/>
          <w:szCs w:val="16"/>
        </w:rPr>
      </w:pPr>
      <w:r w:rsidRPr="00781112">
        <w:rPr>
          <w:rFonts w:cs="Arial"/>
          <w:color w:val="000000" w:themeColor="text1"/>
          <w:szCs w:val="16"/>
        </w:rPr>
        <w:t>19.68%</w:t>
      </w:r>
    </w:p>
    <w:p w14:paraId="1B1EA744" w14:textId="77777777" w:rsidR="00090132" w:rsidRDefault="00090132" w:rsidP="00AF550B">
      <w:pPr>
        <w:rPr>
          <w:rFonts w:cs="Arial"/>
          <w:iCs/>
          <w:color w:val="000000" w:themeColor="text1"/>
          <w:szCs w:val="16"/>
        </w:rPr>
      </w:pPr>
    </w:p>
    <w:p w14:paraId="02039BFF" w14:textId="77777777" w:rsidR="00090132" w:rsidRPr="00F737BA" w:rsidRDefault="00090132" w:rsidP="00090132">
      <w:pPr>
        <w:rPr>
          <w:rFonts w:cs="Arial"/>
          <w:b/>
          <w:bCs/>
          <w:szCs w:val="16"/>
        </w:rPr>
      </w:pPr>
      <w:r w:rsidRPr="00F737BA">
        <w:rPr>
          <w:rFonts w:cs="Arial"/>
          <w:b/>
          <w:bCs/>
          <w:szCs w:val="16"/>
        </w:rPr>
        <w:t>Response Rate</w:t>
      </w:r>
    </w:p>
    <w:tbl>
      <w:tblPr>
        <w:tblStyle w:val="TableGrid"/>
        <w:tblW w:w="0" w:type="auto"/>
        <w:tblLook w:val="04A0" w:firstRow="1" w:lastRow="0" w:firstColumn="1" w:lastColumn="0" w:noHBand="0" w:noVBand="1"/>
        <w:tblCaption w:val="B08CFFYDISTPER"/>
      </w:tblPr>
      <w:tblGrid>
        <w:gridCol w:w="1885"/>
        <w:gridCol w:w="2340"/>
        <w:gridCol w:w="759"/>
      </w:tblGrid>
      <w:tr w:rsidR="00090132" w:rsidRPr="00F737BA" w14:paraId="717A09CB" w14:textId="77777777" w:rsidTr="00DF5DC9">
        <w:tc>
          <w:tcPr>
            <w:tcW w:w="1885" w:type="dxa"/>
          </w:tcPr>
          <w:p w14:paraId="5F843344" w14:textId="77777777" w:rsidR="00090132" w:rsidRPr="00F737BA" w:rsidRDefault="00090132" w:rsidP="00DF5DC9">
            <w:pPr>
              <w:jc w:val="center"/>
              <w:rPr>
                <w:rFonts w:cs="Arial"/>
                <w:b/>
                <w:szCs w:val="16"/>
              </w:rPr>
            </w:pPr>
            <w:bookmarkStart w:id="43" w:name="_Hlk79652737"/>
            <w:r w:rsidRPr="00F737BA">
              <w:rPr>
                <w:rFonts w:cs="Arial"/>
                <w:b/>
                <w:szCs w:val="16"/>
              </w:rPr>
              <w:t>FFY</w:t>
            </w:r>
          </w:p>
        </w:tc>
        <w:tc>
          <w:tcPr>
            <w:tcW w:w="2340" w:type="dxa"/>
          </w:tcPr>
          <w:p w14:paraId="6DAFA94B" w14:textId="77777777" w:rsidR="00090132" w:rsidRPr="004A62FE" w:rsidRDefault="00090132" w:rsidP="00DF5DC9">
            <w:pPr>
              <w:jc w:val="center"/>
              <w:rPr>
                <w:rFonts w:cs="Arial"/>
                <w:b/>
                <w:szCs w:val="16"/>
              </w:rPr>
            </w:pPr>
            <w:r w:rsidRPr="004A62FE">
              <w:rPr>
                <w:rFonts w:cs="Arial"/>
                <w:b/>
                <w:color w:val="000000" w:themeColor="text1"/>
                <w:szCs w:val="16"/>
              </w:rPr>
              <w:t>2023</w:t>
            </w:r>
          </w:p>
        </w:tc>
        <w:tc>
          <w:tcPr>
            <w:tcW w:w="360" w:type="dxa"/>
          </w:tcPr>
          <w:p w14:paraId="06FEA12E" w14:textId="77777777" w:rsidR="00090132" w:rsidRPr="004A62FE" w:rsidRDefault="00090132" w:rsidP="00DF5DC9">
            <w:pPr>
              <w:jc w:val="center"/>
              <w:rPr>
                <w:rFonts w:cs="Arial"/>
                <w:b/>
                <w:szCs w:val="16"/>
              </w:rPr>
            </w:pPr>
            <w:r w:rsidRPr="004A62FE">
              <w:rPr>
                <w:rFonts w:cs="Arial"/>
                <w:b/>
                <w:color w:val="000000" w:themeColor="text1"/>
                <w:szCs w:val="16"/>
              </w:rPr>
              <w:t>2024</w:t>
            </w:r>
          </w:p>
        </w:tc>
      </w:tr>
      <w:tr w:rsidR="00090132" w:rsidRPr="00F737BA" w14:paraId="0E95BE74" w14:textId="77777777" w:rsidTr="00DF5DC9">
        <w:tc>
          <w:tcPr>
            <w:tcW w:w="1885" w:type="dxa"/>
          </w:tcPr>
          <w:p w14:paraId="71D6B7C4" w14:textId="77777777" w:rsidR="00090132" w:rsidRPr="00F737BA" w:rsidRDefault="00090132" w:rsidP="00DF5DC9">
            <w:pPr>
              <w:rPr>
                <w:rFonts w:cs="Arial"/>
                <w:szCs w:val="16"/>
              </w:rPr>
            </w:pPr>
            <w:r w:rsidRPr="00F737BA">
              <w:rPr>
                <w:rFonts w:cs="Arial"/>
                <w:szCs w:val="16"/>
              </w:rPr>
              <w:t xml:space="preserve">Response Rate </w:t>
            </w:r>
          </w:p>
        </w:tc>
        <w:tc>
          <w:tcPr>
            <w:tcW w:w="2340" w:type="dxa"/>
          </w:tcPr>
          <w:p w14:paraId="5554C054" w14:textId="77777777" w:rsidR="00090132" w:rsidRPr="004A62FE" w:rsidRDefault="00090132" w:rsidP="000B4405">
            <w:pPr>
              <w:jc w:val="center"/>
              <w:rPr>
                <w:rFonts w:cs="Arial"/>
                <w:szCs w:val="16"/>
              </w:rPr>
            </w:pPr>
            <w:r w:rsidRPr="004A62FE">
              <w:rPr>
                <w:rFonts w:cs="Arial"/>
                <w:iCs/>
                <w:color w:val="000000" w:themeColor="text1"/>
                <w:szCs w:val="16"/>
              </w:rPr>
              <w:t>19.47%</w:t>
            </w:r>
          </w:p>
        </w:tc>
        <w:tc>
          <w:tcPr>
            <w:tcW w:w="360" w:type="dxa"/>
          </w:tcPr>
          <w:p w14:paraId="2F634689" w14:textId="77777777" w:rsidR="00090132" w:rsidRPr="004A62FE" w:rsidRDefault="00090132" w:rsidP="000B4405">
            <w:pPr>
              <w:jc w:val="center"/>
              <w:rPr>
                <w:rFonts w:cs="Arial"/>
                <w:szCs w:val="16"/>
              </w:rPr>
            </w:pPr>
            <w:r w:rsidRPr="00090132">
              <w:rPr>
                <w:rFonts w:cs="Arial"/>
                <w:iCs/>
                <w:color w:val="000000" w:themeColor="text1"/>
                <w:szCs w:val="16"/>
              </w:rPr>
              <w:t>19.68%</w:t>
            </w:r>
          </w:p>
        </w:tc>
      </w:tr>
      <w:bookmarkEnd w:id="43"/>
    </w:tbl>
    <w:p w14:paraId="21B822F6" w14:textId="77777777" w:rsidR="00090132" w:rsidRPr="00F737BA" w:rsidRDefault="00090132" w:rsidP="00090132">
      <w:pPr>
        <w:pStyle w:val="Header"/>
        <w:tabs>
          <w:tab w:val="clear" w:pos="4320"/>
          <w:tab w:val="clear" w:pos="8640"/>
        </w:tabs>
        <w:spacing w:before="0"/>
        <w:rPr>
          <w:rFonts w:ascii="Arial" w:hAnsi="Arial" w:cs="Arial"/>
          <w:bCs/>
          <w:sz w:val="16"/>
          <w:szCs w:val="16"/>
        </w:rPr>
      </w:pPr>
    </w:p>
    <w:p w14:paraId="30220166" w14:textId="77777777" w:rsidR="00156FDD" w:rsidRPr="000B29F8" w:rsidRDefault="00156FDD" w:rsidP="00156FDD">
      <w:pPr>
        <w:rPr>
          <w:b/>
          <w:bCs/>
        </w:rPr>
      </w:pPr>
      <w:r w:rsidRPr="000B29F8">
        <w:rPr>
          <w:b/>
          <w:bCs/>
        </w:rPr>
        <w:t>Describe the metric used to determine representativeness (e.g., +/- 3% discrepancy in the proportion of responders compared to target group).</w:t>
      </w:r>
    </w:p>
    <w:p w14:paraId="239C6B37" w14:textId="77777777" w:rsidR="00156FDD" w:rsidRPr="000A2B9F" w:rsidRDefault="00156FDD" w:rsidP="00156FDD">
      <w:pPr>
        <w:pStyle w:val="Subhed"/>
        <w:rPr>
          <w:b w:val="0"/>
          <w:bCs/>
        </w:rPr>
      </w:pPr>
      <w:r w:rsidRPr="000A2B9F">
        <w:rPr>
          <w:b w:val="0"/>
          <w:bCs/>
        </w:rPr>
        <w:t>To determine representativeness, WVDE/OSE examines the absolute difference in percentage points (pp) between the demographic distribution of survey respondents and the corresponding distribution of the statewide population of students with disabilities. A discrepancy greater than +/- 3.0 pp indicates potential over- or underrepresentation.</w:t>
      </w:r>
    </w:p>
    <w:p w14:paraId="42C9E98F" w14:textId="77777777" w:rsidR="00156FDD" w:rsidRDefault="00156FDD" w:rsidP="00090132">
      <w:pPr>
        <w:rPr>
          <w:rFonts w:cs="Arial"/>
          <w:b/>
          <w:color w:val="000000" w:themeColor="text1"/>
          <w:szCs w:val="16"/>
        </w:rPr>
      </w:pPr>
    </w:p>
    <w:p w14:paraId="5711DEDA" w14:textId="77777777" w:rsidR="00156FDD" w:rsidRPr="000762B0" w:rsidRDefault="00156FDD" w:rsidP="00156FDD">
      <w:pPr>
        <w:rPr>
          <w:b/>
          <w:bCs/>
        </w:rPr>
      </w:pPr>
      <w:r w:rsidRPr="000762B0">
        <w:rPr>
          <w:b/>
          <w:bCs/>
        </w:rPr>
        <w:lastRenderedPageBreak/>
        <w:t>Include the State’s analyses of the extent to which the demographics of the children for whom parents responded are representative of the demographics of children receiving special education services. States must include race/ethnicity in their analysis. In addition, the State’s analysis must also include at least one of the following demographics: age of the student, disability category, gender, geographic location, and/or another demographic category approved through the stakeholder input process.</w:t>
      </w:r>
    </w:p>
    <w:p w14:paraId="639F2B1B" w14:textId="77777777" w:rsidR="00156FDD" w:rsidRDefault="00156FDD" w:rsidP="00156FDD">
      <w:pPr>
        <w:rPr>
          <w:b/>
          <w:bCs/>
        </w:rPr>
      </w:pPr>
      <w:r w:rsidRPr="000A2B9F">
        <w:rPr>
          <w:bCs/>
          <w:color w:val="000000" w:themeColor="text1"/>
        </w:rPr>
        <w:t>WVDE/OSE analyzed the demographic representation of children whose parents responded to the survey against the SY 2024-25 December Child Count data. The analysis included race/ethnicity, gender, disability category, and socioeconomic status (based on eligibility for free or reduced-price lunch [FRPL]).</w:t>
      </w:r>
    </w:p>
    <w:p w14:paraId="6C45A9CF" w14:textId="77777777" w:rsidR="00CA787A" w:rsidRDefault="003169E9">
      <w:r>
        <w:rPr>
          <w:color w:val="000000"/>
        </w:rPr>
        <w:t>—RACE/ETHNICITY: The respondent sample closely reflected the statewide population, with differences within 3.0 percentage points (pp) for all seven race/ethnicity categories.</w:t>
      </w:r>
    </w:p>
    <w:p w14:paraId="479065D5" w14:textId="77777777" w:rsidR="00CA787A" w:rsidRDefault="003169E9">
      <w:r>
        <w:rPr>
          <w:color w:val="000000"/>
        </w:rPr>
        <w:t>—GENDER: Representation was balanced, with males slightly overrepresented (+1.7 pp) and females slightly underrepresented (-1.7 pp), both within the 3.0 pp threshold.</w:t>
      </w:r>
    </w:p>
    <w:p w14:paraId="099F6B22" w14:textId="77777777" w:rsidR="00CA787A" w:rsidRDefault="003169E9">
      <w:r>
        <w:rPr>
          <w:color w:val="000000"/>
        </w:rPr>
        <w:t>—DISABILITY CATEGORY: Eleven of twelve categories were within the 3.0 pp threshold. “Intellectual Disability” was underrepresented by 3.1 pp, exceeding the threshold by 0.1 pp.</w:t>
      </w:r>
    </w:p>
    <w:p w14:paraId="43DDA728" w14:textId="77777777" w:rsidR="00CA787A" w:rsidRDefault="003169E9">
      <w:r>
        <w:rPr>
          <w:color w:val="000000"/>
        </w:rPr>
        <w:t xml:space="preserve">—SOCIOECONOMIC STATUS: Families eligible for FRPL were underrepresented by 11.4 pp, exceeding the threshold by 8.4 pp. </w:t>
      </w:r>
    </w:p>
    <w:p w14:paraId="29627F07" w14:textId="77777777" w:rsidR="00CA787A" w:rsidRDefault="00CA787A"/>
    <w:p w14:paraId="42AFECAF" w14:textId="77777777" w:rsidR="00CA787A" w:rsidRDefault="003169E9">
      <w:r>
        <w:rPr>
          <w:color w:val="000000"/>
        </w:rPr>
        <w:t>Compared to FFY 2023, the representativeness of several demographic categories improved in FFY 2024, while others remained stable or introduced narrow gaps.</w:t>
      </w:r>
    </w:p>
    <w:p w14:paraId="7217D7CD" w14:textId="77777777" w:rsidR="00CA787A" w:rsidRDefault="003169E9">
      <w:r>
        <w:rPr>
          <w:color w:val="000000"/>
        </w:rPr>
        <w:t xml:space="preserve">—Race/ethnicity and gender continued to be well represented in both years, with differences remaining within the +/- 3.0 pp threshold. </w:t>
      </w:r>
    </w:p>
    <w:p w14:paraId="17BED8B3" w14:textId="77777777" w:rsidR="00CA787A" w:rsidRDefault="003169E9">
      <w:r>
        <w:rPr>
          <w:color w:val="000000"/>
        </w:rPr>
        <w:t>—For disability categories, “Specific Learning Disability” moved from being underrepresented by 5.50 pp in FFY 2023 to 2.10 pp in FFY 2024, a positive change of 3.40 pp that brought it within the threshold. “Other Health Impairment” improved from an overrepresentation of 3.10 pp to 2.30 pp, reducing the gap by 0.80 pp. However, “Intellectual Disability,” which was within the threshold in FFY 2023, was underrepresented by 3.1 pp in FFY 2024.</w:t>
      </w:r>
    </w:p>
    <w:p w14:paraId="0F8BFD02" w14:textId="77777777" w:rsidR="00CA787A" w:rsidRDefault="003169E9">
      <w:r>
        <w:rPr>
          <w:color w:val="000000"/>
        </w:rPr>
        <w:t>—Socioeconomic status also showed modest improvement. Families eligible for FRPL were underrepresented by 12.7 pp in FFY 2023 and by 11.4 pp in FFY 2024, narrowing the gap by 1.3 pp but still exceeding the threshold by a substantial margin.</w:t>
      </w:r>
    </w:p>
    <w:p w14:paraId="0875EF20" w14:textId="77777777" w:rsidR="00156FDD" w:rsidRPr="00A178D0" w:rsidRDefault="00156FDD" w:rsidP="00A178D0">
      <w:pPr>
        <w:rPr>
          <w:b/>
          <w:bCs/>
        </w:rPr>
      </w:pPr>
      <w:r w:rsidRPr="00A178D0">
        <w:rPr>
          <w:b/>
          <w:bCs/>
        </w:rPr>
        <w:t>The demographics of the children for whom parents are responding are representative of the demographics of children receiving special education services. (yes/no)</w:t>
      </w:r>
    </w:p>
    <w:p w14:paraId="2F635759" w14:textId="77777777" w:rsidR="00156FDD" w:rsidRDefault="00156FDD" w:rsidP="00156FDD">
      <w:pPr>
        <w:pStyle w:val="Subhed"/>
        <w:rPr>
          <w:b w:val="0"/>
          <w:bCs/>
          <w:color w:val="000000" w:themeColor="text1"/>
        </w:rPr>
      </w:pPr>
      <w:r w:rsidRPr="000A2B9F">
        <w:rPr>
          <w:b w:val="0"/>
          <w:bCs/>
          <w:color w:val="000000" w:themeColor="text1"/>
        </w:rPr>
        <w:t>NO</w:t>
      </w:r>
    </w:p>
    <w:p w14:paraId="111AB811" w14:textId="77777777" w:rsidR="00156FDD" w:rsidRPr="00A12797" w:rsidRDefault="00156FDD" w:rsidP="00156FDD">
      <w:pPr>
        <w:rPr>
          <w:b/>
          <w:bCs/>
        </w:rPr>
      </w:pPr>
      <w:r w:rsidRPr="000762B0">
        <w:rPr>
          <w:b/>
          <w:bCs/>
        </w:rPr>
        <w:t xml:space="preserve">If </w:t>
      </w:r>
      <w:proofErr w:type="gramStart"/>
      <w:r w:rsidRPr="000762B0">
        <w:rPr>
          <w:b/>
          <w:bCs/>
        </w:rPr>
        <w:t>no</w:t>
      </w:r>
      <w:proofErr w:type="gramEnd"/>
      <w:r w:rsidRPr="000762B0">
        <w:rPr>
          <w:b/>
          <w:bCs/>
        </w:rPr>
        <w:t>, describe the strategies that the State will use to ensure that in the future the response data are representative of those demographics.</w:t>
      </w:r>
    </w:p>
    <w:p w14:paraId="491429A2" w14:textId="77777777" w:rsidR="00156FDD" w:rsidRPr="000A2B9F" w:rsidRDefault="00156FDD" w:rsidP="00156FDD">
      <w:pPr>
        <w:pStyle w:val="Subhed"/>
        <w:rPr>
          <w:b w:val="0"/>
          <w:bCs/>
        </w:rPr>
      </w:pPr>
      <w:r w:rsidRPr="000A2B9F">
        <w:rPr>
          <w:b w:val="0"/>
          <w:bCs/>
          <w:color w:val="000000" w:themeColor="text1"/>
        </w:rPr>
        <w:t>—WVDE/OSE will continue implementing strategies designed to increase overall response rates while focusing on groups that have historically been underrepresented. Although “Intellectual Disability” was slightly underrepresented, the difference was minimal and near the representativeness threshold. The more significant gap continues to be among families eligible for free or reduced-price lunch (FRPL), indicating a need for targeted outreach to these households.</w:t>
      </w:r>
    </w:p>
    <w:p w14:paraId="258E144E" w14:textId="77777777" w:rsidR="00CA787A" w:rsidRDefault="003169E9">
      <w:pPr>
        <w:pStyle w:val="Subhed"/>
      </w:pPr>
      <w:r>
        <w:rPr>
          <w:b w:val="0"/>
          <w:color w:val="000000"/>
        </w:rPr>
        <w:t>—To address this, WVDE/OSE will strengthen outreach efforts by leveraging multiple communication channels that are accessible and convenient for families. These include text message reminders, automated phone calls, and social media campaigns. WVDE/OSE will also encourage LEAs to verify and update parent contact information prior to the survey window to ensure accurate delivery of electronic reminders.</w:t>
      </w:r>
    </w:p>
    <w:p w14:paraId="56ADAFC1" w14:textId="77777777" w:rsidR="00CA787A" w:rsidRDefault="003169E9">
      <w:pPr>
        <w:pStyle w:val="Subhed"/>
      </w:pPr>
      <w:r>
        <w:rPr>
          <w:b w:val="0"/>
          <w:color w:val="000000"/>
        </w:rPr>
        <w:t>—Additionally, WVDE/OSE will collaborate with family engagement coordinators and local parent leaders to promote survey participation during opportunities such as IEP meetings, transition conferences, and family events. LEAs will be provided with ready-to-use promotional materials and QR codes for quick mobile access to the survey. For families who may face barriers to completing the survey online, WVDE/OSE will maintain paper options and explore alternatives such as brief phone-based completion.</w:t>
      </w:r>
    </w:p>
    <w:p w14:paraId="603C5A86" w14:textId="77777777" w:rsidR="00156FDD" w:rsidRDefault="00156FDD" w:rsidP="00090132">
      <w:pPr>
        <w:rPr>
          <w:rFonts w:cs="Arial"/>
          <w:b/>
          <w:color w:val="000000" w:themeColor="text1"/>
          <w:szCs w:val="16"/>
        </w:rPr>
      </w:pPr>
    </w:p>
    <w:p w14:paraId="0669B79A" w14:textId="77777777" w:rsidR="00090132" w:rsidRPr="0061205F" w:rsidRDefault="00090132" w:rsidP="00090132">
      <w:pPr>
        <w:rPr>
          <w:rFonts w:cs="Arial"/>
          <w:b/>
          <w:color w:val="000000" w:themeColor="text1"/>
          <w:szCs w:val="16"/>
        </w:rPr>
      </w:pPr>
      <w:r w:rsidRPr="0061205F">
        <w:rPr>
          <w:rFonts w:cs="Arial"/>
          <w:b/>
          <w:color w:val="000000" w:themeColor="text1"/>
          <w:szCs w:val="16"/>
        </w:rPr>
        <w:t xml:space="preserve">Describe strategies that will be implemented which are expected to increase the response rate year </w:t>
      </w:r>
      <w:proofErr w:type="gramStart"/>
      <w:r w:rsidRPr="0061205F">
        <w:rPr>
          <w:rFonts w:cs="Arial"/>
          <w:b/>
          <w:color w:val="000000" w:themeColor="text1"/>
          <w:szCs w:val="16"/>
        </w:rPr>
        <w:t>over</w:t>
      </w:r>
      <w:proofErr w:type="gramEnd"/>
      <w:r w:rsidRPr="0061205F">
        <w:rPr>
          <w:rFonts w:cs="Arial"/>
          <w:b/>
          <w:color w:val="000000" w:themeColor="text1"/>
          <w:szCs w:val="16"/>
        </w:rPr>
        <w:t xml:space="preserve"> year, particularly for those groups that are underrepresented.</w:t>
      </w:r>
    </w:p>
    <w:p w14:paraId="20B53828" w14:textId="77777777" w:rsidR="00090132" w:rsidRPr="000A2B9F" w:rsidRDefault="00090132" w:rsidP="00090132">
      <w:pPr>
        <w:rPr>
          <w:rFonts w:cs="Arial"/>
          <w:bCs/>
          <w:color w:val="000000" w:themeColor="text1"/>
          <w:szCs w:val="16"/>
        </w:rPr>
      </w:pPr>
      <w:r w:rsidRPr="0061205F">
        <w:rPr>
          <w:rFonts w:cs="Arial"/>
          <w:bCs/>
          <w:color w:val="000000" w:themeColor="text1"/>
          <w:szCs w:val="16"/>
        </w:rPr>
        <w:t>WVDE/OSE will continue using multiple methods to increase overall response rates while prioritizing outreach to underrepresented groups, particularly families eligible for free or reduced-price lunch (FRPL). Based on the most recent administration, where 70.66% of surveys were completed online and 29.34% on paper, WVDE/OSE will refine its approach to emphasize digital access while maintaining paper options for families who prefer or require them.</w:t>
      </w:r>
    </w:p>
    <w:p w14:paraId="63382C9F" w14:textId="77777777" w:rsidR="00CA787A" w:rsidRDefault="00CA787A"/>
    <w:p w14:paraId="7D14C4A5" w14:textId="77777777" w:rsidR="00CA787A" w:rsidRDefault="003169E9">
      <w:r>
        <w:rPr>
          <w:color w:val="000000"/>
        </w:rPr>
        <w:t>–ENHANCED ONLINE STRATEGY: Given the strong preference for online completion, WVDE/OSE will expand digital outreach by sending email invitations with direct survey links and QR codes, and by leveraging text message reminders and LEA apps when possible. LEAs will be encouraged to verify and update parent email and mobile contact information before the survey window opens to ensure accurate delivery.</w:t>
      </w:r>
    </w:p>
    <w:p w14:paraId="20C8FBEF" w14:textId="77777777" w:rsidR="00CA787A" w:rsidRDefault="00CA787A"/>
    <w:p w14:paraId="5975BB64" w14:textId="77777777" w:rsidR="00CA787A" w:rsidRDefault="003169E9">
      <w:r>
        <w:rPr>
          <w:color w:val="000000"/>
        </w:rPr>
        <w:t>–PAPER SURVEY AVAILABILITY: Paper surveys will remain available for families with limited internet access or those who prefer this format. WVDE/OSE will continue mailing surveys with prepaid return envelopes and QR codes for easy transition to online completion.</w:t>
      </w:r>
    </w:p>
    <w:p w14:paraId="14A2D4AE" w14:textId="77777777" w:rsidR="00CA787A" w:rsidRDefault="00CA787A"/>
    <w:p w14:paraId="45C5D986" w14:textId="77777777" w:rsidR="00CA787A" w:rsidRDefault="003169E9">
      <w:r>
        <w:rPr>
          <w:color w:val="000000"/>
        </w:rPr>
        <w:t>–TARGETED OUTREACH: To address the underrepresentation of FRPL-eligible families (-11.4 percentage points), WVDE/OSE will implement additional strategies:</w:t>
      </w:r>
    </w:p>
    <w:p w14:paraId="5236BA01" w14:textId="77777777" w:rsidR="00CA787A" w:rsidRDefault="003169E9">
      <w:r>
        <w:rPr>
          <w:color w:val="000000"/>
        </w:rPr>
        <w:t>— Promote survey participation at IEP meetings, transition conferences, and family engagement events.</w:t>
      </w:r>
    </w:p>
    <w:p w14:paraId="188A876A" w14:textId="77777777" w:rsidR="00CA787A" w:rsidRDefault="003169E9">
      <w:r>
        <w:rPr>
          <w:color w:val="000000"/>
        </w:rPr>
        <w:t>— Provide LEAs with ready-to-use outreach materials (e.g., flyers, social media posts, text templates) and encourage distribution in high-traffic community locations.</w:t>
      </w:r>
    </w:p>
    <w:p w14:paraId="1579B930" w14:textId="77777777" w:rsidR="00CA787A" w:rsidRDefault="003169E9">
      <w:r>
        <w:rPr>
          <w:color w:val="000000"/>
        </w:rPr>
        <w:t>— Explore flexible completion options such as phone-based surveys for families who cannot access online or paper formats easily.</w:t>
      </w:r>
    </w:p>
    <w:p w14:paraId="79C22B71" w14:textId="77777777" w:rsidR="00CA787A" w:rsidRDefault="00CA787A"/>
    <w:p w14:paraId="2909996B" w14:textId="77777777" w:rsidR="00CA787A" w:rsidRDefault="003169E9">
      <w:r>
        <w:rPr>
          <w:color w:val="000000"/>
        </w:rPr>
        <w:t>–REAL-TIME MONITORING: WVDE/OSE will monitor subgroup response rates during the administration window and share mid-cycle updates with LEAs. This will allow targeted outreach to underrepresented groups before the survey closes.</w:t>
      </w:r>
    </w:p>
    <w:p w14:paraId="704F7203" w14:textId="77777777" w:rsidR="00090132" w:rsidRDefault="00090132" w:rsidP="00090132">
      <w:pPr>
        <w:rPr>
          <w:rFonts w:cs="Arial"/>
          <w:b/>
          <w:color w:val="000000" w:themeColor="text1"/>
          <w:szCs w:val="16"/>
        </w:rPr>
      </w:pPr>
      <w:r w:rsidRPr="0061205F">
        <w:rPr>
          <w:rFonts w:cs="Arial"/>
          <w:b/>
          <w:color w:val="000000" w:themeColor="text1"/>
          <w:szCs w:val="16"/>
        </w:rPr>
        <w:t xml:space="preserve">Describe the analysis </w:t>
      </w:r>
      <w:bookmarkStart w:id="44" w:name="_Hlk81486999"/>
      <w:r w:rsidRPr="0061205F">
        <w:rPr>
          <w:rFonts w:cs="Arial"/>
          <w:b/>
          <w:color w:val="000000" w:themeColor="text1"/>
          <w:szCs w:val="16"/>
        </w:rPr>
        <w:t>of the response rate including any nonresponse bias that was identified,</w:t>
      </w:r>
      <w:bookmarkEnd w:id="44"/>
      <w:r w:rsidRPr="0061205F">
        <w:rPr>
          <w:rFonts w:cs="Arial"/>
          <w:b/>
          <w:color w:val="000000" w:themeColor="text1"/>
          <w:szCs w:val="16"/>
        </w:rPr>
        <w:t xml:space="preserve"> and the steps taken to reduce any identified bias and promote response from a broad cross section of </w:t>
      </w:r>
      <w:r w:rsidR="009B0EF0" w:rsidRPr="007A62B9">
        <w:rPr>
          <w:rFonts w:cs="Arial"/>
          <w:b/>
          <w:szCs w:val="16"/>
        </w:rPr>
        <w:t>parents of children with disabilities</w:t>
      </w:r>
      <w:r w:rsidRPr="0061205F">
        <w:rPr>
          <w:rFonts w:cs="Arial"/>
          <w:b/>
          <w:color w:val="000000" w:themeColor="text1"/>
          <w:szCs w:val="16"/>
        </w:rPr>
        <w:t>.</w:t>
      </w:r>
    </w:p>
    <w:p w14:paraId="32D5DC9E" w14:textId="77777777" w:rsidR="00090132" w:rsidRPr="000A2B9F" w:rsidRDefault="00090132" w:rsidP="00090132">
      <w:pPr>
        <w:rPr>
          <w:rFonts w:cs="Arial"/>
          <w:b/>
          <w:color w:val="000000" w:themeColor="text1"/>
          <w:szCs w:val="16"/>
        </w:rPr>
      </w:pPr>
      <w:r>
        <w:rPr>
          <w:rFonts w:cs="Arial"/>
          <w:szCs w:val="16"/>
        </w:rPr>
        <w:t>*RESPONSE RATE*</w:t>
      </w:r>
    </w:p>
    <w:p w14:paraId="517D793B" w14:textId="77777777" w:rsidR="00CA787A" w:rsidRDefault="003169E9">
      <w:r>
        <w:t xml:space="preserve">During the FFY 2024 administration cycle, WVDE/OSE distributed 16,048 surveys to parents of children receiving special education services across twenty traditional LEAs and five public charter school LEAs. At a 95% confidence level and a 3% margin of error, the minimum sample size required for </w:t>
      </w:r>
      <w:r>
        <w:lastRenderedPageBreak/>
        <w:t>a population of 16,048 is 1,001 respondents, which is equivalent to a response rate of about 6.24%. A total of 3,159 surveys were returned, resulting in a response rate of 19.68% (preschool parents response rate = 23.93%; school-age parents response rate = 19.31%). Although this is a 0.21 percentage point (pp) improvement over the FFY 2023 response rate, it represents a decline of 3.03 pp compared to the previous administration of these same LEAs in FFY 2021 (22.71%). Compared to prior years, the overall response rate has decreased despite robust follow-up efforts, including multiple email reminders, postcard mailings, and LEA-level outreach. The majority of surveys (70.66%) were completed online, while 29.34% were returned in paper format.</w:t>
      </w:r>
    </w:p>
    <w:p w14:paraId="55A0B27C" w14:textId="77777777" w:rsidR="00CA787A" w:rsidRDefault="00CA787A"/>
    <w:p w14:paraId="10EC2806" w14:textId="77777777" w:rsidR="00CA787A" w:rsidRDefault="003169E9">
      <w:r>
        <w:t>Five public charter school LEAs were included in the current administration cycle, even though they were not in operation during the prior cycle in FFY 2021. WVDE/OSE needed to incorporate public charter school LEAs into Indicator 8 reporting as these LEAs are now part of the state’s public education system. Further, adding these charter schools to this specific cohort helped maintain the demographic balance across the three cohorts of LEAs that are surveyed on a three-year cycle. This approach ensured that, despite the addition of new LEAs, the overall composition of each cohort remained representative of the statewide population of students with disabilities.</w:t>
      </w:r>
    </w:p>
    <w:p w14:paraId="4EC83403" w14:textId="77777777" w:rsidR="00CA787A" w:rsidRDefault="00CA787A"/>
    <w:p w14:paraId="71803C04" w14:textId="77777777" w:rsidR="00CA787A" w:rsidRDefault="003169E9">
      <w:r>
        <w:t>*NONRESPONSE BIAS ANALYSIS*</w:t>
      </w:r>
    </w:p>
    <w:p w14:paraId="5F8B58FE" w14:textId="77777777" w:rsidR="00CA787A" w:rsidRDefault="003169E9">
      <w:r>
        <w:t>WVDE/OSE examined the representativeness of the respondent group against the SY 2024-25 December Child Count data across race/ethnicity, gender, disability category, and socioeconomic status.</w:t>
      </w:r>
    </w:p>
    <w:p w14:paraId="7FE1E5B5" w14:textId="77777777" w:rsidR="00CA787A" w:rsidRDefault="003169E9">
      <w:r>
        <w:t>—RACE/ETHNICITY &amp; GENDER: The sample was representative, with differences within +/- 3.0 pp.</w:t>
      </w:r>
    </w:p>
    <w:p w14:paraId="18363E01" w14:textId="77777777" w:rsidR="00CA787A" w:rsidRDefault="003169E9">
      <w:r>
        <w:t>—DISABILITY CATEGORY: Eleven of twelve categories were within the threshold; however, “Intellectual Disability” was underrepresented by 3.1 pp.</w:t>
      </w:r>
    </w:p>
    <w:p w14:paraId="73F5598B" w14:textId="77777777" w:rsidR="00CA787A" w:rsidRDefault="003169E9">
      <w:r>
        <w:t>—SOCIOECONOMIC STATUS (SES): Families eligible for free or reduced-price lunch were underrepresented by 11.4 pp, indicating a significant gap.</w:t>
      </w:r>
    </w:p>
    <w:p w14:paraId="267917A5" w14:textId="77777777" w:rsidR="00CA787A" w:rsidRDefault="003169E9">
      <w:r>
        <w:t>To address potential nonresponse bias, WVDE/OSE applied post-stratification weighting using SY 2024-25 December Child Count control totals for disability category and SES. After adjusting Indicator 8 results by disability category, the estimate changed only slightly from 33.8% to 34.2%, indicating the adjustment had minimal impact. Similarly, adjusting for SES shifted the estimate from 33.8% to 34.0%, again showing little effect. These findings suggest that although some subgroups were underrepresented, the overall results remain stable.</w:t>
      </w:r>
    </w:p>
    <w:p w14:paraId="0E8CC905" w14:textId="77777777" w:rsidR="00CA787A" w:rsidRDefault="00CA787A"/>
    <w:p w14:paraId="4A088182" w14:textId="77777777" w:rsidR="00CA787A" w:rsidRDefault="003169E9">
      <w:r>
        <w:t>*PROMOTING RESPONSE*</w:t>
      </w:r>
    </w:p>
    <w:p w14:paraId="435D3703" w14:textId="77777777" w:rsidR="00CA787A" w:rsidRDefault="003169E9">
      <w:r>
        <w:t>WVDE/OSE implemented multiple strategies to encourage participation and reduce nonresponse bias:</w:t>
      </w:r>
    </w:p>
    <w:p w14:paraId="6A143F4F" w14:textId="77777777" w:rsidR="00CA787A" w:rsidRDefault="003169E9">
      <w:r>
        <w:t xml:space="preserve">—MULTI-MODAL SURVEY ACCESS: Parents could complete the survey online, by paper, or via email link. QR codes were included </w:t>
      </w:r>
      <w:proofErr w:type="gramStart"/>
      <w:r>
        <w:t>on</w:t>
      </w:r>
      <w:proofErr w:type="gramEnd"/>
      <w:r>
        <w:t xml:space="preserve"> paper surveys for easy digital access.</w:t>
      </w:r>
    </w:p>
    <w:p w14:paraId="25CDB602" w14:textId="77777777" w:rsidR="00CA787A" w:rsidRDefault="003169E9">
      <w:r>
        <w:t>—REMINDER CAMPAIGNS: Postcard reminders were mailed in July, and email reminders were sent in June, July, August, and September.</w:t>
      </w:r>
    </w:p>
    <w:p w14:paraId="5FCC2B50" w14:textId="77777777" w:rsidR="00CA787A" w:rsidRDefault="003169E9">
      <w:r>
        <w:t>—LEA-LEVEL ENGAGEMENT: WVDE/OSE provided LEAs with promotional materials and encouraged LEA special education directors to promote the survey through newsletters, social media, and school events.</w:t>
      </w:r>
    </w:p>
    <w:p w14:paraId="36A68BEE" w14:textId="77777777" w:rsidR="00CA787A" w:rsidRDefault="003169E9">
      <w:r>
        <w:t>—TECHNICAL ASSISTANCE: WVDE/OSE monitored response rates during the administration window and provided LEAs with updates and strategies to boost participation before the close of the survey.</w:t>
      </w:r>
    </w:p>
    <w:p w14:paraId="2E530A92" w14:textId="77777777" w:rsidR="00CA787A" w:rsidRDefault="003169E9">
      <w:r>
        <w:t>WVDE plans to implement additional measures, including potentially earlier survey launch dates and expanded digital communication to improve response rates and ensure representativeness.</w:t>
      </w:r>
    </w:p>
    <w:p w14:paraId="42C9461A" w14:textId="77777777" w:rsidR="001F448F" w:rsidRDefault="001F448F" w:rsidP="00A12797">
      <w:pPr>
        <w:rPr>
          <w:b/>
          <w:bCs/>
        </w:rPr>
      </w:pPr>
    </w:p>
    <w:tbl>
      <w:tblPr>
        <w:tblStyle w:val="TableGrid"/>
        <w:tblW w:w="0" w:type="auto"/>
        <w:tblLayout w:type="fixed"/>
        <w:tblLook w:val="04A0" w:firstRow="1" w:lastRow="0" w:firstColumn="1" w:lastColumn="0" w:noHBand="0" w:noVBand="1"/>
        <w:tblCaption w:val="B08SAMPLEUSED"/>
      </w:tblPr>
      <w:tblGrid>
        <w:gridCol w:w="8550"/>
        <w:gridCol w:w="2245"/>
      </w:tblGrid>
      <w:tr w:rsidR="005C29F8" w:rsidRPr="00781112" w14:paraId="237F965B" w14:textId="77777777" w:rsidTr="002B4D97">
        <w:trPr>
          <w:tblHeader/>
        </w:trPr>
        <w:tc>
          <w:tcPr>
            <w:tcW w:w="8550" w:type="dxa"/>
          </w:tcPr>
          <w:p w14:paraId="3E931CBA" w14:textId="77777777" w:rsidR="00564D95" w:rsidRPr="00781112" w:rsidRDefault="00E91363" w:rsidP="00B6413B">
            <w:pPr>
              <w:rPr>
                <w:rFonts w:cs="Arial"/>
                <w:b/>
                <w:bCs/>
                <w:color w:val="000000" w:themeColor="text1"/>
                <w:szCs w:val="16"/>
              </w:rPr>
            </w:pPr>
            <w:r w:rsidRPr="00781112">
              <w:rPr>
                <w:rFonts w:cs="Arial"/>
                <w:b/>
                <w:bCs/>
                <w:color w:val="000000" w:themeColor="text1"/>
                <w:szCs w:val="16"/>
              </w:rPr>
              <w:t>Sampling Question</w:t>
            </w:r>
          </w:p>
        </w:tc>
        <w:tc>
          <w:tcPr>
            <w:tcW w:w="2245" w:type="dxa"/>
          </w:tcPr>
          <w:p w14:paraId="2CC1D7C6" w14:textId="77777777" w:rsidR="00564D95" w:rsidRPr="00781112" w:rsidRDefault="00564D95"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3134BB6A" w14:textId="77777777" w:rsidTr="002B4D97">
        <w:tc>
          <w:tcPr>
            <w:tcW w:w="8550" w:type="dxa"/>
          </w:tcPr>
          <w:p w14:paraId="70B7E936" w14:textId="77777777" w:rsidR="00564D95" w:rsidRPr="00781112" w:rsidRDefault="00564D95" w:rsidP="00B6413B">
            <w:pPr>
              <w:rPr>
                <w:rFonts w:cs="Arial"/>
                <w:color w:val="000000" w:themeColor="text1"/>
                <w:szCs w:val="16"/>
              </w:rPr>
            </w:pPr>
            <w:r w:rsidRPr="00781112">
              <w:rPr>
                <w:rFonts w:cs="Arial"/>
                <w:color w:val="000000" w:themeColor="text1"/>
                <w:szCs w:val="16"/>
              </w:rPr>
              <w:t xml:space="preserve">Was sampling used? </w:t>
            </w:r>
          </w:p>
        </w:tc>
        <w:tc>
          <w:tcPr>
            <w:tcW w:w="2245" w:type="dxa"/>
          </w:tcPr>
          <w:p w14:paraId="5A7AB9BF" w14:textId="77777777" w:rsidR="00564D95"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0A97166C" w14:textId="77777777" w:rsidTr="002B4D97">
        <w:tc>
          <w:tcPr>
            <w:tcW w:w="8550" w:type="dxa"/>
          </w:tcPr>
          <w:p w14:paraId="4F06A1FB" w14:textId="77777777" w:rsidR="00564D95" w:rsidRPr="00781112" w:rsidRDefault="00EF1C23" w:rsidP="00B6413B">
            <w:pPr>
              <w:rPr>
                <w:rFonts w:cs="Arial"/>
                <w:color w:val="000000" w:themeColor="text1"/>
                <w:szCs w:val="16"/>
              </w:rPr>
            </w:pPr>
            <w:r w:rsidRPr="00781112">
              <w:rPr>
                <w:rFonts w:cs="Arial"/>
                <w:color w:val="000000" w:themeColor="text1"/>
                <w:szCs w:val="16"/>
              </w:rPr>
              <w:t>If yes, has your previously approved sampling plan changed?</w:t>
            </w:r>
          </w:p>
        </w:tc>
        <w:tc>
          <w:tcPr>
            <w:tcW w:w="2245" w:type="dxa"/>
          </w:tcPr>
          <w:p w14:paraId="4C80F72B" w14:textId="77777777" w:rsidR="00564D95"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21ED4719" w14:textId="77777777" w:rsidTr="002B4D97">
        <w:tc>
          <w:tcPr>
            <w:tcW w:w="8550" w:type="dxa"/>
          </w:tcPr>
          <w:p w14:paraId="6143F2FE" w14:textId="77777777" w:rsidR="00212954" w:rsidRPr="00781112" w:rsidRDefault="00EF1C23" w:rsidP="00B6413B">
            <w:pPr>
              <w:rPr>
                <w:rFonts w:cs="Arial"/>
                <w:color w:val="000000" w:themeColor="text1"/>
                <w:szCs w:val="16"/>
              </w:rPr>
            </w:pPr>
            <w:r w:rsidRPr="00781112">
              <w:rPr>
                <w:rFonts w:cs="Arial"/>
                <w:color w:val="000000" w:themeColor="text1"/>
                <w:szCs w:val="16"/>
              </w:rPr>
              <w:t>If yes, provide sampling plan [upload the sampling plan as an attachment].</w:t>
            </w:r>
          </w:p>
        </w:tc>
        <w:tc>
          <w:tcPr>
            <w:tcW w:w="2245" w:type="dxa"/>
          </w:tcPr>
          <w:p w14:paraId="06CDD83D" w14:textId="77777777" w:rsidR="00212954" w:rsidRPr="00781112" w:rsidRDefault="002B7490">
            <w:pPr>
              <w:jc w:val="center"/>
              <w:rPr>
                <w:rFonts w:cs="Arial"/>
                <w:color w:val="000000" w:themeColor="text1"/>
                <w:szCs w:val="16"/>
              </w:rPr>
            </w:pPr>
            <w:r w:rsidRPr="00781112">
              <w:rPr>
                <w:rFonts w:cs="Arial"/>
                <w:color w:val="000000" w:themeColor="text1"/>
                <w:szCs w:val="16"/>
              </w:rPr>
              <w:t>FFY2024_SPP-APR_B8-Sampling-Plan</w:t>
            </w:r>
          </w:p>
        </w:tc>
      </w:tr>
    </w:tbl>
    <w:p w14:paraId="26CD40A2" w14:textId="77777777" w:rsidR="009B37A2" w:rsidRPr="00781112" w:rsidRDefault="009B37A2" w:rsidP="00B6413B">
      <w:pPr>
        <w:rPr>
          <w:rFonts w:cs="Arial"/>
          <w:b/>
          <w:color w:val="000000" w:themeColor="text1"/>
          <w:szCs w:val="16"/>
        </w:rPr>
      </w:pPr>
      <w:r w:rsidRPr="00781112">
        <w:rPr>
          <w:rFonts w:cs="Arial"/>
          <w:b/>
          <w:color w:val="000000" w:themeColor="text1"/>
          <w:szCs w:val="16"/>
        </w:rPr>
        <w:t>Describe the sampling methodology outlining how the design will yield valid and reliable estimates.</w:t>
      </w:r>
    </w:p>
    <w:p w14:paraId="2B354352" w14:textId="77777777" w:rsidR="009B37A2" w:rsidRPr="00781112" w:rsidRDefault="002B7490" w:rsidP="00B6413B">
      <w:pPr>
        <w:rPr>
          <w:rFonts w:cs="Arial"/>
          <w:color w:val="000000" w:themeColor="text1"/>
          <w:szCs w:val="16"/>
        </w:rPr>
      </w:pPr>
      <w:r w:rsidRPr="00781112">
        <w:rPr>
          <w:rFonts w:cs="Arial"/>
          <w:color w:val="000000" w:themeColor="text1"/>
          <w:szCs w:val="16"/>
        </w:rPr>
        <w:t>*OVERVIEW FOR PARENTS &amp; STAKEHOLDERS*</w:t>
      </w:r>
    </w:p>
    <w:p w14:paraId="35646AAB" w14:textId="77777777" w:rsidR="00CA787A" w:rsidRDefault="003169E9">
      <w:r>
        <w:rPr>
          <w:color w:val="000000"/>
        </w:rPr>
        <w:t>WVDE/OSE’s approach involves attempting to survey all parents within student groups designed to represent West Virginia families across backgrounds like race/ethnicity, income, age, disability category, and program level. WVDE/OSE added six public charter school LEAs to the plan and included five this cycle to keep the groups balanced over three years. Surveying everyone in each group and comparing results to statewide enrollment numbers helps to reduce chance errors. Follow-up reminders and math-based adjustments ensure responses reflect the full picture, helping improve special education parent involvement statewide.</w:t>
      </w:r>
    </w:p>
    <w:p w14:paraId="685CFFB4" w14:textId="77777777" w:rsidR="00CA787A" w:rsidRDefault="00CA787A"/>
    <w:p w14:paraId="52CA9792" w14:textId="77777777" w:rsidR="00CA787A" w:rsidRDefault="003169E9">
      <w:r>
        <w:rPr>
          <w:color w:val="000000"/>
        </w:rPr>
        <w:t>*SAMPLING DESIGN*</w:t>
      </w:r>
    </w:p>
    <w:p w14:paraId="4125AD8E" w14:textId="77777777" w:rsidR="00CA787A" w:rsidRDefault="003169E9">
      <w:r>
        <w:rPr>
          <w:color w:val="000000"/>
        </w:rPr>
        <w:t>The design uses a census approach within constructed cohorts, meaning all parents of students in each cohort are surveyed rather than sampled. Cohorts were purposively assembled to approximate the statewide distribution of race/ethnicity, socioeconomic status, age, disability category, and programmatic level to minimize coverage error and support external validity. Six public charter school LEAs were added to this plan as they are now part of the state’s education system. Five public charter school LEAs were included in the current cycle to preserve demographic balance across the three cohorts surveyed on a three-year cycle. Because the entire eligible population within each cohort is included, sampling variance is minimized, and representativeness is assessed through post hoc comparison to statewide control totals (e.g., enrollment by race/ethnicity, disability category, and programmatic level) to support valid and reliable statewide estimates. Nonresponse is addressed through follow-up contact attempts and nonresponse-adjusted weights calibrated to statewide control totals to mitigate potential nonresponse bias in the resulting estimates.</w:t>
      </w:r>
    </w:p>
    <w:p w14:paraId="5D80018B" w14:textId="77777777" w:rsidR="00AF550B" w:rsidRPr="00781112" w:rsidRDefault="00AF550B" w:rsidP="00AF550B">
      <w:pPr>
        <w:rPr>
          <w:rFonts w:cs="Arial"/>
          <w:color w:val="000000" w:themeColor="text1"/>
          <w:szCs w:val="16"/>
        </w:rPr>
      </w:pPr>
    </w:p>
    <w:tbl>
      <w:tblPr>
        <w:tblStyle w:val="TableGrid"/>
        <w:tblW w:w="10800" w:type="dxa"/>
        <w:tblLayout w:type="fixed"/>
        <w:tblLook w:val="04A0" w:firstRow="1" w:lastRow="0" w:firstColumn="1" w:lastColumn="0" w:noHBand="0" w:noVBand="1"/>
        <w:tblCaption w:val="B08SURVEYUSED"/>
      </w:tblPr>
      <w:tblGrid>
        <w:gridCol w:w="8550"/>
        <w:gridCol w:w="2250"/>
      </w:tblGrid>
      <w:tr w:rsidR="005C29F8" w:rsidRPr="00781112" w14:paraId="627B0AFD" w14:textId="77777777" w:rsidTr="0033429D">
        <w:trPr>
          <w:tblHeader/>
        </w:trPr>
        <w:tc>
          <w:tcPr>
            <w:tcW w:w="8550" w:type="dxa"/>
          </w:tcPr>
          <w:p w14:paraId="12C80CFD" w14:textId="77777777" w:rsidR="00B5350E" w:rsidRPr="00781112" w:rsidRDefault="00BC5CA0" w:rsidP="00B6413B">
            <w:pPr>
              <w:rPr>
                <w:rFonts w:cs="Arial"/>
                <w:b/>
                <w:bCs/>
                <w:color w:val="000000" w:themeColor="text1"/>
                <w:szCs w:val="16"/>
              </w:rPr>
            </w:pPr>
            <w:r w:rsidRPr="00781112">
              <w:rPr>
                <w:rFonts w:cs="Arial"/>
                <w:b/>
                <w:bCs/>
                <w:color w:val="000000" w:themeColor="text1"/>
                <w:szCs w:val="16"/>
              </w:rPr>
              <w:t>Survey Question</w:t>
            </w:r>
          </w:p>
        </w:tc>
        <w:tc>
          <w:tcPr>
            <w:tcW w:w="2250" w:type="dxa"/>
          </w:tcPr>
          <w:p w14:paraId="1FA6F112" w14:textId="77777777" w:rsidR="00B5350E" w:rsidRPr="00781112" w:rsidRDefault="00B5350E"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6C1F5B90" w14:textId="77777777" w:rsidTr="00E0321D">
        <w:tc>
          <w:tcPr>
            <w:tcW w:w="8550" w:type="dxa"/>
          </w:tcPr>
          <w:p w14:paraId="256188BE" w14:textId="77777777" w:rsidR="00B5350E" w:rsidRPr="00781112" w:rsidRDefault="00B5350E" w:rsidP="00B6413B">
            <w:pPr>
              <w:rPr>
                <w:rFonts w:cs="Arial"/>
                <w:color w:val="000000" w:themeColor="text1"/>
                <w:szCs w:val="16"/>
              </w:rPr>
            </w:pPr>
            <w:r w:rsidRPr="00781112">
              <w:rPr>
                <w:rFonts w:cs="Arial"/>
                <w:color w:val="000000" w:themeColor="text1"/>
                <w:szCs w:val="16"/>
              </w:rPr>
              <w:t xml:space="preserve">Was a survey used? </w:t>
            </w:r>
          </w:p>
        </w:tc>
        <w:tc>
          <w:tcPr>
            <w:tcW w:w="2250" w:type="dxa"/>
          </w:tcPr>
          <w:p w14:paraId="29C7AC07" w14:textId="77777777" w:rsidR="00B5350E"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7A4F14EE" w14:textId="77777777" w:rsidTr="00E0321D">
        <w:tc>
          <w:tcPr>
            <w:tcW w:w="8550" w:type="dxa"/>
          </w:tcPr>
          <w:p w14:paraId="0A08870C" w14:textId="77777777" w:rsidR="00B5350E" w:rsidRPr="00781112" w:rsidRDefault="0020552B" w:rsidP="00B6413B">
            <w:pPr>
              <w:rPr>
                <w:rFonts w:cs="Arial"/>
                <w:color w:val="000000" w:themeColor="text1"/>
                <w:szCs w:val="16"/>
              </w:rPr>
            </w:pPr>
            <w:r w:rsidRPr="00781112">
              <w:rPr>
                <w:rFonts w:cs="Arial"/>
                <w:color w:val="000000" w:themeColor="text1"/>
                <w:szCs w:val="16"/>
              </w:rPr>
              <w:t>If yes, is it a new or revised survey?</w:t>
            </w:r>
          </w:p>
        </w:tc>
        <w:tc>
          <w:tcPr>
            <w:tcW w:w="2250" w:type="dxa"/>
          </w:tcPr>
          <w:p w14:paraId="043181D9" w14:textId="77777777" w:rsidR="00B5350E" w:rsidRPr="00781112" w:rsidRDefault="002B7490" w:rsidP="00A018D4">
            <w:pPr>
              <w:jc w:val="center"/>
              <w:rPr>
                <w:rFonts w:cs="Arial"/>
                <w:color w:val="000000" w:themeColor="text1"/>
                <w:szCs w:val="16"/>
              </w:rPr>
            </w:pPr>
            <w:r w:rsidRPr="00781112">
              <w:rPr>
                <w:rFonts w:cs="Arial"/>
                <w:color w:val="000000" w:themeColor="text1"/>
                <w:szCs w:val="16"/>
              </w:rPr>
              <w:t>NO</w:t>
            </w:r>
          </w:p>
        </w:tc>
      </w:tr>
      <w:tr w:rsidR="005C29F8" w:rsidRPr="00781112" w14:paraId="3600AD00" w14:textId="77777777" w:rsidTr="00E0321D">
        <w:tc>
          <w:tcPr>
            <w:tcW w:w="8550" w:type="dxa"/>
          </w:tcPr>
          <w:p w14:paraId="46E2EA05" w14:textId="77777777" w:rsidR="00371D57" w:rsidRPr="00781112" w:rsidRDefault="00BB56EB" w:rsidP="00B6413B">
            <w:pPr>
              <w:rPr>
                <w:rFonts w:cs="Arial"/>
                <w:color w:val="000000" w:themeColor="text1"/>
                <w:szCs w:val="16"/>
              </w:rPr>
            </w:pPr>
            <w:r w:rsidRPr="00781112">
              <w:rPr>
                <w:rFonts w:cs="Arial"/>
                <w:color w:val="000000" w:themeColor="text1"/>
                <w:szCs w:val="16"/>
              </w:rPr>
              <w:t>If yes, provide a copy of the survey.</w:t>
            </w:r>
          </w:p>
        </w:tc>
        <w:tc>
          <w:tcPr>
            <w:tcW w:w="2250" w:type="dxa"/>
          </w:tcPr>
          <w:p w14:paraId="0A388987" w14:textId="77777777" w:rsidR="00371D57" w:rsidRPr="00781112" w:rsidRDefault="00371D57" w:rsidP="00A018D4">
            <w:pPr>
              <w:jc w:val="center"/>
              <w:rPr>
                <w:rFonts w:cs="Arial"/>
                <w:color w:val="000000" w:themeColor="text1"/>
                <w:szCs w:val="16"/>
              </w:rPr>
            </w:pPr>
          </w:p>
        </w:tc>
      </w:tr>
    </w:tbl>
    <w:p w14:paraId="52F9B23D" w14:textId="77777777" w:rsidR="00991685" w:rsidRDefault="00991685" w:rsidP="00221EC9">
      <w:pPr>
        <w:rPr>
          <w:rFonts w:cs="Arial"/>
          <w:b/>
          <w:color w:val="000000" w:themeColor="text1"/>
          <w:szCs w:val="16"/>
        </w:rPr>
      </w:pPr>
    </w:p>
    <w:p w14:paraId="5037B4D0" w14:textId="77777777" w:rsidR="00221EC9" w:rsidRPr="00781112" w:rsidRDefault="00221EC9" w:rsidP="00221EC9">
      <w:pPr>
        <w:rPr>
          <w:rFonts w:cs="Arial"/>
          <w:b/>
          <w:color w:val="000000" w:themeColor="text1"/>
          <w:szCs w:val="16"/>
        </w:rPr>
      </w:pPr>
      <w:r w:rsidRPr="00781112">
        <w:rPr>
          <w:rFonts w:cs="Arial"/>
          <w:b/>
          <w:color w:val="000000" w:themeColor="text1"/>
          <w:szCs w:val="16"/>
        </w:rPr>
        <w:t>Provide additional information about this indicator (optional)</w:t>
      </w:r>
    </w:p>
    <w:p w14:paraId="04206390" w14:textId="77777777" w:rsidR="009B37A2" w:rsidRPr="00781112" w:rsidRDefault="002B7490" w:rsidP="007D435F">
      <w:pPr>
        <w:rPr>
          <w:rFonts w:cs="Arial"/>
          <w:color w:val="000000" w:themeColor="text1"/>
          <w:szCs w:val="16"/>
        </w:rPr>
      </w:pPr>
      <w:r w:rsidRPr="00781112">
        <w:rPr>
          <w:rFonts w:cs="Arial"/>
          <w:color w:val="000000" w:themeColor="text1"/>
          <w:szCs w:val="16"/>
        </w:rPr>
        <w:t>*SURVEY ADMINISTRATION / ANALYSIS*</w:t>
      </w:r>
    </w:p>
    <w:p w14:paraId="6998302D" w14:textId="77777777" w:rsidR="00CA787A" w:rsidRDefault="003169E9">
      <w:r>
        <w:rPr>
          <w:color w:val="000000"/>
        </w:rPr>
        <w:t>WVDE/OSE contracted with an external vendor, Measurement Incorporated (MI), to administer the Indicator 8 Parent Involvement Survey and conduct the primary data analysis. MI managed survey production, distribution, and collection using multiple methods (paper, online, and email), ensured data integrity, and provided WVDE/OSE with reports on response rates, representativeness, nonresponse bias, and Indicator 8 performance.</w:t>
      </w:r>
    </w:p>
    <w:p w14:paraId="0E7D1647" w14:textId="77777777" w:rsidR="00CA787A" w:rsidRDefault="00CA787A"/>
    <w:p w14:paraId="6FCC52CB" w14:textId="77777777" w:rsidR="00CA787A" w:rsidRDefault="003169E9">
      <w:r>
        <w:rPr>
          <w:color w:val="000000"/>
        </w:rPr>
        <w:t>*MEASUREMENT APPROACH / SAMPLING PLAN*</w:t>
      </w:r>
    </w:p>
    <w:p w14:paraId="0C912E02" w14:textId="77777777" w:rsidR="00CA787A" w:rsidRDefault="003169E9">
      <w:r>
        <w:rPr>
          <w:color w:val="000000"/>
        </w:rPr>
        <w:t>While the Indicator 8 measurement table requires a year-to-year comparison, WVDE/OSE uses a three-year cohort rotation by design, and the targets for this indicator were established to accommodate this cycle (39.00% for FFYs 2020–2022 and 40.00% for FFYs 2023–2025). This approach ensures that performance is measured consistently over time while recognizing natural variation among cohorts. The sampling plan was developed to ensure that each cohort is representative of the statewide population of students with disabilities, regardless of which LEAs are surveyed in a given year.</w:t>
      </w:r>
    </w:p>
    <w:p w14:paraId="389ECABC" w14:textId="77777777" w:rsidR="00CA787A" w:rsidRDefault="00CA787A"/>
    <w:p w14:paraId="3ED45721" w14:textId="77777777" w:rsidR="00CA787A" w:rsidRDefault="003169E9">
      <w:r>
        <w:rPr>
          <w:color w:val="000000"/>
        </w:rPr>
        <w:t>*COHORT TREND ANALYSIS*</w:t>
      </w:r>
    </w:p>
    <w:p w14:paraId="731F55BE" w14:textId="77777777" w:rsidR="00CA787A" w:rsidRDefault="003169E9">
      <w:r>
        <w:rPr>
          <w:color w:val="000000"/>
        </w:rPr>
        <w:t>Compared to the last time this specific cohort was surveyed (i.e., the FFY 2021 administration), the data suggest a stable trend rather than a significant decline. The combined rate of parents reporting schools facilitated parent involvement for this cohort moved from 36.60% to 33.84%, a 2.76 percentage point decrease. Analysis of the 95% confidence intervals reveals a near-overlap (35.0%–38.3% in FFY 2021; 32.2%–35.5% in FFY 2024), suggesting that the observed difference may reflect normal sampling variation for this cohort rather than a systemic decline. Because school-age parent reports for this specific cohort have remained stable (34.86% in FFY 2021; 33.15% in FFY 2024), the slippage is largely driven by the preschool subgroup (54.30% in FFY 2021; 40.26% in FFY 2024). Parents in this group may be navigating the eligibility and IEP process for the first time, which can lead to higher sensitivity in how they perceive parent involvement compared to school-age parents who have established relationships with their LEAs.</w:t>
      </w:r>
    </w:p>
    <w:p w14:paraId="1429422D" w14:textId="77777777" w:rsidR="000A2C83" w:rsidRPr="00781112" w:rsidRDefault="00752BAF" w:rsidP="008645AD">
      <w:pPr>
        <w:pStyle w:val="Heading2"/>
      </w:pPr>
      <w:r w:rsidRPr="00781112">
        <w:t>8</w:t>
      </w:r>
      <w:r w:rsidR="001F6BAA" w:rsidRPr="00781112">
        <w:t xml:space="preserve"> </w:t>
      </w:r>
      <w:r w:rsidRPr="00781112">
        <w:t xml:space="preserve">- </w:t>
      </w:r>
      <w:r w:rsidR="000A2C83" w:rsidRPr="00781112">
        <w:t>Prior FFY Required Actions</w:t>
      </w:r>
    </w:p>
    <w:p w14:paraId="0DDC7E69" w14:textId="77777777" w:rsidR="000A2C83" w:rsidRPr="00781112" w:rsidRDefault="002B7490" w:rsidP="000A2C83">
      <w:pPr>
        <w:rPr>
          <w:rFonts w:cs="Arial"/>
          <w:color w:val="000000" w:themeColor="text1"/>
          <w:szCs w:val="16"/>
        </w:rPr>
      </w:pPr>
      <w:r w:rsidRPr="00781112">
        <w:rPr>
          <w:rFonts w:cs="Arial"/>
          <w:color w:val="000000" w:themeColor="text1"/>
          <w:szCs w:val="16"/>
        </w:rPr>
        <w:t>In the FFY 2024 SPP/APR, the State must report whether the FFY 2024 data are from a response group that is representative of the demographics of children receiving special education services, and, if not, the actions the State is taking to address this issue. The State must also include its analysis of the extent to which the response data are representative of the demographics of children receiving special education services.</w:t>
      </w:r>
    </w:p>
    <w:p w14:paraId="5EEA2F40" w14:textId="77777777" w:rsidR="000A2C83" w:rsidRPr="00781112" w:rsidRDefault="007639D7" w:rsidP="004369B2">
      <w:pPr>
        <w:rPr>
          <w:b/>
          <w:color w:val="000000" w:themeColor="text1"/>
        </w:rPr>
      </w:pPr>
      <w:r>
        <w:rPr>
          <w:b/>
          <w:color w:val="000000" w:themeColor="text1"/>
        </w:rPr>
        <w:t>Response to actions required in FFY 2023 SPP/APR</w:t>
      </w:r>
    </w:p>
    <w:p w14:paraId="5923916D" w14:textId="77777777" w:rsidR="007757B1" w:rsidRPr="00781112" w:rsidRDefault="002B7490" w:rsidP="007757B1">
      <w:pPr>
        <w:rPr>
          <w:rFonts w:cs="Arial"/>
          <w:color w:val="000000" w:themeColor="text1"/>
          <w:szCs w:val="16"/>
        </w:rPr>
      </w:pPr>
      <w:r w:rsidRPr="00781112">
        <w:rPr>
          <w:rFonts w:cs="Arial"/>
          <w:color w:val="000000" w:themeColor="text1"/>
          <w:szCs w:val="16"/>
        </w:rPr>
        <w:t>—The FFY 2024 Indicator 8 data are not fully representative of the demographics of children receiving special education services, with “Intellectual Disability” underrepresented by 3.1 percentage points (pp), and FRPL-eligible families underrepresented by 11.4 pp. However, post-stratification weighting procedures were implemented to correct for any underrepresentation and the difference between the unweighted (33.8%) and weighted results (34.2%) was negligible.</w:t>
      </w:r>
    </w:p>
    <w:p w14:paraId="448EE102" w14:textId="77777777" w:rsidR="00CA787A" w:rsidRDefault="003169E9">
      <w:r>
        <w:rPr>
          <w:color w:val="000000"/>
        </w:rPr>
        <w:t>—WVDE/OSE will continue to encourage LEA administrators and special education directors to promote the survey through diverse outreach methods (e.g., social media, newsletters, school websites, phone calls, and texts), post flyers in strategic locations, tailor outreach efforts for underrepresented groups using data from LEA-level reports, and organize focus groups to identify strategies for boosting parent participation.</w:t>
      </w:r>
    </w:p>
    <w:p w14:paraId="385ADE79" w14:textId="77777777" w:rsidR="00CA787A" w:rsidRDefault="003169E9">
      <w:r>
        <w:rPr>
          <w:color w:val="000000"/>
        </w:rPr>
        <w:t>—WVDE/OSE’s analyses of the extent to which the demographics of the children for whom parents responded are representative of the demographics of children receiving special education services are provided in the field under the prompt that begins with “Include the State’s analyses of the extent to which the demographics of the children…”.</w:t>
      </w:r>
    </w:p>
    <w:p w14:paraId="11158C25" w14:textId="77777777" w:rsidR="00221EC9" w:rsidRPr="00781112" w:rsidRDefault="00752BAF" w:rsidP="008645AD">
      <w:pPr>
        <w:pStyle w:val="Heading2"/>
      </w:pPr>
      <w:r w:rsidRPr="00781112">
        <w:t>8 - OSEP Response</w:t>
      </w:r>
    </w:p>
    <w:p w14:paraId="02AE2629" w14:textId="77777777" w:rsidR="009B37A2" w:rsidRPr="00781112" w:rsidRDefault="009B37A2" w:rsidP="001F692C">
      <w:pPr>
        <w:rPr>
          <w:rFonts w:cs="Arial"/>
          <w:color w:val="000000" w:themeColor="text1"/>
          <w:szCs w:val="16"/>
        </w:rPr>
      </w:pPr>
    </w:p>
    <w:p w14:paraId="6DFAA7A4" w14:textId="77777777" w:rsidR="00221EC9" w:rsidRPr="00781112" w:rsidRDefault="00752BAF" w:rsidP="008645AD">
      <w:pPr>
        <w:pStyle w:val="Heading2"/>
      </w:pPr>
      <w:r w:rsidRPr="00781112">
        <w:t>8 - Required Actions</w:t>
      </w:r>
    </w:p>
    <w:p w14:paraId="43FE39FD" w14:textId="77777777" w:rsidR="009B37A2" w:rsidRPr="00781112" w:rsidRDefault="002B7490" w:rsidP="001F692C">
      <w:pPr>
        <w:rPr>
          <w:rFonts w:cs="Arial"/>
          <w:color w:val="000000" w:themeColor="text1"/>
          <w:szCs w:val="16"/>
        </w:rPr>
      </w:pPr>
      <w:r w:rsidRPr="00781112">
        <w:rPr>
          <w:rFonts w:cs="Arial"/>
          <w:color w:val="000000" w:themeColor="text1"/>
          <w:szCs w:val="16"/>
        </w:rPr>
        <w:t>In the FFY 2025 SPP/APR, the State must report whether the FFY 2025 data are from a response group that is representative of the demographics of children receiving special education services, and, if not, the actions the State is taking to address this issue. The State must also include its analysis of the extent to which the response data are representative of the demographics of children receiving special education services.</w:t>
      </w:r>
    </w:p>
    <w:p w14:paraId="0B036F9D"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1DDD7F34" w14:textId="77777777" w:rsidR="00D03701" w:rsidRPr="00781112" w:rsidRDefault="00D03701" w:rsidP="000444E2">
      <w:pPr>
        <w:pStyle w:val="Heading1"/>
        <w:rPr>
          <w:color w:val="000000" w:themeColor="text1"/>
          <w:sz w:val="22"/>
        </w:rPr>
      </w:pPr>
      <w:r w:rsidRPr="00781112">
        <w:rPr>
          <w:color w:val="000000" w:themeColor="text1"/>
          <w:sz w:val="22"/>
        </w:rPr>
        <w:lastRenderedPageBreak/>
        <w:t>Indicator 9: Disproportionate Representation</w:t>
      </w:r>
    </w:p>
    <w:p w14:paraId="5565A4F6" w14:textId="77777777" w:rsidR="00AF5AFB" w:rsidRPr="002C274F" w:rsidRDefault="00AF5AFB" w:rsidP="002C274F">
      <w:pPr>
        <w:rPr>
          <w:b/>
          <w:bCs/>
          <w:sz w:val="20"/>
          <w:szCs w:val="20"/>
        </w:rPr>
      </w:pPr>
      <w:bookmarkStart w:id="45" w:name="_Toc384383343"/>
      <w:bookmarkStart w:id="46" w:name="_Toc392159311"/>
      <w:r w:rsidRPr="002C274F">
        <w:rPr>
          <w:b/>
          <w:bCs/>
          <w:sz w:val="20"/>
          <w:szCs w:val="20"/>
        </w:rPr>
        <w:t>Instructions and Measurement</w:t>
      </w:r>
    </w:p>
    <w:p w14:paraId="37765E9D" w14:textId="77777777" w:rsidR="00CC634E" w:rsidRPr="00781112" w:rsidRDefault="00CC634E" w:rsidP="006357C5">
      <w:pPr>
        <w:rPr>
          <w:rFonts w:cs="Arial"/>
          <w:b/>
          <w:color w:val="000000" w:themeColor="text1"/>
          <w:szCs w:val="16"/>
        </w:rPr>
      </w:pPr>
      <w:r w:rsidRPr="00781112">
        <w:rPr>
          <w:rFonts w:cs="Arial"/>
          <w:b/>
          <w:color w:val="000000" w:themeColor="text1"/>
          <w:szCs w:val="16"/>
        </w:rPr>
        <w:t xml:space="preserve">Monitoring Priority: </w:t>
      </w:r>
      <w:r w:rsidRPr="00781112">
        <w:rPr>
          <w:rFonts w:cs="Arial"/>
          <w:color w:val="000000" w:themeColor="text1"/>
          <w:szCs w:val="16"/>
        </w:rPr>
        <w:t>Disproportionality</w:t>
      </w:r>
    </w:p>
    <w:p w14:paraId="5318806E" w14:textId="77777777" w:rsidR="00876394" w:rsidRPr="00781112" w:rsidRDefault="00CC634E" w:rsidP="006357C5">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districts with disproportionate representation of racial and ethnic groups in special education and related services that is the result of inappropriate identification. </w:t>
      </w:r>
    </w:p>
    <w:p w14:paraId="6E03DC2B" w14:textId="77777777" w:rsidR="00CC634E" w:rsidRPr="00781112" w:rsidRDefault="00CC634E" w:rsidP="006357C5">
      <w:pPr>
        <w:rPr>
          <w:rFonts w:cs="Arial"/>
          <w:color w:val="000000" w:themeColor="text1"/>
          <w:szCs w:val="16"/>
        </w:rPr>
      </w:pPr>
      <w:r w:rsidRPr="00781112">
        <w:rPr>
          <w:rFonts w:cs="Arial"/>
          <w:color w:val="000000" w:themeColor="text1"/>
          <w:szCs w:val="16"/>
        </w:rPr>
        <w:t>(20 U.S.C. 1416(a)(3)(C))</w:t>
      </w:r>
    </w:p>
    <w:p w14:paraId="25224027" w14:textId="77777777" w:rsidR="00A66715" w:rsidRPr="00781112" w:rsidRDefault="00A66715" w:rsidP="004369B2">
      <w:pPr>
        <w:rPr>
          <w:color w:val="000000" w:themeColor="text1"/>
        </w:rPr>
      </w:pPr>
      <w:r w:rsidRPr="00781112">
        <w:rPr>
          <w:b/>
          <w:color w:val="000000" w:themeColor="text1"/>
        </w:rPr>
        <w:t>Data Source</w:t>
      </w:r>
    </w:p>
    <w:p w14:paraId="2E03EC9D" w14:textId="77777777" w:rsidR="00A66715" w:rsidRPr="00781112" w:rsidRDefault="00A66715" w:rsidP="00286BDF">
      <w:pPr>
        <w:rPr>
          <w:rFonts w:cs="Arial"/>
          <w:color w:val="000000" w:themeColor="text1"/>
          <w:szCs w:val="16"/>
        </w:rPr>
      </w:pPr>
      <w:r w:rsidRPr="00781112">
        <w:rPr>
          <w:rFonts w:cs="Arial"/>
          <w:color w:val="000000" w:themeColor="text1"/>
          <w:szCs w:val="16"/>
          <w:shd w:val="clear" w:color="auto" w:fill="FFFFFF"/>
        </w:rPr>
        <w:t>State’s analysis, based on State’s Child Count data collected under IDEA section 618, to determine if the disproportionate representation of racial and ethnic groups in special education and related services was the result of inappropriate identification.</w:t>
      </w:r>
    </w:p>
    <w:p w14:paraId="679911B5" w14:textId="77777777" w:rsidR="00A66715" w:rsidRPr="00781112" w:rsidRDefault="00A66715" w:rsidP="004369B2">
      <w:pPr>
        <w:rPr>
          <w:color w:val="000000" w:themeColor="text1"/>
        </w:rPr>
      </w:pPr>
      <w:r w:rsidRPr="00781112">
        <w:rPr>
          <w:b/>
          <w:color w:val="000000" w:themeColor="text1"/>
        </w:rPr>
        <w:t>Measurement</w:t>
      </w:r>
    </w:p>
    <w:p w14:paraId="76494250" w14:textId="77777777" w:rsidR="00A66715" w:rsidRPr="00781112" w:rsidRDefault="00A66715" w:rsidP="00286BDF">
      <w:pPr>
        <w:rPr>
          <w:rFonts w:cs="Arial"/>
          <w:color w:val="000000" w:themeColor="text1"/>
          <w:szCs w:val="16"/>
        </w:rPr>
      </w:pPr>
      <w:r w:rsidRPr="00781112">
        <w:rPr>
          <w:rFonts w:cs="Arial"/>
          <w:color w:val="000000" w:themeColor="text1"/>
          <w:szCs w:val="16"/>
        </w:rPr>
        <w:t>Percent = [(# of districts, that meet the State-established n and/or cell size (if applicable) for one or more racial/ethnic groups, with disproportionate representation of racial and ethnic groups in special education and related services that is the result of inappropriate identification) divided by the (# of districts in the State that meet the State-established n and/or cell size (if applicable) for one or more racial/ethnic groups)] times 100.</w:t>
      </w:r>
    </w:p>
    <w:p w14:paraId="7381F70A" w14:textId="77777777" w:rsidR="00A66715" w:rsidRPr="00781112" w:rsidRDefault="00A66715" w:rsidP="00286BDF">
      <w:pPr>
        <w:rPr>
          <w:rFonts w:cs="Arial"/>
          <w:color w:val="000000" w:themeColor="text1"/>
          <w:szCs w:val="16"/>
        </w:rPr>
      </w:pPr>
      <w:r w:rsidRPr="00781112">
        <w:rPr>
          <w:rFonts w:cs="Arial"/>
          <w:color w:val="000000" w:themeColor="text1"/>
          <w:szCs w:val="16"/>
        </w:rPr>
        <w:t>Include State’s definition of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w:t>
      </w:r>
    </w:p>
    <w:p w14:paraId="5BEF1DC3" w14:textId="77777777" w:rsidR="00A66715" w:rsidRPr="00781112" w:rsidRDefault="0016730D" w:rsidP="00286BDF">
      <w:pPr>
        <w:rPr>
          <w:rFonts w:cs="Arial"/>
          <w:color w:val="000000" w:themeColor="text1"/>
          <w:szCs w:val="16"/>
        </w:rPr>
      </w:pPr>
      <w:r w:rsidRPr="00781112">
        <w:rPr>
          <w:rFonts w:cs="Arial"/>
          <w:color w:val="000000" w:themeColor="text1"/>
          <w:szCs w:val="16"/>
        </w:rPr>
        <w:t>Based on its review of the 618 data for the reporting year, describe how the State made its annual determination as to whether the disproportionate representation it identified of racial and ethnic groups in special education and related services was the result of inappropriate identification as required by 34 CFR §§300.600(d)(3) and 300.602(a), e.g., using monitoring data; reviewing policies, practices and procedures. In determining disproportionate representation, analyze data, for each district, for all racial and ethnic groups in the district, or all racial and ethnic groups in the district that meet a minimum n and/or cell size set by the State. Report on the percent of districts in which disproportionate representation of racial and ethnic groups in special education and related services is the result of inappropriate identification, even if the determination of inappropriate identification was made after the end of the FFY 2024 reporting period (i.e., after June 30, 2025).</w:t>
      </w:r>
    </w:p>
    <w:p w14:paraId="7F55A7AA" w14:textId="77777777" w:rsidR="00A66715" w:rsidRPr="00781112" w:rsidRDefault="00A66715" w:rsidP="004369B2">
      <w:pPr>
        <w:rPr>
          <w:color w:val="000000" w:themeColor="text1"/>
        </w:rPr>
      </w:pPr>
      <w:r w:rsidRPr="00781112">
        <w:rPr>
          <w:b/>
          <w:color w:val="000000" w:themeColor="text1"/>
        </w:rPr>
        <w:t>Instructions</w:t>
      </w:r>
    </w:p>
    <w:p w14:paraId="140E1F32" w14:textId="77777777" w:rsidR="00A66715" w:rsidRPr="00781112" w:rsidRDefault="00A66715" w:rsidP="00286BDF">
      <w:pPr>
        <w:rPr>
          <w:rFonts w:cs="Arial"/>
          <w:color w:val="000000" w:themeColor="text1"/>
          <w:szCs w:val="16"/>
        </w:rPr>
      </w:pPr>
      <w:r w:rsidRPr="00781112">
        <w:rPr>
          <w:rFonts w:cs="Arial"/>
          <w:iCs/>
          <w:color w:val="000000" w:themeColor="text1"/>
          <w:szCs w:val="16"/>
        </w:rPr>
        <w:t>P</w:t>
      </w:r>
      <w:r w:rsidRPr="00781112">
        <w:rPr>
          <w:rFonts w:cs="Arial"/>
          <w:color w:val="000000" w:themeColor="text1"/>
          <w:szCs w:val="16"/>
        </w:rPr>
        <w:t xml:space="preserve">rovide racial/ethnic disproportionality data for all children aged </w:t>
      </w:r>
      <w:r w:rsidR="00071D42" w:rsidRPr="00781112">
        <w:rPr>
          <w:rFonts w:cs="Arial"/>
        </w:rPr>
        <w:t xml:space="preserve">5 who are enrolled in kindergarten and </w:t>
      </w:r>
      <w:r w:rsidR="00214BDE">
        <w:rPr>
          <w:rFonts w:cs="Arial"/>
        </w:rPr>
        <w:t xml:space="preserve">aged </w:t>
      </w:r>
      <w:r w:rsidRPr="00781112">
        <w:rPr>
          <w:rFonts w:cs="Arial"/>
          <w:color w:val="000000" w:themeColor="text1"/>
          <w:szCs w:val="16"/>
        </w:rPr>
        <w:t>6 through 21 served under IDEA, aggregated across all disability categories.</w:t>
      </w:r>
      <w:r w:rsidR="009E27F2">
        <w:rPr>
          <w:rFonts w:cs="Arial"/>
          <w:color w:val="000000" w:themeColor="text1"/>
          <w:szCs w:val="16"/>
        </w:rPr>
        <w:t xml:space="preserve"> </w:t>
      </w:r>
      <w:r w:rsidR="009E27F2" w:rsidRPr="009E27F2">
        <w:rPr>
          <w:rFonts w:cs="Arial"/>
          <w:color w:val="000000" w:themeColor="text1"/>
          <w:szCs w:val="16"/>
        </w:rPr>
        <w:t>Provide the actual numbers used in the calculation.</w:t>
      </w:r>
    </w:p>
    <w:p w14:paraId="7CCF6D25" w14:textId="77777777" w:rsidR="00A66715" w:rsidRPr="00781112" w:rsidRDefault="00A66715" w:rsidP="00286BDF">
      <w:pPr>
        <w:rPr>
          <w:rFonts w:cs="Arial"/>
          <w:color w:val="000000" w:themeColor="text1"/>
          <w:szCs w:val="16"/>
        </w:rPr>
      </w:pPr>
      <w:r w:rsidRPr="00781112">
        <w:rPr>
          <w:rFonts w:cs="Arial"/>
          <w:color w:val="000000" w:themeColor="text1"/>
          <w:szCs w:val="16"/>
        </w:rPr>
        <w:t>States are not required to report on underrepresentation.</w:t>
      </w:r>
    </w:p>
    <w:p w14:paraId="3C9B162F" w14:textId="77777777" w:rsidR="00A66715" w:rsidRPr="00781112" w:rsidRDefault="00A66715" w:rsidP="00286BDF">
      <w:pPr>
        <w:rPr>
          <w:rFonts w:cs="Arial"/>
          <w:color w:val="000000" w:themeColor="text1"/>
          <w:szCs w:val="16"/>
        </w:rPr>
      </w:pPr>
      <w:r w:rsidRPr="00781112">
        <w:rPr>
          <w:rFonts w:cs="Arial"/>
          <w:color w:val="000000" w:themeColor="text1"/>
          <w:szCs w:val="16"/>
        </w:rPr>
        <w:t>If the State has established a minimum n and/or cell size requirement, the State may only include, in both the numerator and the denominator, districts that met that State-established n and/or cell size. If the State used a minimum n and/or cell size requirement, report the number of districts totally excluded from the calculation as a result of this requirement because the district did not meet the minimum n and/or cell size for any racial/ethnic group.</w:t>
      </w:r>
    </w:p>
    <w:p w14:paraId="24AED8BA" w14:textId="77777777" w:rsidR="00A66715" w:rsidRPr="00781112" w:rsidRDefault="00A66715" w:rsidP="00286BDF">
      <w:pPr>
        <w:rPr>
          <w:rFonts w:cs="Arial"/>
          <w:color w:val="000000" w:themeColor="text1"/>
          <w:szCs w:val="16"/>
        </w:rPr>
      </w:pPr>
      <w:r w:rsidRPr="00781112">
        <w:rPr>
          <w:rFonts w:cs="Arial"/>
          <w:color w:val="000000" w:themeColor="text1"/>
          <w:szCs w:val="16"/>
        </w:rPr>
        <w:t>Consider using multiple methods in calculating disproportionate representation of racial and ethnic groups to reduce the risk of overlooking potential problems. Describe the method(s) used to calculate disproportionate representation.</w:t>
      </w:r>
    </w:p>
    <w:p w14:paraId="62BD0E44" w14:textId="77777777" w:rsidR="00A66715" w:rsidRPr="00781112" w:rsidRDefault="00A66715" w:rsidP="00286BDF">
      <w:pPr>
        <w:rPr>
          <w:rFonts w:cs="Arial"/>
          <w:color w:val="000000" w:themeColor="text1"/>
          <w:szCs w:val="16"/>
        </w:rPr>
      </w:pPr>
      <w:r w:rsidRPr="00781112">
        <w:rPr>
          <w:rFonts w:cs="Arial"/>
          <w:color w:val="000000" w:themeColor="text1"/>
          <w:szCs w:val="16"/>
        </w:rPr>
        <w:t>Provide the number of districts that met the State-established n and/or cell size (if applicable) for one or more racial/ethnic groups identified with disproportionate representation of racial and ethnic groups in special education and related services and the number of those districts identified with disproportionate representation that is the result of inappropriate identification.</w:t>
      </w:r>
    </w:p>
    <w:p w14:paraId="09D93779" w14:textId="77777777" w:rsidR="00A66715" w:rsidRPr="00781112" w:rsidRDefault="00A66715" w:rsidP="00286BDF">
      <w:pPr>
        <w:rPr>
          <w:rFonts w:cs="Arial"/>
          <w:color w:val="000000" w:themeColor="text1"/>
          <w:szCs w:val="16"/>
        </w:rPr>
      </w:pPr>
      <w:r w:rsidRPr="00781112">
        <w:rPr>
          <w:rFonts w:cs="Arial"/>
          <w:color w:val="000000" w:themeColor="text1"/>
          <w:szCs w:val="16"/>
        </w:rPr>
        <w:t>Targets must be 0%.</w:t>
      </w:r>
    </w:p>
    <w:p w14:paraId="6D31DE97" w14:textId="77777777" w:rsidR="00AB2AE1" w:rsidRDefault="0016730D"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47" w:name="_Hlk150864210"/>
      <w:r w:rsidR="009E27F2" w:rsidRPr="009E27F2">
        <w:rPr>
          <w:rFonts w:cs="Arial"/>
          <w:color w:val="000000" w:themeColor="text1"/>
          <w:szCs w:val="16"/>
        </w:rPr>
        <w:t>child-specific and regulatory/systemic</w:t>
      </w:r>
      <w:r w:rsidR="009E27F2">
        <w:rPr>
          <w:sz w:val="20"/>
          <w:szCs w:val="14"/>
        </w:rPr>
        <w:t xml:space="preserve"> </w:t>
      </w:r>
      <w:bookmarkEnd w:id="47"/>
      <w:r w:rsidRPr="00781112">
        <w:rPr>
          <w:rFonts w:cs="Arial"/>
          <w:color w:val="000000" w:themeColor="text1"/>
          <w:szCs w:val="16"/>
        </w:rPr>
        <w:t xml:space="preserve">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 </w:t>
      </w:r>
    </w:p>
    <w:p w14:paraId="2D354B8E" w14:textId="77777777" w:rsidR="00A66715" w:rsidRDefault="0016730D"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2024 SPP/APR, the data for FFY 2023), and the State did not identify any findings of noncompliance, provide an explanation of why the State did not identify any findings of noncompliance.</w:t>
      </w:r>
    </w:p>
    <w:p w14:paraId="70A0546F" w14:textId="77777777" w:rsidR="00AB2AE1" w:rsidRPr="00FE4611" w:rsidRDefault="00073B1A" w:rsidP="00286BDF">
      <w:pPr>
        <w:rPr>
          <w:rFonts w:cs="Arial"/>
          <w:szCs w:val="16"/>
        </w:rPr>
      </w:pPr>
      <w:r>
        <w:rPr>
          <w:rFonts w:cs="Arial"/>
          <w:szCs w:val="16"/>
        </w:rPr>
        <w:t>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51D41BF6" w14:textId="77777777" w:rsidR="00AF5AFB" w:rsidRPr="00781112" w:rsidRDefault="00400C56" w:rsidP="008645AD">
      <w:pPr>
        <w:pStyle w:val="Heading2"/>
      </w:pPr>
      <w:bookmarkStart w:id="48" w:name="_Toc384383344"/>
      <w:bookmarkStart w:id="49" w:name="_Toc392159312"/>
      <w:bookmarkEnd w:id="45"/>
      <w:bookmarkEnd w:id="46"/>
      <w:r w:rsidRPr="00781112">
        <w:t>9</w:t>
      </w:r>
      <w:r w:rsidR="000D746C" w:rsidRPr="00781112">
        <w:t xml:space="preserve"> </w:t>
      </w:r>
      <w:r w:rsidRPr="00781112">
        <w:t xml:space="preserve">- </w:t>
      </w:r>
      <w:r w:rsidR="00AF5AFB" w:rsidRPr="00781112">
        <w:t>Indicator Data</w:t>
      </w:r>
    </w:p>
    <w:p w14:paraId="51418D19" w14:textId="77777777" w:rsidR="0091098C" w:rsidRPr="00781112" w:rsidRDefault="0091098C" w:rsidP="004369B2">
      <w:pPr>
        <w:rPr>
          <w:color w:val="000000" w:themeColor="text1"/>
        </w:rPr>
      </w:pPr>
      <w:r w:rsidRPr="00781112">
        <w:rPr>
          <w:b/>
          <w:color w:val="000000" w:themeColor="text1"/>
        </w:rPr>
        <w:t>Not Applicable</w:t>
      </w:r>
    </w:p>
    <w:p w14:paraId="5ACEE507" w14:textId="77777777" w:rsidR="003E7FC1" w:rsidRPr="00781112" w:rsidRDefault="00E54DDA">
      <w:pPr>
        <w:rPr>
          <w:b/>
          <w:color w:val="000000" w:themeColor="text1"/>
        </w:rPr>
      </w:pPr>
      <w:r w:rsidRPr="00781112">
        <w:rPr>
          <w:b/>
          <w:color w:val="000000" w:themeColor="text1"/>
        </w:rPr>
        <w:t>Select yes if this indicator is not applicable.</w:t>
      </w:r>
    </w:p>
    <w:p w14:paraId="4E351B6D" w14:textId="77777777" w:rsidR="00043AC9" w:rsidRPr="00781112" w:rsidRDefault="00043AC9" w:rsidP="004369B2">
      <w:pPr>
        <w:rPr>
          <w:rFonts w:cs="Arial"/>
          <w:color w:val="000000" w:themeColor="text1"/>
          <w:szCs w:val="16"/>
        </w:rPr>
      </w:pPr>
      <w:r w:rsidRPr="00781112">
        <w:rPr>
          <w:rFonts w:cs="Arial"/>
          <w:color w:val="000000" w:themeColor="text1"/>
          <w:szCs w:val="16"/>
        </w:rPr>
        <w:t>NO</w:t>
      </w:r>
    </w:p>
    <w:p w14:paraId="666A154A" w14:textId="77777777"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9BASELINEDATA"/>
      </w:tblPr>
      <w:tblGrid>
        <w:gridCol w:w="1797"/>
        <w:gridCol w:w="1798"/>
      </w:tblGrid>
      <w:tr w:rsidR="00956DB0" w:rsidRPr="00781112" w14:paraId="094241A3" w14:textId="77777777" w:rsidTr="00123D76">
        <w:trPr>
          <w:trHeight w:val="311"/>
          <w:tblHeader/>
        </w:trPr>
        <w:tc>
          <w:tcPr>
            <w:tcW w:w="1797" w:type="dxa"/>
          </w:tcPr>
          <w:p w14:paraId="0EBF98EB" w14:textId="77777777" w:rsidR="00956DB0" w:rsidRPr="00781112" w:rsidRDefault="00956DB0" w:rsidP="00123D76">
            <w:pPr>
              <w:jc w:val="center"/>
              <w:rPr>
                <w:b/>
                <w:color w:val="000000" w:themeColor="text1"/>
              </w:rPr>
            </w:pPr>
            <w:r w:rsidRPr="00781112">
              <w:rPr>
                <w:rFonts w:cs="Arial"/>
                <w:b/>
                <w:color w:val="000000" w:themeColor="text1"/>
                <w:szCs w:val="16"/>
              </w:rPr>
              <w:t>Baseline Year</w:t>
            </w:r>
          </w:p>
        </w:tc>
        <w:tc>
          <w:tcPr>
            <w:tcW w:w="1798" w:type="dxa"/>
          </w:tcPr>
          <w:p w14:paraId="675A2B76" w14:textId="77777777" w:rsidR="00956DB0" w:rsidRPr="00781112" w:rsidRDefault="00956DB0" w:rsidP="00123D76">
            <w:pPr>
              <w:jc w:val="center"/>
              <w:rPr>
                <w:b/>
                <w:color w:val="000000" w:themeColor="text1"/>
              </w:rPr>
            </w:pPr>
            <w:r w:rsidRPr="00781112">
              <w:rPr>
                <w:b/>
                <w:color w:val="000000" w:themeColor="text1"/>
              </w:rPr>
              <w:t>Baseline Data</w:t>
            </w:r>
          </w:p>
        </w:tc>
      </w:tr>
      <w:tr w:rsidR="00956DB0" w:rsidRPr="00781112" w14:paraId="5ED0D04A" w14:textId="77777777" w:rsidTr="00123D76">
        <w:trPr>
          <w:trHeight w:val="311"/>
        </w:trPr>
        <w:tc>
          <w:tcPr>
            <w:tcW w:w="1797" w:type="dxa"/>
            <w:vAlign w:val="center"/>
          </w:tcPr>
          <w:p w14:paraId="4DDCAFAE" w14:textId="77777777" w:rsidR="00956DB0" w:rsidRPr="00781112" w:rsidRDefault="00956DB0" w:rsidP="00123D76">
            <w:pPr>
              <w:jc w:val="center"/>
              <w:rPr>
                <w:bCs/>
                <w:color w:val="000000" w:themeColor="text1"/>
              </w:rPr>
            </w:pPr>
            <w:r w:rsidRPr="00781112">
              <w:rPr>
                <w:bCs/>
                <w:color w:val="000000" w:themeColor="text1"/>
              </w:rPr>
              <w:t>2021</w:t>
            </w:r>
          </w:p>
        </w:tc>
        <w:tc>
          <w:tcPr>
            <w:tcW w:w="1798" w:type="dxa"/>
            <w:vAlign w:val="center"/>
          </w:tcPr>
          <w:p w14:paraId="264C7929" w14:textId="77777777" w:rsidR="00956DB0" w:rsidRPr="00781112" w:rsidRDefault="00956DB0" w:rsidP="00123D76">
            <w:pPr>
              <w:jc w:val="center"/>
              <w:rPr>
                <w:bCs/>
                <w:color w:val="000000" w:themeColor="text1"/>
              </w:rPr>
            </w:pPr>
            <w:r w:rsidRPr="00781112">
              <w:rPr>
                <w:bCs/>
                <w:color w:val="000000" w:themeColor="text1"/>
              </w:rPr>
              <w:t>0.00%</w:t>
            </w:r>
          </w:p>
        </w:tc>
      </w:tr>
    </w:tbl>
    <w:p w14:paraId="0BD3A225" w14:textId="77777777" w:rsidR="00956DB0" w:rsidRPr="00781112" w:rsidRDefault="00956DB0"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9HISTDATA"/>
      </w:tblPr>
      <w:tblGrid>
        <w:gridCol w:w="1798"/>
        <w:gridCol w:w="1798"/>
        <w:gridCol w:w="1798"/>
        <w:gridCol w:w="1798"/>
        <w:gridCol w:w="1798"/>
        <w:gridCol w:w="1800"/>
      </w:tblGrid>
      <w:tr w:rsidR="005C29F8" w:rsidRPr="00781112" w14:paraId="59D21749" w14:textId="77777777" w:rsidTr="002B4D97">
        <w:trPr>
          <w:trHeight w:val="350"/>
        </w:trPr>
        <w:tc>
          <w:tcPr>
            <w:tcW w:w="833" w:type="pct"/>
            <w:tcBorders>
              <w:bottom w:val="single" w:sz="4" w:space="0" w:color="auto"/>
            </w:tcBorders>
          </w:tcPr>
          <w:p w14:paraId="51001133" w14:textId="77777777" w:rsidR="006357C5" w:rsidRPr="00781112" w:rsidRDefault="006357C5" w:rsidP="004369B2">
            <w:pPr>
              <w:jc w:val="center"/>
              <w:rPr>
                <w:rFonts w:cs="Arial"/>
                <w:b/>
                <w:color w:val="000000" w:themeColor="text1"/>
                <w:szCs w:val="16"/>
              </w:rPr>
            </w:pPr>
            <w:r w:rsidRPr="00781112">
              <w:rPr>
                <w:rFonts w:cs="Arial"/>
                <w:b/>
                <w:color w:val="000000" w:themeColor="text1"/>
                <w:szCs w:val="16"/>
              </w:rPr>
              <w:t>FFY</w:t>
            </w:r>
          </w:p>
        </w:tc>
        <w:tc>
          <w:tcPr>
            <w:tcW w:w="833" w:type="pct"/>
          </w:tcPr>
          <w:p w14:paraId="0AA0AE5E" w14:textId="77777777" w:rsidR="006357C5" w:rsidRPr="00781112" w:rsidRDefault="002B7490" w:rsidP="00B6413B">
            <w:pPr>
              <w:jc w:val="center"/>
              <w:rPr>
                <w:rFonts w:cs="Arial"/>
                <w:b/>
                <w:color w:val="000000" w:themeColor="text1"/>
                <w:szCs w:val="16"/>
              </w:rPr>
            </w:pPr>
            <w:r w:rsidRPr="00781112">
              <w:rPr>
                <w:rFonts w:cs="Arial"/>
                <w:b/>
                <w:color w:val="000000" w:themeColor="text1"/>
                <w:szCs w:val="16"/>
              </w:rPr>
              <w:t>2019</w:t>
            </w:r>
          </w:p>
        </w:tc>
        <w:tc>
          <w:tcPr>
            <w:tcW w:w="833" w:type="pct"/>
          </w:tcPr>
          <w:p w14:paraId="514E01A6" w14:textId="77777777" w:rsidR="006357C5" w:rsidRPr="00781112" w:rsidRDefault="002B7490" w:rsidP="00B6413B">
            <w:pPr>
              <w:jc w:val="center"/>
              <w:rPr>
                <w:rFonts w:cs="Arial"/>
                <w:b/>
                <w:color w:val="000000" w:themeColor="text1"/>
                <w:szCs w:val="16"/>
              </w:rPr>
            </w:pPr>
            <w:r w:rsidRPr="00781112">
              <w:rPr>
                <w:rFonts w:cs="Arial"/>
                <w:b/>
                <w:color w:val="000000" w:themeColor="text1"/>
                <w:szCs w:val="16"/>
              </w:rPr>
              <w:t>2020</w:t>
            </w:r>
          </w:p>
        </w:tc>
        <w:tc>
          <w:tcPr>
            <w:tcW w:w="833" w:type="pct"/>
            <w:vAlign w:val="center"/>
          </w:tcPr>
          <w:p w14:paraId="38A20B4E" w14:textId="77777777" w:rsidR="006357C5" w:rsidRPr="00781112" w:rsidRDefault="002B7490" w:rsidP="00B6413B">
            <w:pPr>
              <w:jc w:val="center"/>
              <w:rPr>
                <w:rFonts w:cs="Arial"/>
                <w:b/>
                <w:color w:val="000000" w:themeColor="text1"/>
                <w:szCs w:val="16"/>
              </w:rPr>
            </w:pPr>
            <w:r w:rsidRPr="00781112">
              <w:rPr>
                <w:rFonts w:cs="Arial"/>
                <w:b/>
                <w:color w:val="000000" w:themeColor="text1"/>
                <w:szCs w:val="16"/>
              </w:rPr>
              <w:t>2021</w:t>
            </w:r>
          </w:p>
        </w:tc>
        <w:tc>
          <w:tcPr>
            <w:tcW w:w="833" w:type="pct"/>
            <w:vAlign w:val="center"/>
          </w:tcPr>
          <w:p w14:paraId="3B988C8C" w14:textId="77777777" w:rsidR="006357C5" w:rsidRPr="00781112" w:rsidRDefault="002B7490" w:rsidP="00B6413B">
            <w:pPr>
              <w:jc w:val="center"/>
              <w:rPr>
                <w:rFonts w:cs="Arial"/>
                <w:b/>
                <w:color w:val="000000" w:themeColor="text1"/>
                <w:szCs w:val="16"/>
              </w:rPr>
            </w:pPr>
            <w:r w:rsidRPr="00781112">
              <w:rPr>
                <w:rFonts w:cs="Arial"/>
                <w:b/>
                <w:color w:val="000000" w:themeColor="text1"/>
                <w:szCs w:val="16"/>
              </w:rPr>
              <w:t>2022</w:t>
            </w:r>
          </w:p>
        </w:tc>
        <w:tc>
          <w:tcPr>
            <w:tcW w:w="834" w:type="pct"/>
            <w:vAlign w:val="center"/>
          </w:tcPr>
          <w:p w14:paraId="6654AF33" w14:textId="77777777" w:rsidR="006357C5" w:rsidRPr="00781112" w:rsidRDefault="002B7490" w:rsidP="00B6413B">
            <w:pPr>
              <w:jc w:val="center"/>
              <w:rPr>
                <w:rFonts w:cs="Arial"/>
                <w:b/>
                <w:color w:val="000000" w:themeColor="text1"/>
                <w:szCs w:val="16"/>
              </w:rPr>
            </w:pPr>
            <w:r w:rsidRPr="00781112">
              <w:rPr>
                <w:rFonts w:cs="Arial"/>
                <w:b/>
                <w:color w:val="000000" w:themeColor="text1"/>
                <w:szCs w:val="16"/>
              </w:rPr>
              <w:t>2023</w:t>
            </w:r>
          </w:p>
        </w:tc>
      </w:tr>
      <w:tr w:rsidR="005C29F8" w:rsidRPr="00781112" w14:paraId="4EEACCD3" w14:textId="77777777" w:rsidTr="002B4D97">
        <w:trPr>
          <w:trHeight w:val="357"/>
        </w:trPr>
        <w:tc>
          <w:tcPr>
            <w:tcW w:w="833" w:type="pct"/>
          </w:tcPr>
          <w:p w14:paraId="6BD42A9A" w14:textId="77777777" w:rsidR="006357C5" w:rsidRPr="00781112" w:rsidRDefault="006357C5" w:rsidP="00BA3DBE">
            <w:pPr>
              <w:jc w:val="center"/>
              <w:rPr>
                <w:rFonts w:cs="Arial"/>
                <w:color w:val="000000" w:themeColor="text1"/>
                <w:szCs w:val="16"/>
              </w:rPr>
            </w:pPr>
            <w:r w:rsidRPr="00781112">
              <w:rPr>
                <w:rFonts w:cs="Arial"/>
                <w:color w:val="000000" w:themeColor="text1"/>
                <w:szCs w:val="16"/>
              </w:rPr>
              <w:t>Target</w:t>
            </w:r>
          </w:p>
        </w:tc>
        <w:tc>
          <w:tcPr>
            <w:tcW w:w="833" w:type="pct"/>
          </w:tcPr>
          <w:p w14:paraId="4573430A" w14:textId="77777777"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tcPr>
          <w:p w14:paraId="71DFC274" w14:textId="77777777"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tcPr>
          <w:p w14:paraId="3033C498" w14:textId="77777777"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tcPr>
          <w:p w14:paraId="4D09B6C9" w14:textId="77777777"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4" w:type="pct"/>
          </w:tcPr>
          <w:p w14:paraId="08B6265F" w14:textId="77777777" w:rsidR="006357C5" w:rsidRPr="00781112" w:rsidRDefault="00BA56C8">
            <w:pPr>
              <w:jc w:val="center"/>
              <w:rPr>
                <w:rFonts w:cs="Arial"/>
                <w:color w:val="000000" w:themeColor="text1"/>
                <w:szCs w:val="16"/>
              </w:rPr>
            </w:pPr>
            <w:r w:rsidRPr="00781112">
              <w:rPr>
                <w:rFonts w:cs="Arial"/>
                <w:color w:val="000000" w:themeColor="text1"/>
                <w:szCs w:val="16"/>
              </w:rPr>
              <w:t>0%</w:t>
            </w:r>
          </w:p>
        </w:tc>
      </w:tr>
      <w:tr w:rsidR="005C29F8" w:rsidRPr="00781112" w14:paraId="557294EF" w14:textId="77777777" w:rsidTr="002B4D97">
        <w:trPr>
          <w:trHeight w:val="85"/>
        </w:trPr>
        <w:tc>
          <w:tcPr>
            <w:tcW w:w="833" w:type="pct"/>
          </w:tcPr>
          <w:p w14:paraId="20C08AFA" w14:textId="77777777" w:rsidR="006357C5" w:rsidRPr="00781112" w:rsidRDefault="006357C5" w:rsidP="00BA3DBE">
            <w:pPr>
              <w:jc w:val="center"/>
              <w:rPr>
                <w:rFonts w:cs="Arial"/>
                <w:color w:val="000000" w:themeColor="text1"/>
                <w:szCs w:val="16"/>
              </w:rPr>
            </w:pPr>
            <w:r w:rsidRPr="00781112">
              <w:rPr>
                <w:rFonts w:cs="Arial"/>
                <w:color w:val="000000" w:themeColor="text1"/>
                <w:szCs w:val="16"/>
              </w:rPr>
              <w:t>Data</w:t>
            </w:r>
          </w:p>
        </w:tc>
        <w:tc>
          <w:tcPr>
            <w:tcW w:w="833" w:type="pct"/>
          </w:tcPr>
          <w:p w14:paraId="15A067DF" w14:textId="77777777"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Pr>
          <w:p w14:paraId="45BDA1B0" w14:textId="77777777"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vAlign w:val="center"/>
          </w:tcPr>
          <w:p w14:paraId="16F0C850" w14:textId="77777777"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vAlign w:val="center"/>
          </w:tcPr>
          <w:p w14:paraId="2E4163B4" w14:textId="77777777"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4" w:type="pct"/>
            <w:tcBorders>
              <w:bottom w:val="single" w:sz="4" w:space="0" w:color="auto"/>
            </w:tcBorders>
            <w:vAlign w:val="center"/>
          </w:tcPr>
          <w:p w14:paraId="1D9AC48A" w14:textId="77777777"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r>
    </w:tbl>
    <w:p w14:paraId="27C87482" w14:textId="77777777" w:rsidR="00870121" w:rsidRPr="00781112" w:rsidRDefault="00870121" w:rsidP="004369B2">
      <w:pPr>
        <w:rPr>
          <w:color w:val="000000" w:themeColor="text1"/>
        </w:rPr>
      </w:pPr>
    </w:p>
    <w:p w14:paraId="502A7757" w14:textId="77777777" w:rsidR="0016730D" w:rsidRPr="00781112" w:rsidRDefault="0016730D" w:rsidP="004369B2">
      <w:pPr>
        <w:rPr>
          <w:color w:val="000000" w:themeColor="text1"/>
        </w:rPr>
      </w:pPr>
      <w:r w:rsidRPr="00781112">
        <w:rPr>
          <w:b/>
          <w:color w:val="000000" w:themeColor="text1"/>
        </w:rPr>
        <w:t>Targets</w:t>
      </w:r>
    </w:p>
    <w:tbl>
      <w:tblPr>
        <w:tblW w:w="26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9TARGETS"/>
      </w:tblPr>
      <w:tblGrid>
        <w:gridCol w:w="679"/>
        <w:gridCol w:w="2466"/>
        <w:gridCol w:w="2645"/>
      </w:tblGrid>
      <w:tr w:rsidR="008B52D3" w:rsidRPr="00781112" w14:paraId="53E3A317" w14:textId="77777777" w:rsidTr="00924AD9">
        <w:trPr>
          <w:trHeight w:val="307"/>
        </w:trPr>
        <w:tc>
          <w:tcPr>
            <w:tcW w:w="586" w:type="pct"/>
            <w:tcBorders>
              <w:bottom w:val="single" w:sz="4" w:space="0" w:color="auto"/>
            </w:tcBorders>
          </w:tcPr>
          <w:p w14:paraId="083135D3" w14:textId="77777777" w:rsidR="008B52D3" w:rsidRPr="00781112" w:rsidRDefault="008B52D3" w:rsidP="00AD5583">
            <w:pPr>
              <w:jc w:val="center"/>
              <w:rPr>
                <w:b/>
                <w:color w:val="000000" w:themeColor="text1"/>
              </w:rPr>
            </w:pPr>
            <w:r w:rsidRPr="00781112">
              <w:rPr>
                <w:b/>
                <w:color w:val="000000" w:themeColor="text1"/>
              </w:rPr>
              <w:t>FFY</w:t>
            </w:r>
          </w:p>
        </w:tc>
        <w:tc>
          <w:tcPr>
            <w:tcW w:w="2130" w:type="pct"/>
          </w:tcPr>
          <w:p w14:paraId="62EAA4BC" w14:textId="77777777" w:rsidR="008B52D3" w:rsidRPr="00781112" w:rsidRDefault="008B52D3" w:rsidP="00AD5583">
            <w:pPr>
              <w:jc w:val="center"/>
              <w:rPr>
                <w:b/>
                <w:color w:val="000000" w:themeColor="text1"/>
              </w:rPr>
            </w:pPr>
            <w:r w:rsidRPr="00781112">
              <w:rPr>
                <w:b/>
                <w:color w:val="000000" w:themeColor="text1"/>
              </w:rPr>
              <w:t>2024</w:t>
            </w:r>
          </w:p>
        </w:tc>
        <w:tc>
          <w:tcPr>
            <w:tcW w:w="2284" w:type="pct"/>
          </w:tcPr>
          <w:p w14:paraId="5EBEAC44" w14:textId="77777777" w:rsidR="008B52D3" w:rsidRPr="00781112" w:rsidRDefault="008B52D3" w:rsidP="00AD5583">
            <w:pPr>
              <w:jc w:val="center"/>
              <w:rPr>
                <w:b/>
                <w:color w:val="000000" w:themeColor="text1"/>
              </w:rPr>
            </w:pPr>
            <w:r w:rsidRPr="00781112">
              <w:rPr>
                <w:rFonts w:cs="Arial"/>
                <w:b/>
                <w:color w:val="000000" w:themeColor="text1"/>
                <w:szCs w:val="16"/>
              </w:rPr>
              <w:t>2025</w:t>
            </w:r>
          </w:p>
        </w:tc>
      </w:tr>
      <w:tr w:rsidR="008B52D3" w:rsidRPr="00781112" w14:paraId="24779AC5" w14:textId="77777777" w:rsidTr="00924AD9">
        <w:trPr>
          <w:trHeight w:val="313"/>
        </w:trPr>
        <w:tc>
          <w:tcPr>
            <w:tcW w:w="586" w:type="pct"/>
            <w:vAlign w:val="center"/>
          </w:tcPr>
          <w:p w14:paraId="5EF482E5" w14:textId="77777777" w:rsidR="008B52D3" w:rsidRPr="00781112" w:rsidRDefault="008B52D3" w:rsidP="00BA3DBE">
            <w:pPr>
              <w:jc w:val="center"/>
              <w:rPr>
                <w:rFonts w:cs="Arial"/>
                <w:color w:val="000000" w:themeColor="text1"/>
                <w:szCs w:val="16"/>
              </w:rPr>
            </w:pPr>
            <w:r w:rsidRPr="00781112">
              <w:rPr>
                <w:rFonts w:cs="Arial"/>
                <w:color w:val="000000" w:themeColor="text1"/>
                <w:szCs w:val="16"/>
              </w:rPr>
              <w:lastRenderedPageBreak/>
              <w:t>Target</w:t>
            </w:r>
          </w:p>
        </w:tc>
        <w:tc>
          <w:tcPr>
            <w:tcW w:w="2130" w:type="pct"/>
            <w:vAlign w:val="center"/>
          </w:tcPr>
          <w:p w14:paraId="654E675A" w14:textId="77777777" w:rsidR="008B52D3" w:rsidRPr="00781112" w:rsidRDefault="008B52D3" w:rsidP="00AD5583">
            <w:pPr>
              <w:jc w:val="center"/>
              <w:rPr>
                <w:rFonts w:cs="Arial"/>
                <w:color w:val="000000" w:themeColor="text1"/>
                <w:szCs w:val="16"/>
              </w:rPr>
            </w:pPr>
            <w:r w:rsidRPr="00781112">
              <w:rPr>
                <w:rFonts w:cs="Arial"/>
                <w:color w:val="000000" w:themeColor="text1"/>
                <w:szCs w:val="16"/>
              </w:rPr>
              <w:t>0%</w:t>
            </w:r>
          </w:p>
        </w:tc>
        <w:tc>
          <w:tcPr>
            <w:tcW w:w="2284" w:type="pct"/>
          </w:tcPr>
          <w:p w14:paraId="0BDFD193" w14:textId="77777777" w:rsidR="008B52D3" w:rsidRPr="00781112" w:rsidRDefault="008B52D3" w:rsidP="00AD5583">
            <w:pPr>
              <w:jc w:val="center"/>
              <w:rPr>
                <w:rFonts w:cs="Arial"/>
                <w:color w:val="000000" w:themeColor="text1"/>
                <w:szCs w:val="16"/>
              </w:rPr>
            </w:pPr>
            <w:r w:rsidRPr="00781112">
              <w:rPr>
                <w:color w:val="000000" w:themeColor="text1"/>
                <w:szCs w:val="16"/>
              </w:rPr>
              <w:t>0%</w:t>
            </w:r>
          </w:p>
        </w:tc>
      </w:tr>
      <w:bookmarkEnd w:id="48"/>
      <w:bookmarkEnd w:id="49"/>
    </w:tbl>
    <w:p w14:paraId="1B792B0B" w14:textId="77777777" w:rsidR="008D766F" w:rsidRDefault="008D766F">
      <w:pPr>
        <w:rPr>
          <w:b/>
          <w:color w:val="000000" w:themeColor="text1"/>
        </w:rPr>
      </w:pPr>
    </w:p>
    <w:p w14:paraId="127516AC" w14:textId="77777777" w:rsidR="00D03701" w:rsidRPr="00781112" w:rsidRDefault="0047313F">
      <w:pPr>
        <w:rPr>
          <w:b/>
          <w:color w:val="000000" w:themeColor="text1"/>
        </w:rPr>
      </w:pPr>
      <w:r>
        <w:rPr>
          <w:b/>
          <w:color w:val="000000" w:themeColor="text1"/>
        </w:rPr>
        <w:t>FFY 2024 SPP/APR Data</w:t>
      </w:r>
    </w:p>
    <w:p w14:paraId="30F37783" w14:textId="77777777" w:rsidR="003E7FC1" w:rsidRPr="00781112" w:rsidRDefault="003E7FC1">
      <w:pPr>
        <w:rPr>
          <w:rFonts w:cs="Arial"/>
          <w:b/>
          <w:color w:val="000000" w:themeColor="text1"/>
          <w:szCs w:val="16"/>
        </w:rPr>
      </w:pPr>
      <w:r w:rsidRPr="00781112">
        <w:rPr>
          <w:rFonts w:cs="Arial"/>
          <w:b/>
          <w:color w:val="000000" w:themeColor="text1"/>
          <w:szCs w:val="16"/>
        </w:rPr>
        <w:t>Has the state established a minimum n and/or cell size requirement? (yes/no)</w:t>
      </w:r>
    </w:p>
    <w:p w14:paraId="073CAAD2" w14:textId="77777777" w:rsidR="003E7FC1" w:rsidRPr="00781112" w:rsidRDefault="003E7FC1">
      <w:pPr>
        <w:rPr>
          <w:rFonts w:cs="Arial"/>
          <w:color w:val="000000" w:themeColor="text1"/>
          <w:szCs w:val="16"/>
        </w:rPr>
      </w:pPr>
      <w:r w:rsidRPr="00781112">
        <w:rPr>
          <w:rFonts w:cs="Arial"/>
          <w:color w:val="000000" w:themeColor="text1"/>
          <w:szCs w:val="16"/>
        </w:rPr>
        <w:t>YES</w:t>
      </w:r>
    </w:p>
    <w:p w14:paraId="3D71DFAE" w14:textId="77777777" w:rsidR="003E7FC1" w:rsidRPr="00781112" w:rsidRDefault="003E7FC1">
      <w:pPr>
        <w:rPr>
          <w:rFonts w:cs="Arial"/>
          <w:b/>
          <w:color w:val="000000" w:themeColor="text1"/>
          <w:szCs w:val="16"/>
        </w:rPr>
      </w:pPr>
      <w:r w:rsidRPr="00781112">
        <w:rPr>
          <w:rFonts w:cs="Arial"/>
          <w:b/>
          <w:color w:val="000000" w:themeColor="text1"/>
          <w:szCs w:val="16"/>
        </w:rPr>
        <w:t>If yes, the State may only include, in both the numerator and the denominator, districts that met the State-established n and/or cell size. Report the number of districts excluded from the calculation as a result of the requirement.</w:t>
      </w:r>
    </w:p>
    <w:p w14:paraId="549EE230" w14:textId="77777777" w:rsidR="003E7FC1" w:rsidRPr="00781112" w:rsidRDefault="003E7FC1" w:rsidP="004369B2">
      <w:pPr>
        <w:rPr>
          <w:rFonts w:cs="Arial"/>
          <w:color w:val="000000" w:themeColor="text1"/>
          <w:szCs w:val="16"/>
        </w:rPr>
      </w:pPr>
      <w:r w:rsidRPr="00781112">
        <w:rPr>
          <w:rFonts w:cs="Arial"/>
          <w:color w:val="000000" w:themeColor="text1"/>
          <w:szCs w:val="16"/>
        </w:rP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9CFFYAPRDATA"/>
      </w:tblPr>
      <w:tblGrid>
        <w:gridCol w:w="1488"/>
        <w:gridCol w:w="1488"/>
        <w:gridCol w:w="1709"/>
        <w:gridCol w:w="1079"/>
        <w:gridCol w:w="1627"/>
        <w:gridCol w:w="970"/>
        <w:gridCol w:w="1235"/>
        <w:gridCol w:w="1194"/>
      </w:tblGrid>
      <w:tr w:rsidR="00206A65" w:rsidRPr="00781112" w14:paraId="33B97F13" w14:textId="77777777" w:rsidTr="002B4D97">
        <w:trPr>
          <w:trHeight w:val="354"/>
          <w:jc w:val="center"/>
        </w:trPr>
        <w:tc>
          <w:tcPr>
            <w:tcW w:w="652" w:type="pct"/>
            <w:vAlign w:val="bottom"/>
          </w:tcPr>
          <w:p w14:paraId="6E582C51" w14:textId="77777777"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special education and related services</w:t>
            </w:r>
          </w:p>
        </w:tc>
        <w:tc>
          <w:tcPr>
            <w:tcW w:w="583" w:type="pct"/>
            <w:vAlign w:val="bottom"/>
          </w:tcPr>
          <w:p w14:paraId="47A91A4F" w14:textId="77777777"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special education and related services that is the result of inappropriate identification</w:t>
            </w:r>
          </w:p>
        </w:tc>
        <w:tc>
          <w:tcPr>
            <w:tcW w:w="816" w:type="pct"/>
            <w:vAlign w:val="bottom"/>
          </w:tcPr>
          <w:p w14:paraId="3D631E58" w14:textId="77777777" w:rsidR="00206A65" w:rsidRPr="00781112" w:rsidRDefault="00206A65" w:rsidP="00206A65">
            <w:pPr>
              <w:jc w:val="center"/>
              <w:rPr>
                <w:b/>
                <w:color w:val="000000" w:themeColor="text1"/>
              </w:rPr>
            </w:pPr>
            <w:r w:rsidRPr="00781112">
              <w:rPr>
                <w:b/>
                <w:color w:val="000000" w:themeColor="text1"/>
              </w:rPr>
              <w:t>Number of districts that met the State's minimum n and/or cell size</w:t>
            </w:r>
          </w:p>
        </w:tc>
        <w:tc>
          <w:tcPr>
            <w:tcW w:w="524" w:type="pct"/>
            <w:vAlign w:val="bottom"/>
          </w:tcPr>
          <w:p w14:paraId="1E8FE10D" w14:textId="77777777" w:rsidR="00206A65" w:rsidRPr="00CC1061" w:rsidRDefault="00206A65" w:rsidP="00206A65">
            <w:pPr>
              <w:jc w:val="center"/>
              <w:rPr>
                <w:b/>
                <w:bCs/>
                <w:color w:val="000000" w:themeColor="text1"/>
              </w:rPr>
            </w:pPr>
            <w:r w:rsidRPr="00CC1061">
              <w:rPr>
                <w:b/>
                <w:bCs/>
              </w:rPr>
              <w:t>FFY 2023 Data</w:t>
            </w:r>
          </w:p>
        </w:tc>
        <w:tc>
          <w:tcPr>
            <w:tcW w:w="778" w:type="pct"/>
            <w:vAlign w:val="bottom"/>
          </w:tcPr>
          <w:p w14:paraId="10B9635A" w14:textId="77777777" w:rsidR="00206A65" w:rsidRPr="00CC1061" w:rsidRDefault="00206A65" w:rsidP="00206A65">
            <w:pPr>
              <w:jc w:val="center"/>
              <w:rPr>
                <w:b/>
                <w:bCs/>
                <w:color w:val="000000" w:themeColor="text1"/>
              </w:rPr>
            </w:pPr>
            <w:r w:rsidRPr="00CC1061">
              <w:rPr>
                <w:b/>
                <w:bCs/>
              </w:rPr>
              <w:t>FFY 2024 Target</w:t>
            </w:r>
          </w:p>
        </w:tc>
        <w:tc>
          <w:tcPr>
            <w:tcW w:w="473" w:type="pct"/>
            <w:vAlign w:val="bottom"/>
          </w:tcPr>
          <w:p w14:paraId="33252CF1" w14:textId="77777777" w:rsidR="00206A65" w:rsidRPr="00CC1061" w:rsidRDefault="00206A65" w:rsidP="00206A65">
            <w:pPr>
              <w:jc w:val="center"/>
              <w:rPr>
                <w:b/>
                <w:bCs/>
                <w:color w:val="000000" w:themeColor="text1"/>
              </w:rPr>
            </w:pPr>
            <w:r w:rsidRPr="00CC1061">
              <w:rPr>
                <w:b/>
                <w:bCs/>
              </w:rPr>
              <w:t>FFY 2024 Data</w:t>
            </w:r>
          </w:p>
        </w:tc>
        <w:tc>
          <w:tcPr>
            <w:tcW w:w="596" w:type="pct"/>
            <w:vAlign w:val="bottom"/>
          </w:tcPr>
          <w:p w14:paraId="3439EAB3" w14:textId="77777777" w:rsidR="00206A65" w:rsidRPr="00781112" w:rsidRDefault="00206A65" w:rsidP="00206A65">
            <w:pPr>
              <w:jc w:val="center"/>
              <w:rPr>
                <w:b/>
                <w:color w:val="000000" w:themeColor="text1"/>
              </w:rPr>
            </w:pPr>
            <w:r w:rsidRPr="00781112">
              <w:rPr>
                <w:b/>
                <w:color w:val="000000" w:themeColor="text1"/>
              </w:rPr>
              <w:t>Status</w:t>
            </w:r>
          </w:p>
        </w:tc>
        <w:tc>
          <w:tcPr>
            <w:tcW w:w="577" w:type="pct"/>
            <w:vAlign w:val="bottom"/>
          </w:tcPr>
          <w:p w14:paraId="2CEDA401" w14:textId="77777777" w:rsidR="00206A65" w:rsidRPr="00781112" w:rsidRDefault="00206A65" w:rsidP="00206A65">
            <w:pPr>
              <w:jc w:val="center"/>
              <w:rPr>
                <w:b/>
                <w:color w:val="000000" w:themeColor="text1"/>
              </w:rPr>
            </w:pPr>
            <w:r w:rsidRPr="00781112">
              <w:rPr>
                <w:b/>
                <w:color w:val="000000" w:themeColor="text1"/>
              </w:rPr>
              <w:t>Slippage</w:t>
            </w:r>
          </w:p>
        </w:tc>
      </w:tr>
      <w:tr w:rsidR="005C29F8" w:rsidRPr="00781112" w14:paraId="33EC1428" w14:textId="77777777" w:rsidTr="002B4D97">
        <w:trPr>
          <w:trHeight w:val="361"/>
          <w:jc w:val="center"/>
        </w:trPr>
        <w:tc>
          <w:tcPr>
            <w:tcW w:w="652" w:type="pct"/>
            <w:vAlign w:val="center"/>
          </w:tcPr>
          <w:p w14:paraId="6E4CC508" w14:textId="77777777" w:rsidR="004B2A77" w:rsidRPr="00781112" w:rsidRDefault="004B2A77" w:rsidP="00A018D4">
            <w:pPr>
              <w:jc w:val="center"/>
              <w:rPr>
                <w:rFonts w:cs="Arial"/>
                <w:color w:val="000000" w:themeColor="text1"/>
                <w:szCs w:val="16"/>
              </w:rPr>
            </w:pPr>
            <w:r w:rsidRPr="00781112">
              <w:rPr>
                <w:rFonts w:cs="Arial"/>
                <w:color w:val="000000" w:themeColor="text1"/>
                <w:szCs w:val="16"/>
              </w:rPr>
              <w:t>0</w:t>
            </w:r>
          </w:p>
        </w:tc>
        <w:tc>
          <w:tcPr>
            <w:tcW w:w="583" w:type="pct"/>
            <w:vAlign w:val="center"/>
          </w:tcPr>
          <w:p w14:paraId="122FA88A" w14:textId="77777777" w:rsidR="004B2A77" w:rsidRPr="00781112" w:rsidRDefault="004B2A77" w:rsidP="00A018D4">
            <w:pPr>
              <w:jc w:val="center"/>
              <w:rPr>
                <w:rFonts w:cs="Arial"/>
                <w:color w:val="000000" w:themeColor="text1"/>
                <w:szCs w:val="16"/>
              </w:rPr>
            </w:pPr>
            <w:r w:rsidRPr="00781112">
              <w:rPr>
                <w:rFonts w:cs="Arial"/>
                <w:color w:val="000000" w:themeColor="text1"/>
                <w:szCs w:val="16"/>
              </w:rPr>
              <w:t>0</w:t>
            </w:r>
          </w:p>
        </w:tc>
        <w:tc>
          <w:tcPr>
            <w:tcW w:w="816" w:type="pct"/>
          </w:tcPr>
          <w:p w14:paraId="49616783" w14:textId="77777777" w:rsidR="004B2A77" w:rsidRPr="00781112" w:rsidRDefault="004B2A77" w:rsidP="00A018D4">
            <w:pPr>
              <w:jc w:val="center"/>
              <w:rPr>
                <w:rFonts w:cs="Arial"/>
                <w:color w:val="000000" w:themeColor="text1"/>
                <w:szCs w:val="16"/>
              </w:rPr>
            </w:pPr>
            <w:r w:rsidRPr="00781112">
              <w:rPr>
                <w:rFonts w:cs="Arial"/>
                <w:color w:val="000000" w:themeColor="text1"/>
                <w:szCs w:val="16"/>
              </w:rPr>
              <w:t>60</w:t>
            </w:r>
          </w:p>
        </w:tc>
        <w:tc>
          <w:tcPr>
            <w:tcW w:w="524" w:type="pct"/>
          </w:tcPr>
          <w:p w14:paraId="38CCDAF7" w14:textId="77777777" w:rsidR="004B2A77" w:rsidRPr="00781112" w:rsidRDefault="004B2A77" w:rsidP="00A018D4">
            <w:pPr>
              <w:jc w:val="center"/>
              <w:rPr>
                <w:rFonts w:cs="Arial"/>
                <w:color w:val="000000" w:themeColor="text1"/>
                <w:szCs w:val="16"/>
              </w:rPr>
            </w:pPr>
            <w:r w:rsidRPr="00781112">
              <w:rPr>
                <w:rFonts w:cs="Arial"/>
                <w:color w:val="000000" w:themeColor="text1"/>
                <w:szCs w:val="16"/>
              </w:rPr>
              <w:t>0.00%</w:t>
            </w:r>
          </w:p>
        </w:tc>
        <w:tc>
          <w:tcPr>
            <w:tcW w:w="778" w:type="pct"/>
          </w:tcPr>
          <w:p w14:paraId="25F90F6C" w14:textId="77777777" w:rsidR="004B2A77" w:rsidRPr="00781112" w:rsidRDefault="009C65E9" w:rsidP="00A018D4">
            <w:pPr>
              <w:jc w:val="center"/>
              <w:rPr>
                <w:rFonts w:cs="Arial"/>
                <w:color w:val="000000" w:themeColor="text1"/>
                <w:szCs w:val="16"/>
              </w:rPr>
            </w:pPr>
            <w:r w:rsidRPr="00781112">
              <w:rPr>
                <w:rFonts w:cs="Arial"/>
                <w:color w:val="000000" w:themeColor="text1"/>
                <w:szCs w:val="16"/>
              </w:rPr>
              <w:t>0%</w:t>
            </w:r>
          </w:p>
        </w:tc>
        <w:tc>
          <w:tcPr>
            <w:tcW w:w="473" w:type="pct"/>
          </w:tcPr>
          <w:p w14:paraId="5ED165F8" w14:textId="77777777" w:rsidR="004B2A77" w:rsidRPr="00781112" w:rsidRDefault="004B2A77" w:rsidP="00A018D4">
            <w:pPr>
              <w:jc w:val="center"/>
              <w:rPr>
                <w:rFonts w:cs="Arial"/>
                <w:color w:val="000000" w:themeColor="text1"/>
                <w:szCs w:val="16"/>
              </w:rPr>
            </w:pPr>
            <w:r w:rsidRPr="00781112">
              <w:rPr>
                <w:rFonts w:cs="Arial"/>
                <w:color w:val="000000" w:themeColor="text1"/>
                <w:szCs w:val="16"/>
              </w:rPr>
              <w:t>0.00%</w:t>
            </w:r>
          </w:p>
        </w:tc>
        <w:tc>
          <w:tcPr>
            <w:tcW w:w="596" w:type="pct"/>
          </w:tcPr>
          <w:p w14:paraId="2241BCBA" w14:textId="77777777" w:rsidR="004B2A77" w:rsidRPr="00781112" w:rsidRDefault="004B2A77" w:rsidP="00A018D4">
            <w:pPr>
              <w:jc w:val="center"/>
              <w:rPr>
                <w:rFonts w:cs="Arial"/>
                <w:color w:val="000000" w:themeColor="text1"/>
                <w:szCs w:val="16"/>
              </w:rPr>
            </w:pPr>
            <w:r w:rsidRPr="00781112">
              <w:rPr>
                <w:rFonts w:cs="Arial"/>
                <w:color w:val="000000" w:themeColor="text1"/>
                <w:szCs w:val="16"/>
              </w:rPr>
              <w:t>Met target</w:t>
            </w:r>
          </w:p>
        </w:tc>
        <w:tc>
          <w:tcPr>
            <w:tcW w:w="577" w:type="pct"/>
          </w:tcPr>
          <w:p w14:paraId="4EF1F90C" w14:textId="77777777" w:rsidR="004B2A77" w:rsidRPr="00781112" w:rsidRDefault="004B2A77" w:rsidP="00A018D4">
            <w:pPr>
              <w:jc w:val="center"/>
              <w:rPr>
                <w:rFonts w:cs="Arial"/>
                <w:color w:val="000000" w:themeColor="text1"/>
                <w:szCs w:val="16"/>
              </w:rPr>
            </w:pPr>
            <w:r w:rsidRPr="00781112">
              <w:rPr>
                <w:rFonts w:cs="Arial"/>
                <w:color w:val="000000" w:themeColor="text1"/>
                <w:szCs w:val="16"/>
              </w:rPr>
              <w:t>No Slippage</w:t>
            </w:r>
          </w:p>
        </w:tc>
      </w:tr>
    </w:tbl>
    <w:p w14:paraId="02CE115C" w14:textId="77777777" w:rsidR="003E7FC1" w:rsidRPr="00781112" w:rsidRDefault="00955FDB" w:rsidP="007D435F">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367CAD32" w14:textId="77777777" w:rsidR="003E7FC1" w:rsidRPr="00781112" w:rsidRDefault="003E7FC1" w:rsidP="007D435F">
      <w:pPr>
        <w:rPr>
          <w:rFonts w:cs="Arial"/>
          <w:color w:val="000000" w:themeColor="text1"/>
          <w:szCs w:val="16"/>
        </w:rPr>
      </w:pPr>
      <w:r w:rsidRPr="00781112">
        <w:rPr>
          <w:rFonts w:cs="Arial"/>
          <w:color w:val="000000" w:themeColor="text1"/>
          <w:szCs w:val="16"/>
        </w:rPr>
        <w:t>YES</w:t>
      </w:r>
    </w:p>
    <w:p w14:paraId="680D2889" w14:textId="77777777" w:rsidR="00030B45" w:rsidRPr="00781112" w:rsidRDefault="000F256B" w:rsidP="004369B2">
      <w:pPr>
        <w:rPr>
          <w:b/>
          <w:color w:val="000000" w:themeColor="text1"/>
        </w:rPr>
      </w:pPr>
      <w:r w:rsidRPr="00781112">
        <w:rPr>
          <w:b/>
          <w:color w:val="000000" w:themeColor="text1"/>
        </w:rPr>
        <w:t xml:space="preserve">Define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 </w:t>
      </w:r>
    </w:p>
    <w:p w14:paraId="5BD90AA7" w14:textId="77777777" w:rsidR="009B37A2" w:rsidRPr="00781112" w:rsidRDefault="002B7490" w:rsidP="00CE1CE8">
      <w:pPr>
        <w:rPr>
          <w:rFonts w:cs="Arial"/>
          <w:color w:val="000000" w:themeColor="text1"/>
          <w:szCs w:val="16"/>
        </w:rPr>
      </w:pPr>
      <w:bookmarkStart w:id="50" w:name="_Hlk494459610"/>
      <w:r w:rsidRPr="00781112">
        <w:rPr>
          <w:rFonts w:cs="Arial"/>
          <w:color w:val="000000" w:themeColor="text1"/>
          <w:szCs w:val="16"/>
        </w:rPr>
        <w:t>“DISPROPORTIONATE REPRESENTATION” DEFINITION</w:t>
      </w:r>
    </w:p>
    <w:p w14:paraId="307A7E50" w14:textId="77777777" w:rsidR="00CA787A" w:rsidRDefault="00CA787A"/>
    <w:p w14:paraId="664C8E23" w14:textId="77777777" w:rsidR="00CA787A" w:rsidRDefault="003169E9">
      <w:r>
        <w:rPr>
          <w:color w:val="000000"/>
        </w:rPr>
        <w:t>WVDE/OSE defines "disproportionate representation" as a risk ratio of 3.0 or greater (overrepresentation) for any given year (every one year). When disproportionate representation is identified in an LEA, WVDE/OSE determines whether the disproportionate representation is the result of inappropriate identification by reviewing policies, practices, and procedures as submitted by the LEA. Data for each LEA are analyzed for all seven racial/ethnic groups.</w:t>
      </w:r>
    </w:p>
    <w:p w14:paraId="21F5D512" w14:textId="77777777" w:rsidR="00CA787A" w:rsidRDefault="00CA787A"/>
    <w:p w14:paraId="6EFBCCC8" w14:textId="77777777" w:rsidR="00CA787A" w:rsidRDefault="003169E9">
      <w:r>
        <w:rPr>
          <w:color w:val="000000"/>
        </w:rPr>
        <w:t xml:space="preserve">CALCULATING “DISPROPORTIONATE REPRESENTATION” </w:t>
      </w:r>
    </w:p>
    <w:p w14:paraId="4CEC0C2B" w14:textId="77777777" w:rsidR="00CA787A" w:rsidRDefault="00CA787A"/>
    <w:p w14:paraId="169B9CAC" w14:textId="77777777" w:rsidR="00CA787A" w:rsidRDefault="003169E9">
      <w:r>
        <w:rPr>
          <w:color w:val="000000"/>
        </w:rPr>
        <w:t xml:space="preserve">WVDE/OSE calculates a risk ratio for each of the seven racial/ethnic categories within each LEA, using data from the SY 2024-25 FS002 Children with Disabilities (IDEA) School Age file, and data from the SY 2024-25 FS052 Membership file of students in grades K through 12. To be included in the analysis, an LEA must have at least 10 students with disabilities (cell size) and at least 30 students in overall enrollment (n-size) within the specific racial/ethnic group. The group's risk is then compared to either the LEA or state risk for all other students. For the LEA comparison group to be used, it must also meet the minimum cell (10) and n (30) sizes within its "all other" racial/ethnic group; otherwise, the statewide comparison group risk is used. </w:t>
      </w:r>
    </w:p>
    <w:bookmarkEnd w:id="50"/>
    <w:p w14:paraId="6AD63E29" w14:textId="77777777" w:rsidR="000F256B" w:rsidRPr="00781112" w:rsidRDefault="000F256B" w:rsidP="004369B2">
      <w:pPr>
        <w:rPr>
          <w:b/>
          <w:color w:val="000000" w:themeColor="text1"/>
        </w:rPr>
      </w:pPr>
      <w:r w:rsidRPr="00781112">
        <w:rPr>
          <w:b/>
          <w:color w:val="000000" w:themeColor="text1"/>
        </w:rPr>
        <w:t>Describe how the State made its annual determination as to whether the disproportionate representation it identified of racial and ethnic groups in special education and related services was the result of inappropriate identification.</w:t>
      </w:r>
    </w:p>
    <w:p w14:paraId="381B9645" w14:textId="77777777" w:rsidR="009B37A2" w:rsidRPr="00781112" w:rsidRDefault="002B7490" w:rsidP="003817C0">
      <w:pPr>
        <w:rPr>
          <w:rFonts w:cs="Arial"/>
          <w:color w:val="000000" w:themeColor="text1"/>
          <w:szCs w:val="16"/>
        </w:rPr>
      </w:pPr>
      <w:r w:rsidRPr="00781112">
        <w:rPr>
          <w:rFonts w:cs="Arial"/>
          <w:color w:val="000000" w:themeColor="text1"/>
          <w:szCs w:val="16"/>
        </w:rPr>
        <w:t xml:space="preserve">There was no disproportionate representation of racial and ethnic groups in special education identified. </w:t>
      </w:r>
    </w:p>
    <w:p w14:paraId="156093C9" w14:textId="77777777" w:rsidR="00DF1529" w:rsidRPr="00781112" w:rsidRDefault="00DF1529" w:rsidP="00DF1529">
      <w:pPr>
        <w:rPr>
          <w:rFonts w:cs="Arial"/>
          <w:b/>
          <w:color w:val="000000" w:themeColor="text1"/>
          <w:szCs w:val="16"/>
        </w:rPr>
      </w:pPr>
      <w:bookmarkStart w:id="51" w:name="_Toc381956337"/>
      <w:bookmarkStart w:id="52" w:name="_Toc384383347"/>
      <w:bookmarkStart w:id="53" w:name="_Toc392159315"/>
      <w:r w:rsidRPr="00781112">
        <w:rPr>
          <w:rFonts w:cs="Arial"/>
          <w:b/>
          <w:color w:val="000000" w:themeColor="text1"/>
          <w:szCs w:val="16"/>
        </w:rPr>
        <w:t>Provide additional information about this indicator (optional)</w:t>
      </w:r>
    </w:p>
    <w:p w14:paraId="35123AC5" w14:textId="77777777" w:rsidR="009B37A2" w:rsidRPr="00781112" w:rsidRDefault="002B7490" w:rsidP="007D435F">
      <w:pPr>
        <w:rPr>
          <w:rFonts w:cs="Arial"/>
          <w:color w:val="000000" w:themeColor="text1"/>
          <w:szCs w:val="16"/>
        </w:rPr>
      </w:pPr>
      <w:r w:rsidRPr="00781112">
        <w:rPr>
          <w:rFonts w:cs="Arial"/>
          <w:color w:val="000000" w:themeColor="text1"/>
          <w:szCs w:val="16"/>
        </w:rPr>
        <w:t>All LEAs are eligible for inclusion in the analysis with the exception of the state-operated WV Schools for the Deaf and Blind, and WV Schools for Diversion and Transition (institutional education programs across the state). Given the specialized nature of these two (2) LEAs, they are excluded from the analysis as they do not identify students for special education services.</w:t>
      </w:r>
    </w:p>
    <w:p w14:paraId="17656C9D" w14:textId="77777777" w:rsidR="009A755E" w:rsidRPr="00781112" w:rsidRDefault="00450F98" w:rsidP="004369B2">
      <w:pPr>
        <w:rPr>
          <w:color w:val="000000" w:themeColor="text1"/>
        </w:rPr>
      </w:pPr>
      <w:r>
        <w:rPr>
          <w:b/>
          <w:color w:val="000000" w:themeColor="text1"/>
        </w:rPr>
        <w:t>Correction of Findings of Noncompliance Identified in FFY 2023</w:t>
      </w:r>
    </w:p>
    <w:tbl>
      <w:tblPr>
        <w:tblStyle w:val="TableGrid"/>
        <w:tblW w:w="5000" w:type="pct"/>
        <w:tblLook w:val="04A0" w:firstRow="1" w:lastRow="0" w:firstColumn="1" w:lastColumn="0" w:noHBand="0" w:noVBand="1"/>
        <w:tblCaption w:val="B09PFFYNCFINDINGS"/>
      </w:tblPr>
      <w:tblGrid>
        <w:gridCol w:w="2650"/>
        <w:gridCol w:w="2780"/>
        <w:gridCol w:w="2656"/>
        <w:gridCol w:w="2704"/>
      </w:tblGrid>
      <w:tr w:rsidR="005C29F8" w:rsidRPr="00781112" w14:paraId="68AD9846" w14:textId="77777777" w:rsidTr="004671FF">
        <w:trPr>
          <w:trHeight w:val="389"/>
          <w:tblHeader/>
        </w:trPr>
        <w:tc>
          <w:tcPr>
            <w:tcW w:w="1228" w:type="pct"/>
            <w:vAlign w:val="bottom"/>
          </w:tcPr>
          <w:p w14:paraId="29047CBB"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vAlign w:val="bottom"/>
          </w:tcPr>
          <w:p w14:paraId="2C31E687"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vAlign w:val="bottom"/>
          </w:tcPr>
          <w:p w14:paraId="1165A5A8"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vAlign w:val="bottom"/>
          </w:tcPr>
          <w:p w14:paraId="0390E4F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20CE461A" w14:textId="77777777" w:rsidTr="004671FF">
        <w:tc>
          <w:tcPr>
            <w:tcW w:w="1228" w:type="pct"/>
          </w:tcPr>
          <w:p w14:paraId="66B79184" w14:textId="77777777"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88" w:type="pct"/>
          </w:tcPr>
          <w:p w14:paraId="2B5657DC" w14:textId="77777777"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31" w:type="pct"/>
          </w:tcPr>
          <w:p w14:paraId="2A7563C5" w14:textId="77777777"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54" w:type="pct"/>
          </w:tcPr>
          <w:p w14:paraId="74815607" w14:textId="77777777"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24641B27" w14:textId="77777777" w:rsidR="00541D9E" w:rsidRPr="002E2B1D" w:rsidRDefault="00541D9E" w:rsidP="00541D9E">
      <w:pPr>
        <w:keepNext/>
        <w:spacing w:after="0"/>
        <w:rPr>
          <w:rFonts w:eastAsia="Times New Roman" w:cs="Arial"/>
          <w:b/>
          <w:szCs w:val="16"/>
        </w:rPr>
      </w:pPr>
      <w:r w:rsidRPr="002E2B1D">
        <w:rPr>
          <w:rFonts w:eastAsia="Times New Roman" w:cs="Arial"/>
          <w:b/>
          <w:szCs w:val="16"/>
        </w:rPr>
        <w:t xml:space="preserve">If procedures have been adopted that permit LEAs to correct noncompliance prior to the State’s issuance of a finding (i.e., pre-finding correction), describe how, for instances of noncompliance discovered in FFY 2023, the State verified: (1) that the source of noncompliance is correctly implementing the regulatory requirements; </w:t>
      </w:r>
      <w:proofErr w:type="gramStart"/>
      <w:r w:rsidRPr="002E2B1D">
        <w:rPr>
          <w:rFonts w:eastAsia="Times New Roman" w:cs="Arial"/>
          <w:b/>
          <w:szCs w:val="16"/>
        </w:rPr>
        <w:t>and,</w:t>
      </w:r>
      <w:proofErr w:type="gramEnd"/>
      <w:r w:rsidRPr="002E2B1D">
        <w:rPr>
          <w:rFonts w:eastAsia="Times New Roman" w:cs="Arial"/>
          <w:b/>
          <w:szCs w:val="16"/>
        </w:rPr>
        <w:t xml:space="preserve"> (2) each individual case of noncompliance was corrected. </w:t>
      </w:r>
    </w:p>
    <w:p w14:paraId="2F727A7D" w14:textId="77777777" w:rsidR="00F5391D" w:rsidRPr="008C215C" w:rsidRDefault="00541D9E" w:rsidP="00541D9E">
      <w:r w:rsidRPr="008C215C">
        <w:t>WVDE/OSE has not adopted procedures that permit LEAs to correct identified noncompliance prior to the issuance of a finding.</w:t>
      </w:r>
    </w:p>
    <w:p w14:paraId="55D1E6A6" w14:textId="77777777" w:rsidR="009A755E" w:rsidRPr="00781112" w:rsidRDefault="00450F98" w:rsidP="004369B2">
      <w:pPr>
        <w:rPr>
          <w:color w:val="000000" w:themeColor="text1"/>
        </w:rPr>
      </w:pPr>
      <w:r>
        <w:rPr>
          <w:b/>
          <w:color w:val="000000" w:themeColor="text1"/>
        </w:rPr>
        <w:t>Correction of Findings of Noncompliance Identified Prior to FFY 2023</w:t>
      </w:r>
    </w:p>
    <w:tbl>
      <w:tblPr>
        <w:tblStyle w:val="TableGrid"/>
        <w:tblW w:w="5000" w:type="pct"/>
        <w:tblLook w:val="04A0" w:firstRow="1" w:lastRow="0" w:firstColumn="1" w:lastColumn="0" w:noHBand="0" w:noVBand="1"/>
        <w:tblCaption w:val="B09PPFFYNCFINDINGS"/>
      </w:tblPr>
      <w:tblGrid>
        <w:gridCol w:w="1890"/>
        <w:gridCol w:w="3131"/>
        <w:gridCol w:w="3123"/>
        <w:gridCol w:w="2646"/>
      </w:tblGrid>
      <w:tr w:rsidR="005C29F8" w:rsidRPr="00781112" w14:paraId="0F165DE6" w14:textId="77777777" w:rsidTr="00052590">
        <w:trPr>
          <w:tblHeader/>
        </w:trPr>
        <w:tc>
          <w:tcPr>
            <w:tcW w:w="876" w:type="pct"/>
            <w:vAlign w:val="bottom"/>
          </w:tcPr>
          <w:p w14:paraId="708A54F4" w14:textId="77777777"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51" w:type="pct"/>
            <w:vAlign w:val="bottom"/>
          </w:tcPr>
          <w:p w14:paraId="05EA0F01" w14:textId="77777777"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2023 APR</w:t>
            </w:r>
          </w:p>
        </w:tc>
        <w:tc>
          <w:tcPr>
            <w:tcW w:w="1447" w:type="pct"/>
            <w:vAlign w:val="bottom"/>
          </w:tcPr>
          <w:p w14:paraId="7F4E3E4D"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26" w:type="pct"/>
            <w:vAlign w:val="bottom"/>
          </w:tcPr>
          <w:p w14:paraId="77B8FEDD"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7452A054" w14:textId="77777777" w:rsidTr="00052590">
        <w:tc>
          <w:tcPr>
            <w:tcW w:w="876" w:type="pct"/>
          </w:tcPr>
          <w:p w14:paraId="681CEC89" w14:textId="77777777" w:rsidR="009A755E" w:rsidRPr="00781112" w:rsidRDefault="009A755E" w:rsidP="00A018D4">
            <w:pPr>
              <w:jc w:val="center"/>
              <w:rPr>
                <w:rFonts w:cs="Arial"/>
                <w:color w:val="000000" w:themeColor="text1"/>
                <w:szCs w:val="16"/>
              </w:rPr>
            </w:pPr>
          </w:p>
        </w:tc>
        <w:tc>
          <w:tcPr>
            <w:tcW w:w="1451" w:type="pct"/>
          </w:tcPr>
          <w:p w14:paraId="38AB3583" w14:textId="77777777" w:rsidR="009A755E" w:rsidRPr="00781112" w:rsidRDefault="009A755E">
            <w:pPr>
              <w:jc w:val="center"/>
              <w:rPr>
                <w:rFonts w:cs="Arial"/>
                <w:noProof/>
                <w:color w:val="000000" w:themeColor="text1"/>
                <w:szCs w:val="16"/>
              </w:rPr>
            </w:pPr>
          </w:p>
        </w:tc>
        <w:tc>
          <w:tcPr>
            <w:tcW w:w="1447" w:type="pct"/>
          </w:tcPr>
          <w:p w14:paraId="1B30B217" w14:textId="77777777" w:rsidR="009A755E" w:rsidRPr="00781112" w:rsidRDefault="009A755E">
            <w:pPr>
              <w:jc w:val="center"/>
              <w:rPr>
                <w:rFonts w:cs="Arial"/>
                <w:noProof/>
                <w:color w:val="000000" w:themeColor="text1"/>
                <w:szCs w:val="16"/>
              </w:rPr>
            </w:pPr>
          </w:p>
        </w:tc>
        <w:tc>
          <w:tcPr>
            <w:tcW w:w="1226" w:type="pct"/>
          </w:tcPr>
          <w:p w14:paraId="362CEB7B" w14:textId="77777777" w:rsidR="009A755E" w:rsidRPr="00781112" w:rsidRDefault="009A755E">
            <w:pPr>
              <w:jc w:val="center"/>
              <w:rPr>
                <w:rFonts w:cs="Arial"/>
                <w:noProof/>
                <w:color w:val="000000" w:themeColor="text1"/>
                <w:szCs w:val="16"/>
              </w:rPr>
            </w:pPr>
          </w:p>
        </w:tc>
      </w:tr>
      <w:tr w:rsidR="005C29F8" w:rsidRPr="00781112" w14:paraId="0440BD31" w14:textId="77777777" w:rsidTr="00052590">
        <w:tc>
          <w:tcPr>
            <w:tcW w:w="876" w:type="pct"/>
          </w:tcPr>
          <w:p w14:paraId="20DD9DC5" w14:textId="77777777" w:rsidR="009A755E" w:rsidRPr="00781112" w:rsidRDefault="009A755E" w:rsidP="00A018D4">
            <w:pPr>
              <w:jc w:val="center"/>
              <w:rPr>
                <w:rFonts w:cs="Arial"/>
                <w:color w:val="000000" w:themeColor="text1"/>
                <w:szCs w:val="16"/>
              </w:rPr>
            </w:pPr>
          </w:p>
        </w:tc>
        <w:tc>
          <w:tcPr>
            <w:tcW w:w="1451" w:type="pct"/>
          </w:tcPr>
          <w:p w14:paraId="70FA4DBA" w14:textId="77777777" w:rsidR="009A755E" w:rsidRPr="00781112" w:rsidRDefault="009A755E">
            <w:pPr>
              <w:jc w:val="center"/>
              <w:rPr>
                <w:rFonts w:cs="Arial"/>
                <w:noProof/>
                <w:color w:val="000000" w:themeColor="text1"/>
                <w:szCs w:val="16"/>
              </w:rPr>
            </w:pPr>
          </w:p>
        </w:tc>
        <w:tc>
          <w:tcPr>
            <w:tcW w:w="1447" w:type="pct"/>
          </w:tcPr>
          <w:p w14:paraId="4D84DD7E" w14:textId="77777777" w:rsidR="009A755E" w:rsidRPr="00781112" w:rsidRDefault="009A755E">
            <w:pPr>
              <w:jc w:val="center"/>
              <w:rPr>
                <w:rFonts w:cs="Arial"/>
                <w:noProof/>
                <w:color w:val="000000" w:themeColor="text1"/>
                <w:szCs w:val="16"/>
              </w:rPr>
            </w:pPr>
          </w:p>
        </w:tc>
        <w:tc>
          <w:tcPr>
            <w:tcW w:w="1226" w:type="pct"/>
          </w:tcPr>
          <w:p w14:paraId="7D320D9A" w14:textId="77777777" w:rsidR="009A755E" w:rsidRPr="00781112" w:rsidRDefault="009A755E">
            <w:pPr>
              <w:jc w:val="center"/>
              <w:rPr>
                <w:rFonts w:cs="Arial"/>
                <w:noProof/>
                <w:color w:val="000000" w:themeColor="text1"/>
                <w:szCs w:val="16"/>
              </w:rPr>
            </w:pPr>
          </w:p>
        </w:tc>
      </w:tr>
      <w:tr w:rsidR="005C29F8" w:rsidRPr="00781112" w14:paraId="4A01CCDA" w14:textId="77777777" w:rsidTr="00052590">
        <w:tc>
          <w:tcPr>
            <w:tcW w:w="876" w:type="pct"/>
          </w:tcPr>
          <w:p w14:paraId="42A6B82C" w14:textId="77777777" w:rsidR="009A755E" w:rsidRPr="00781112" w:rsidRDefault="009A755E" w:rsidP="00A018D4">
            <w:pPr>
              <w:jc w:val="center"/>
              <w:rPr>
                <w:rFonts w:cs="Arial"/>
                <w:color w:val="000000" w:themeColor="text1"/>
                <w:szCs w:val="16"/>
              </w:rPr>
            </w:pPr>
          </w:p>
        </w:tc>
        <w:tc>
          <w:tcPr>
            <w:tcW w:w="1451" w:type="pct"/>
          </w:tcPr>
          <w:p w14:paraId="10F452BE" w14:textId="77777777" w:rsidR="009A755E" w:rsidRPr="00781112" w:rsidRDefault="009A755E">
            <w:pPr>
              <w:jc w:val="center"/>
              <w:rPr>
                <w:rFonts w:cs="Arial"/>
                <w:noProof/>
                <w:color w:val="000000" w:themeColor="text1"/>
                <w:szCs w:val="16"/>
              </w:rPr>
            </w:pPr>
          </w:p>
        </w:tc>
        <w:tc>
          <w:tcPr>
            <w:tcW w:w="1447" w:type="pct"/>
          </w:tcPr>
          <w:p w14:paraId="081705F0" w14:textId="77777777" w:rsidR="009A755E" w:rsidRPr="00781112" w:rsidRDefault="009A755E">
            <w:pPr>
              <w:jc w:val="center"/>
              <w:rPr>
                <w:rFonts w:cs="Arial"/>
                <w:noProof/>
                <w:color w:val="000000" w:themeColor="text1"/>
                <w:szCs w:val="16"/>
              </w:rPr>
            </w:pPr>
          </w:p>
        </w:tc>
        <w:tc>
          <w:tcPr>
            <w:tcW w:w="1226" w:type="pct"/>
          </w:tcPr>
          <w:p w14:paraId="764B8387" w14:textId="77777777" w:rsidR="009A755E" w:rsidRPr="00781112" w:rsidRDefault="009A755E">
            <w:pPr>
              <w:jc w:val="center"/>
              <w:rPr>
                <w:rFonts w:cs="Arial"/>
                <w:noProof/>
                <w:color w:val="000000" w:themeColor="text1"/>
                <w:szCs w:val="16"/>
              </w:rPr>
            </w:pPr>
          </w:p>
        </w:tc>
      </w:tr>
      <w:tr w:rsidR="00052590" w:rsidRPr="00781112" w14:paraId="4721E36F" w14:textId="77777777" w:rsidTr="00052590">
        <w:tc>
          <w:tcPr>
            <w:tcW w:w="876" w:type="pct"/>
          </w:tcPr>
          <w:p w14:paraId="421C95F2" w14:textId="77777777" w:rsidR="00052590" w:rsidRPr="00781112" w:rsidRDefault="00052590" w:rsidP="00052590">
            <w:pPr>
              <w:jc w:val="center"/>
              <w:rPr>
                <w:rFonts w:cs="Arial"/>
                <w:color w:val="000000" w:themeColor="text1"/>
                <w:szCs w:val="16"/>
              </w:rPr>
            </w:pPr>
          </w:p>
        </w:tc>
        <w:tc>
          <w:tcPr>
            <w:tcW w:w="1451" w:type="pct"/>
          </w:tcPr>
          <w:p w14:paraId="5DB13B15" w14:textId="77777777" w:rsidR="00052590" w:rsidRPr="00781112" w:rsidRDefault="00052590" w:rsidP="00052590">
            <w:pPr>
              <w:jc w:val="center"/>
              <w:rPr>
                <w:rFonts w:cs="Arial"/>
                <w:color w:val="000000" w:themeColor="text1"/>
                <w:szCs w:val="16"/>
              </w:rPr>
            </w:pPr>
          </w:p>
        </w:tc>
        <w:tc>
          <w:tcPr>
            <w:tcW w:w="1447" w:type="pct"/>
          </w:tcPr>
          <w:p w14:paraId="73346A1F" w14:textId="77777777" w:rsidR="00052590" w:rsidRPr="00781112" w:rsidRDefault="00052590" w:rsidP="00052590">
            <w:pPr>
              <w:jc w:val="center"/>
              <w:rPr>
                <w:rFonts w:cs="Arial"/>
                <w:color w:val="000000" w:themeColor="text1"/>
                <w:szCs w:val="16"/>
              </w:rPr>
            </w:pPr>
          </w:p>
        </w:tc>
        <w:tc>
          <w:tcPr>
            <w:tcW w:w="1226" w:type="pct"/>
          </w:tcPr>
          <w:p w14:paraId="3CD80AC4" w14:textId="77777777" w:rsidR="00052590" w:rsidRPr="00781112" w:rsidRDefault="00052590" w:rsidP="00052590">
            <w:pPr>
              <w:jc w:val="center"/>
              <w:rPr>
                <w:rFonts w:cs="Arial"/>
                <w:color w:val="000000" w:themeColor="text1"/>
                <w:szCs w:val="16"/>
              </w:rPr>
            </w:pPr>
          </w:p>
        </w:tc>
      </w:tr>
      <w:tr w:rsidR="00052590" w:rsidRPr="00781112" w14:paraId="5C0D8199" w14:textId="77777777" w:rsidTr="00052590">
        <w:tc>
          <w:tcPr>
            <w:tcW w:w="876" w:type="pct"/>
          </w:tcPr>
          <w:p w14:paraId="7A1EF82E" w14:textId="77777777" w:rsidR="00052590" w:rsidRPr="00781112" w:rsidRDefault="00052590" w:rsidP="00052590">
            <w:pPr>
              <w:jc w:val="center"/>
              <w:rPr>
                <w:rFonts w:cs="Arial"/>
                <w:color w:val="000000" w:themeColor="text1"/>
                <w:szCs w:val="16"/>
              </w:rPr>
            </w:pPr>
          </w:p>
        </w:tc>
        <w:tc>
          <w:tcPr>
            <w:tcW w:w="1451" w:type="pct"/>
          </w:tcPr>
          <w:p w14:paraId="1123FB45" w14:textId="77777777" w:rsidR="00052590" w:rsidRPr="00781112" w:rsidRDefault="00052590" w:rsidP="00052590">
            <w:pPr>
              <w:jc w:val="center"/>
              <w:rPr>
                <w:rFonts w:cs="Arial"/>
                <w:color w:val="000000" w:themeColor="text1"/>
                <w:szCs w:val="16"/>
              </w:rPr>
            </w:pPr>
          </w:p>
        </w:tc>
        <w:tc>
          <w:tcPr>
            <w:tcW w:w="1447" w:type="pct"/>
          </w:tcPr>
          <w:p w14:paraId="2C6B319A" w14:textId="77777777" w:rsidR="00052590" w:rsidRPr="00781112" w:rsidRDefault="00052590" w:rsidP="00052590">
            <w:pPr>
              <w:jc w:val="center"/>
              <w:rPr>
                <w:rFonts w:cs="Arial"/>
                <w:color w:val="000000" w:themeColor="text1"/>
                <w:szCs w:val="16"/>
              </w:rPr>
            </w:pPr>
          </w:p>
        </w:tc>
        <w:tc>
          <w:tcPr>
            <w:tcW w:w="1226" w:type="pct"/>
          </w:tcPr>
          <w:p w14:paraId="275AA8E1" w14:textId="77777777" w:rsidR="00052590" w:rsidRPr="00781112" w:rsidRDefault="00052590" w:rsidP="00052590">
            <w:pPr>
              <w:jc w:val="center"/>
              <w:rPr>
                <w:rFonts w:cs="Arial"/>
                <w:color w:val="000000" w:themeColor="text1"/>
                <w:szCs w:val="16"/>
              </w:rPr>
            </w:pPr>
          </w:p>
        </w:tc>
      </w:tr>
    </w:tbl>
    <w:p w14:paraId="0D31BDD3" w14:textId="77777777" w:rsidR="004E2151" w:rsidRPr="00781112" w:rsidRDefault="00400C56" w:rsidP="008645AD">
      <w:pPr>
        <w:pStyle w:val="Heading2"/>
      </w:pPr>
      <w:r w:rsidRPr="00781112">
        <w:t>9</w:t>
      </w:r>
      <w:r w:rsidR="00844ADE" w:rsidRPr="00781112">
        <w:t xml:space="preserve"> </w:t>
      </w:r>
      <w:r w:rsidRPr="00781112">
        <w:t xml:space="preserve">- </w:t>
      </w:r>
      <w:r w:rsidR="004E2151" w:rsidRPr="00781112">
        <w:t>Prior FFY Required Actions</w:t>
      </w:r>
    </w:p>
    <w:p w14:paraId="484C0911" w14:textId="77777777" w:rsidR="004E2151" w:rsidRPr="00781112" w:rsidRDefault="002B7490" w:rsidP="004E2151">
      <w:pPr>
        <w:rPr>
          <w:rFonts w:cs="Arial"/>
          <w:color w:val="000000" w:themeColor="text1"/>
          <w:szCs w:val="16"/>
        </w:rPr>
      </w:pPr>
      <w:r w:rsidRPr="00781112">
        <w:rPr>
          <w:rFonts w:cs="Arial"/>
          <w:color w:val="000000" w:themeColor="text1"/>
          <w:szCs w:val="16"/>
        </w:rPr>
        <w:t>None</w:t>
      </w:r>
    </w:p>
    <w:p w14:paraId="28049A9B" w14:textId="77777777" w:rsidR="00591597" w:rsidRPr="00781112" w:rsidRDefault="00591597" w:rsidP="004E2151">
      <w:pPr>
        <w:rPr>
          <w:rFonts w:cs="Arial"/>
          <w:color w:val="000000" w:themeColor="text1"/>
          <w:szCs w:val="16"/>
        </w:rPr>
      </w:pPr>
    </w:p>
    <w:p w14:paraId="53AC0672" w14:textId="77777777" w:rsidR="00591597" w:rsidRPr="00781112" w:rsidRDefault="00591597" w:rsidP="004E2151">
      <w:pPr>
        <w:rPr>
          <w:rFonts w:cs="Arial"/>
          <w:color w:val="000000" w:themeColor="text1"/>
          <w:szCs w:val="16"/>
        </w:rPr>
      </w:pPr>
    </w:p>
    <w:p w14:paraId="098030F6" w14:textId="77777777" w:rsidR="007F5071" w:rsidRPr="00781112" w:rsidRDefault="00400C56" w:rsidP="008645AD">
      <w:pPr>
        <w:pStyle w:val="Heading2"/>
      </w:pPr>
      <w:r w:rsidRPr="00781112">
        <w:t>9 - OSEP Response</w:t>
      </w:r>
    </w:p>
    <w:p w14:paraId="15E31646" w14:textId="77777777" w:rsidR="00481536" w:rsidRPr="00781112" w:rsidRDefault="00481536" w:rsidP="00212954">
      <w:pPr>
        <w:rPr>
          <w:rFonts w:cs="Arial"/>
          <w:color w:val="000000" w:themeColor="text1"/>
          <w:szCs w:val="16"/>
        </w:rPr>
      </w:pPr>
    </w:p>
    <w:p w14:paraId="43DA4B27" w14:textId="77777777" w:rsidR="007F5071" w:rsidRPr="00781112" w:rsidRDefault="00977D0D" w:rsidP="008645AD">
      <w:pPr>
        <w:pStyle w:val="Heading2"/>
      </w:pPr>
      <w:r w:rsidRPr="00781112">
        <w:t>9 - Required Actions</w:t>
      </w:r>
    </w:p>
    <w:p w14:paraId="2881FB33" w14:textId="77777777" w:rsidR="00481536" w:rsidRPr="00781112" w:rsidRDefault="00481536" w:rsidP="00212954">
      <w:pPr>
        <w:rPr>
          <w:rFonts w:cs="Arial"/>
          <w:color w:val="000000" w:themeColor="text1"/>
          <w:szCs w:val="16"/>
        </w:rPr>
      </w:pPr>
    </w:p>
    <w:p w14:paraId="1D8E99D0"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02AF8294" w14:textId="77777777" w:rsidR="00D03701" w:rsidRPr="00781112" w:rsidRDefault="00D03701" w:rsidP="000444E2">
      <w:pPr>
        <w:pStyle w:val="Heading1"/>
        <w:rPr>
          <w:color w:val="000000" w:themeColor="text1"/>
          <w:sz w:val="22"/>
        </w:rPr>
      </w:pPr>
      <w:r w:rsidRPr="00781112">
        <w:rPr>
          <w:color w:val="000000" w:themeColor="text1"/>
          <w:sz w:val="22"/>
        </w:rPr>
        <w:lastRenderedPageBreak/>
        <w:t>Indicator 10: Disproportionate Representation in Specific Disability Categories</w:t>
      </w:r>
      <w:bookmarkEnd w:id="51"/>
      <w:bookmarkEnd w:id="52"/>
      <w:bookmarkEnd w:id="53"/>
      <w:r w:rsidRPr="00781112">
        <w:rPr>
          <w:color w:val="000000" w:themeColor="text1"/>
          <w:sz w:val="22"/>
        </w:rPr>
        <w:t xml:space="preserve"> </w:t>
      </w:r>
    </w:p>
    <w:p w14:paraId="22311C38" w14:textId="77777777" w:rsidR="00B70FBF" w:rsidRPr="002C274F" w:rsidRDefault="00B70FBF" w:rsidP="002C274F">
      <w:pPr>
        <w:rPr>
          <w:b/>
          <w:bCs/>
          <w:sz w:val="20"/>
          <w:szCs w:val="20"/>
        </w:rPr>
      </w:pPr>
      <w:bookmarkStart w:id="54" w:name="_Toc384383348"/>
      <w:bookmarkStart w:id="55" w:name="_Toc392159316"/>
      <w:r w:rsidRPr="002C274F">
        <w:rPr>
          <w:b/>
          <w:bCs/>
          <w:sz w:val="20"/>
          <w:szCs w:val="20"/>
        </w:rPr>
        <w:t>Instructions and Measurement</w:t>
      </w:r>
    </w:p>
    <w:p w14:paraId="51144984" w14:textId="77777777" w:rsidR="00CC634E" w:rsidRPr="00781112" w:rsidRDefault="00CC634E" w:rsidP="005A3C12">
      <w:pPr>
        <w:rPr>
          <w:rFonts w:cs="Arial"/>
          <w:b/>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xml:space="preserve"> Disproportionality</w:t>
      </w:r>
    </w:p>
    <w:p w14:paraId="12552E23" w14:textId="77777777" w:rsidR="001D677D" w:rsidRPr="00781112" w:rsidRDefault="00CC634E" w:rsidP="005A3C12">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Percent of districts with disproportionate representation of racial and ethnic groups in specific disability categories that is the result of inappropriate identification.</w:t>
      </w:r>
    </w:p>
    <w:p w14:paraId="68D7BEBE" w14:textId="77777777" w:rsidR="00CC634E" w:rsidRPr="00781112" w:rsidRDefault="00CC634E" w:rsidP="005A3C12">
      <w:pPr>
        <w:rPr>
          <w:rFonts w:cs="Arial"/>
          <w:color w:val="000000" w:themeColor="text1"/>
          <w:szCs w:val="16"/>
        </w:rPr>
      </w:pPr>
      <w:r w:rsidRPr="00781112">
        <w:rPr>
          <w:rFonts w:cs="Arial"/>
          <w:color w:val="000000" w:themeColor="text1"/>
          <w:szCs w:val="16"/>
        </w:rPr>
        <w:t xml:space="preserve"> (20 U.S.C. 1416(a)(3)(C))</w:t>
      </w:r>
    </w:p>
    <w:p w14:paraId="37BD6A8C" w14:textId="77777777" w:rsidR="001D677D" w:rsidRPr="00781112" w:rsidRDefault="001D677D" w:rsidP="004369B2">
      <w:pPr>
        <w:rPr>
          <w:color w:val="000000" w:themeColor="text1"/>
        </w:rPr>
      </w:pPr>
      <w:r w:rsidRPr="00781112">
        <w:rPr>
          <w:b/>
          <w:color w:val="000000" w:themeColor="text1"/>
        </w:rPr>
        <w:t>Data Source</w:t>
      </w:r>
    </w:p>
    <w:p w14:paraId="78AD496F" w14:textId="77777777" w:rsidR="001D677D" w:rsidRPr="00781112" w:rsidRDefault="007A3964" w:rsidP="00286BDF">
      <w:pPr>
        <w:rPr>
          <w:rFonts w:cs="Arial"/>
          <w:color w:val="000000" w:themeColor="text1"/>
          <w:szCs w:val="16"/>
        </w:rPr>
      </w:pPr>
      <w:r w:rsidRPr="00781112">
        <w:rPr>
          <w:rFonts w:cs="Arial"/>
          <w:color w:val="000000" w:themeColor="text1"/>
          <w:szCs w:val="16"/>
          <w:shd w:val="clear" w:color="auto" w:fill="FFFFFF"/>
        </w:rPr>
        <w:t>State’s analysis, based on State’s Child Count data collected under IDEA section 618, to determine if the disproportionate representation of racial and ethnic groups in specific disability categories was the result of inappropriate identification.</w:t>
      </w:r>
    </w:p>
    <w:p w14:paraId="2AE71997" w14:textId="77777777" w:rsidR="001D677D" w:rsidRPr="00781112" w:rsidRDefault="001D677D" w:rsidP="004369B2">
      <w:pPr>
        <w:rPr>
          <w:color w:val="000000" w:themeColor="text1"/>
        </w:rPr>
      </w:pPr>
      <w:r w:rsidRPr="00781112">
        <w:rPr>
          <w:b/>
          <w:color w:val="000000" w:themeColor="text1"/>
        </w:rPr>
        <w:t>Measurement</w:t>
      </w:r>
    </w:p>
    <w:p w14:paraId="7ECD8FD7" w14:textId="77777777" w:rsidR="007A3964" w:rsidRPr="00781112" w:rsidRDefault="007A3964" w:rsidP="007A3964">
      <w:pPr>
        <w:rPr>
          <w:rFonts w:cs="Arial"/>
          <w:color w:val="000000" w:themeColor="text1"/>
          <w:szCs w:val="16"/>
        </w:rPr>
      </w:pPr>
      <w:r w:rsidRPr="00781112">
        <w:rPr>
          <w:rFonts w:cs="Arial"/>
          <w:color w:val="000000" w:themeColor="text1"/>
          <w:szCs w:val="16"/>
        </w:rPr>
        <w:t>Percent = [(# of districts, that meet the State-established n and/or cell size (if applicable) for one or more racial/ethnic groups, with disproportionate representation of racial and ethnic groups in specific disability categories that is the result of inappropriate identification) divided by the (# of districts in the State that meet the State-established n and/or cell size (if applicable) for one or more racial/ethnic groups)] times 100.</w:t>
      </w:r>
    </w:p>
    <w:p w14:paraId="2F143114" w14:textId="77777777" w:rsidR="007A3964" w:rsidRPr="00781112" w:rsidRDefault="007A3964" w:rsidP="007A3964">
      <w:pPr>
        <w:rPr>
          <w:rFonts w:cs="Arial"/>
          <w:color w:val="000000" w:themeColor="text1"/>
          <w:szCs w:val="16"/>
        </w:rPr>
      </w:pPr>
      <w:r w:rsidRPr="00781112">
        <w:rPr>
          <w:rFonts w:cs="Arial"/>
          <w:color w:val="000000" w:themeColor="text1"/>
          <w:szCs w:val="16"/>
        </w:rPr>
        <w:t>Include State’s definition of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w:t>
      </w:r>
    </w:p>
    <w:p w14:paraId="34AB9D6A" w14:textId="77777777" w:rsidR="001D677D" w:rsidRPr="00781112" w:rsidRDefault="007A3964" w:rsidP="007A3964">
      <w:pPr>
        <w:rPr>
          <w:rFonts w:cs="Arial"/>
          <w:color w:val="000000" w:themeColor="text1"/>
          <w:szCs w:val="16"/>
        </w:rPr>
      </w:pPr>
      <w:r w:rsidRPr="00781112">
        <w:rPr>
          <w:rFonts w:cs="Arial"/>
          <w:color w:val="000000" w:themeColor="text1"/>
          <w:szCs w:val="16"/>
        </w:rPr>
        <w:t xml:space="preserve">Based on its review of the section 618 data for the reporting year, describe how the State made its annual determination as to whether the disproportionate </w:t>
      </w:r>
      <w:proofErr w:type="gramStart"/>
      <w:r w:rsidRPr="00781112">
        <w:rPr>
          <w:rFonts w:cs="Arial"/>
          <w:color w:val="000000" w:themeColor="text1"/>
          <w:szCs w:val="16"/>
        </w:rPr>
        <w:t>representation it identified</w:t>
      </w:r>
      <w:proofErr w:type="gramEnd"/>
      <w:r w:rsidRPr="00781112">
        <w:rPr>
          <w:rFonts w:cs="Arial"/>
          <w:color w:val="000000" w:themeColor="text1"/>
          <w:szCs w:val="16"/>
        </w:rPr>
        <w:t xml:space="preserve"> of racial and ethnic groups in specific disability categories was the result of inappropriate identification as required by 34 CFR §§300.600(d)(3) and 300.602(a), (e.g., using monitoring data; reviewing policies, practices and procedures). In determining disproportionate representation, analyze data, for each district, for all racial and ethnic groups in the district, or all racial and ethnic groups in the district that meet a minimum n and/or cell size set by the State. Report on the percent of districts in which disproportionate representation of racial and ethnic groups in </w:t>
      </w:r>
      <w:r w:rsidR="00C77D8E" w:rsidRPr="00781112">
        <w:rPr>
          <w:rFonts w:cs="Arial"/>
          <w:szCs w:val="16"/>
        </w:rPr>
        <w:t xml:space="preserve">specific disability categories </w:t>
      </w:r>
      <w:r w:rsidRPr="00781112">
        <w:rPr>
          <w:rFonts w:cs="Arial"/>
          <w:color w:val="000000" w:themeColor="text1"/>
          <w:szCs w:val="16"/>
        </w:rPr>
        <w:t xml:space="preserve">is the result of inappropriate identification, even if the determination of inappropriate identification was made after the end of the FFY </w:t>
      </w:r>
      <w:r w:rsidR="0039210B">
        <w:rPr>
          <w:rFonts w:cs="Arial"/>
          <w:color w:val="000000" w:themeColor="text1"/>
          <w:szCs w:val="16"/>
        </w:rPr>
        <w:t>2024</w:t>
      </w:r>
      <w:r w:rsidR="00206A65" w:rsidRPr="00781112">
        <w:rPr>
          <w:rFonts w:cs="Arial"/>
          <w:color w:val="000000" w:themeColor="text1"/>
          <w:szCs w:val="16"/>
        </w:rPr>
        <w:t xml:space="preserve"> </w:t>
      </w:r>
      <w:r w:rsidRPr="00781112">
        <w:rPr>
          <w:rFonts w:cs="Arial"/>
          <w:color w:val="000000" w:themeColor="text1"/>
          <w:szCs w:val="16"/>
        </w:rPr>
        <w:t xml:space="preserve">reporting period (i.e., after June 30, </w:t>
      </w:r>
      <w:r w:rsidR="0039210B">
        <w:rPr>
          <w:rFonts w:cs="Arial"/>
          <w:color w:val="000000" w:themeColor="text1"/>
          <w:szCs w:val="16"/>
        </w:rPr>
        <w:t>2025</w:t>
      </w:r>
      <w:r w:rsidRPr="00781112">
        <w:rPr>
          <w:rFonts w:cs="Arial"/>
          <w:color w:val="000000" w:themeColor="text1"/>
          <w:szCs w:val="16"/>
        </w:rPr>
        <w:t>).</w:t>
      </w:r>
    </w:p>
    <w:p w14:paraId="36C2BA7C" w14:textId="77777777" w:rsidR="001D677D" w:rsidRPr="00781112" w:rsidRDefault="001D677D" w:rsidP="004369B2">
      <w:pPr>
        <w:rPr>
          <w:color w:val="000000" w:themeColor="text1"/>
        </w:rPr>
      </w:pPr>
      <w:r w:rsidRPr="00781112">
        <w:rPr>
          <w:b/>
          <w:color w:val="000000" w:themeColor="text1"/>
        </w:rPr>
        <w:t>Instructions</w:t>
      </w:r>
    </w:p>
    <w:p w14:paraId="6778EBC1" w14:textId="77777777" w:rsidR="001D677D" w:rsidRPr="00781112" w:rsidRDefault="001D677D" w:rsidP="00286BDF">
      <w:pPr>
        <w:rPr>
          <w:rFonts w:cs="Arial"/>
          <w:color w:val="000000" w:themeColor="text1"/>
          <w:szCs w:val="16"/>
        </w:rPr>
      </w:pPr>
      <w:r w:rsidRPr="00781112">
        <w:rPr>
          <w:rFonts w:cs="Arial"/>
          <w:iCs/>
          <w:color w:val="000000" w:themeColor="text1"/>
          <w:szCs w:val="16"/>
        </w:rPr>
        <w:t>P</w:t>
      </w:r>
      <w:r w:rsidRPr="00781112">
        <w:rPr>
          <w:rFonts w:cs="Arial"/>
          <w:color w:val="000000" w:themeColor="text1"/>
          <w:szCs w:val="16"/>
        </w:rPr>
        <w:t>rovide racial/ethnic disproportionality data for all children</w:t>
      </w:r>
      <w:r w:rsidR="00522BEA" w:rsidRPr="00522BEA">
        <w:t xml:space="preserve"> </w:t>
      </w:r>
      <w:r w:rsidR="00522BEA" w:rsidRPr="00522BEA">
        <w:rPr>
          <w:rFonts w:cs="Arial"/>
          <w:color w:val="000000" w:themeColor="text1"/>
          <w:szCs w:val="16"/>
        </w:rPr>
        <w:t>aged 5 who are enrolled in kindergarten and</w:t>
      </w:r>
      <w:r w:rsidRPr="00781112">
        <w:rPr>
          <w:rFonts w:cs="Arial"/>
          <w:color w:val="000000" w:themeColor="text1"/>
          <w:szCs w:val="16"/>
        </w:rPr>
        <w:t xml:space="preserve"> aged 6 through 21 served under IDEA.</w:t>
      </w:r>
      <w:r w:rsidR="006E0CC6" w:rsidRPr="00781112">
        <w:rPr>
          <w:rFonts w:cs="Arial"/>
          <w:color w:val="000000" w:themeColor="text1"/>
          <w:szCs w:val="16"/>
        </w:rPr>
        <w:t xml:space="preserve"> </w:t>
      </w:r>
      <w:r w:rsidR="006E0CC6" w:rsidRPr="00781112">
        <w:rPr>
          <w:rFonts w:cs="Arial"/>
          <w:szCs w:val="16"/>
        </w:rPr>
        <w:t>Provide these data at a minimum for children in the following six disability categories: intellectual disability, specific learning disabilities, emotional disturbance, speech or language impairments, other health impairments, and autism. If a State has identified disproportionate representation of racial and ethnic groups in specific disability categories other than these six disability categories, the State must include these data and report on whether the State determined that the disproportionate representation of racial and ethnic groups in specific disability categories was the result of inappropriate identification</w:t>
      </w:r>
      <w:r w:rsidR="009F2D7B" w:rsidRPr="00781112">
        <w:rPr>
          <w:rFonts w:cs="Arial"/>
          <w:szCs w:val="16"/>
        </w:rPr>
        <w:t>.</w:t>
      </w:r>
      <w:r w:rsidR="00084AD7">
        <w:rPr>
          <w:rFonts w:cs="Arial"/>
          <w:szCs w:val="16"/>
        </w:rPr>
        <w:t xml:space="preserve"> </w:t>
      </w:r>
      <w:r w:rsidR="00084AD7" w:rsidRPr="00084AD7">
        <w:rPr>
          <w:rFonts w:cs="Arial"/>
          <w:szCs w:val="16"/>
        </w:rPr>
        <w:t>Provide the actual numbers used in the calculation.</w:t>
      </w:r>
    </w:p>
    <w:p w14:paraId="24F93A9C" w14:textId="77777777" w:rsidR="001D677D" w:rsidRPr="00781112" w:rsidRDefault="001D677D" w:rsidP="00286BDF">
      <w:pPr>
        <w:rPr>
          <w:rFonts w:cs="Arial"/>
          <w:color w:val="000000" w:themeColor="text1"/>
          <w:szCs w:val="16"/>
        </w:rPr>
      </w:pPr>
      <w:r w:rsidRPr="00781112">
        <w:rPr>
          <w:rFonts w:cs="Arial"/>
          <w:color w:val="000000" w:themeColor="text1"/>
          <w:szCs w:val="16"/>
        </w:rPr>
        <w:t>States are not required to report on underrepresentation.</w:t>
      </w:r>
    </w:p>
    <w:p w14:paraId="084A30F1" w14:textId="77777777" w:rsidR="001D677D" w:rsidRPr="00781112" w:rsidRDefault="001D677D" w:rsidP="00286BDF">
      <w:pPr>
        <w:rPr>
          <w:rFonts w:cs="Arial"/>
          <w:color w:val="000000" w:themeColor="text1"/>
          <w:szCs w:val="16"/>
        </w:rPr>
      </w:pPr>
      <w:r w:rsidRPr="00781112">
        <w:rPr>
          <w:rFonts w:cs="Arial"/>
          <w:color w:val="000000" w:themeColor="text1"/>
          <w:szCs w:val="16"/>
        </w:rPr>
        <w:t>If the State has established a minimum n and/or cell size requirement, the State may only include, in both the numerator and the denominator, districts that met that State-established n and/or cell size. If the State used a minimum n and/or cell size requirement, report the number of districts totally excluded from the calculation as a result of this requirement because the district did not meet the minimum n and/or cell size for any racial/ethnic group.</w:t>
      </w:r>
    </w:p>
    <w:p w14:paraId="21443EDB" w14:textId="77777777" w:rsidR="001D677D" w:rsidRPr="00781112" w:rsidRDefault="001D677D" w:rsidP="00286BDF">
      <w:pPr>
        <w:rPr>
          <w:rFonts w:cs="Arial"/>
          <w:color w:val="000000" w:themeColor="text1"/>
          <w:szCs w:val="16"/>
        </w:rPr>
      </w:pPr>
      <w:r w:rsidRPr="00781112">
        <w:rPr>
          <w:rFonts w:cs="Arial"/>
          <w:color w:val="000000" w:themeColor="text1"/>
          <w:szCs w:val="16"/>
        </w:rPr>
        <w:t>Consider using multiple methods in calculating disproportionate representation of racial and ethnic groups to reduce the risk of overlooking potential problems. Describe the method(s) used to calculate disproportionate representation.</w:t>
      </w:r>
    </w:p>
    <w:p w14:paraId="522C1EF7" w14:textId="77777777" w:rsidR="001D677D" w:rsidRPr="00781112" w:rsidRDefault="001D677D" w:rsidP="00286BDF">
      <w:pPr>
        <w:rPr>
          <w:rFonts w:cs="Arial"/>
          <w:color w:val="000000" w:themeColor="text1"/>
          <w:szCs w:val="16"/>
        </w:rPr>
      </w:pPr>
      <w:r w:rsidRPr="00781112">
        <w:rPr>
          <w:rFonts w:cs="Arial"/>
          <w:color w:val="000000" w:themeColor="text1"/>
          <w:szCs w:val="16"/>
        </w:rPr>
        <w:t xml:space="preserve">Provide the number of districts that met the State-established n and/or cell size (if applicable) for one or more racial/ethnic groups identified with disproportionate representation of racial and ethnic groups in </w:t>
      </w:r>
      <w:r w:rsidR="00175656" w:rsidRPr="00781112">
        <w:rPr>
          <w:rFonts w:cs="Arial"/>
          <w:szCs w:val="16"/>
        </w:rPr>
        <w:t>specific disability categories</w:t>
      </w:r>
      <w:r w:rsidRPr="00781112">
        <w:rPr>
          <w:rFonts w:cs="Arial"/>
          <w:color w:val="000000" w:themeColor="text1"/>
          <w:szCs w:val="16"/>
        </w:rPr>
        <w:t xml:space="preserve"> and the number of those districts identified with disproportionate representation that is the result of inappropriate identification.</w:t>
      </w:r>
    </w:p>
    <w:p w14:paraId="01ACC78B" w14:textId="77777777" w:rsidR="001D677D" w:rsidRPr="00781112" w:rsidRDefault="001D677D" w:rsidP="00286BDF">
      <w:pPr>
        <w:rPr>
          <w:rFonts w:cs="Arial"/>
          <w:color w:val="000000" w:themeColor="text1"/>
          <w:szCs w:val="16"/>
        </w:rPr>
      </w:pPr>
      <w:r w:rsidRPr="00781112">
        <w:rPr>
          <w:rFonts w:cs="Arial"/>
          <w:color w:val="000000" w:themeColor="text1"/>
          <w:szCs w:val="16"/>
        </w:rPr>
        <w:t>Targets must be 0%.</w:t>
      </w:r>
    </w:p>
    <w:p w14:paraId="5C6FE2DB" w14:textId="77777777" w:rsidR="001D677D" w:rsidRPr="00781112" w:rsidRDefault="001D677D"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56" w:name="_Hlk150864288"/>
      <w:r w:rsidR="00084AD7" w:rsidRPr="00084AD7">
        <w:rPr>
          <w:rFonts w:cs="Arial"/>
          <w:color w:val="000000" w:themeColor="text1"/>
          <w:szCs w:val="16"/>
        </w:rPr>
        <w:t>child-specific and regulatory/systemic</w:t>
      </w:r>
      <w:r w:rsidR="00084AD7">
        <w:rPr>
          <w:sz w:val="20"/>
          <w:szCs w:val="14"/>
        </w:rPr>
        <w:t xml:space="preserve"> </w:t>
      </w:r>
      <w:bookmarkEnd w:id="56"/>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4B5ED0B7" w14:textId="77777777" w:rsidR="001D677D" w:rsidRDefault="007A3964"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2024 SPP/APR, the data for FFY 2023), and the State did not identify any findings of noncompliance, provide an explanation of why the State did not identify any findings of noncompliance.</w:t>
      </w:r>
    </w:p>
    <w:p w14:paraId="0F79CF34" w14:textId="77777777" w:rsidR="00AB2AE1" w:rsidRPr="00FE4611" w:rsidRDefault="00AC3C55" w:rsidP="00286BDF">
      <w:pPr>
        <w:rPr>
          <w:rFonts w:cs="Arial"/>
          <w:szCs w:val="16"/>
        </w:rPr>
      </w:pPr>
      <w:r>
        <w:rPr>
          <w:rFonts w:cs="Arial"/>
          <w:szCs w:val="16"/>
        </w:rPr>
        <w:t>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4F0EC5BF" w14:textId="77777777" w:rsidR="00B70FBF" w:rsidRPr="00781112" w:rsidRDefault="009F64D5" w:rsidP="008645AD">
      <w:pPr>
        <w:pStyle w:val="Heading2"/>
      </w:pPr>
      <w:bookmarkStart w:id="57" w:name="_Toc384383349"/>
      <w:bookmarkStart w:id="58" w:name="_Toc392159317"/>
      <w:bookmarkEnd w:id="54"/>
      <w:bookmarkEnd w:id="55"/>
      <w:r w:rsidRPr="00781112">
        <w:t>10</w:t>
      </w:r>
      <w:r w:rsidR="00596F4D" w:rsidRPr="00781112">
        <w:t xml:space="preserve"> </w:t>
      </w:r>
      <w:r w:rsidRPr="00781112">
        <w:t xml:space="preserve">- </w:t>
      </w:r>
      <w:r w:rsidR="00D853AE" w:rsidRPr="00781112">
        <w:t>Indicator Data</w:t>
      </w:r>
    </w:p>
    <w:p w14:paraId="04C511A6" w14:textId="77777777" w:rsidR="0091098C" w:rsidRPr="00781112" w:rsidRDefault="0091098C" w:rsidP="004369B2">
      <w:pPr>
        <w:rPr>
          <w:color w:val="000000" w:themeColor="text1"/>
        </w:rPr>
      </w:pPr>
      <w:r w:rsidRPr="00781112">
        <w:rPr>
          <w:b/>
          <w:color w:val="000000" w:themeColor="text1"/>
        </w:rPr>
        <w:t>Not Applicable</w:t>
      </w:r>
    </w:p>
    <w:p w14:paraId="1742B7F1" w14:textId="77777777" w:rsidR="00C2395D" w:rsidRPr="00781112" w:rsidRDefault="001B07D3">
      <w:pPr>
        <w:rPr>
          <w:b/>
          <w:color w:val="000000" w:themeColor="text1"/>
        </w:rPr>
      </w:pPr>
      <w:r w:rsidRPr="00781112">
        <w:rPr>
          <w:b/>
          <w:color w:val="000000" w:themeColor="text1"/>
        </w:rPr>
        <w:t>Select yes if this indicator is not applicable.</w:t>
      </w:r>
    </w:p>
    <w:p w14:paraId="75975996" w14:textId="77777777" w:rsidR="00043AC9" w:rsidRPr="00781112" w:rsidRDefault="00043AC9" w:rsidP="004369B2">
      <w:pPr>
        <w:rPr>
          <w:rFonts w:cs="Arial"/>
          <w:color w:val="000000" w:themeColor="text1"/>
          <w:szCs w:val="16"/>
        </w:rPr>
      </w:pPr>
      <w:r w:rsidRPr="00781112">
        <w:rPr>
          <w:rFonts w:cs="Arial"/>
          <w:color w:val="000000" w:themeColor="text1"/>
          <w:szCs w:val="16"/>
        </w:rPr>
        <w:t>NO</w:t>
      </w:r>
    </w:p>
    <w:p w14:paraId="4A54C2CE" w14:textId="77777777" w:rsidR="00C50290" w:rsidRPr="00781112" w:rsidRDefault="00C50290" w:rsidP="004369B2">
      <w:pPr>
        <w:rPr>
          <w:color w:val="000000" w:themeColor="text1"/>
        </w:rPr>
      </w:pPr>
    </w:p>
    <w:p w14:paraId="30C247A8" w14:textId="77777777" w:rsidR="005A3C12" w:rsidRPr="00781112" w:rsidRDefault="005A3C12"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0BASELINEDATA"/>
      </w:tblPr>
      <w:tblGrid>
        <w:gridCol w:w="1797"/>
        <w:gridCol w:w="1798"/>
      </w:tblGrid>
      <w:tr w:rsidR="00D533A5" w:rsidRPr="00781112" w14:paraId="7D9E19C0" w14:textId="77777777" w:rsidTr="00123D76">
        <w:trPr>
          <w:trHeight w:val="311"/>
          <w:tblHeader/>
        </w:trPr>
        <w:tc>
          <w:tcPr>
            <w:tcW w:w="1797" w:type="dxa"/>
          </w:tcPr>
          <w:p w14:paraId="2843C44F" w14:textId="77777777" w:rsidR="00D533A5" w:rsidRPr="00781112" w:rsidRDefault="00D533A5" w:rsidP="00123D76">
            <w:pPr>
              <w:jc w:val="center"/>
              <w:rPr>
                <w:b/>
                <w:color w:val="000000" w:themeColor="text1"/>
              </w:rPr>
            </w:pPr>
            <w:r w:rsidRPr="00781112">
              <w:rPr>
                <w:rFonts w:cs="Arial"/>
                <w:b/>
                <w:color w:val="000000" w:themeColor="text1"/>
                <w:szCs w:val="16"/>
              </w:rPr>
              <w:t>Baseline Year</w:t>
            </w:r>
          </w:p>
        </w:tc>
        <w:tc>
          <w:tcPr>
            <w:tcW w:w="1798" w:type="dxa"/>
          </w:tcPr>
          <w:p w14:paraId="4ACEE117" w14:textId="77777777" w:rsidR="00D533A5" w:rsidRPr="00781112" w:rsidRDefault="00D533A5" w:rsidP="00123D76">
            <w:pPr>
              <w:jc w:val="center"/>
              <w:rPr>
                <w:b/>
                <w:color w:val="000000" w:themeColor="text1"/>
              </w:rPr>
            </w:pPr>
            <w:r w:rsidRPr="00781112">
              <w:rPr>
                <w:b/>
                <w:color w:val="000000" w:themeColor="text1"/>
              </w:rPr>
              <w:t>Baseline Data</w:t>
            </w:r>
          </w:p>
        </w:tc>
      </w:tr>
      <w:tr w:rsidR="00D533A5" w:rsidRPr="00781112" w14:paraId="068C9643" w14:textId="77777777" w:rsidTr="00123D76">
        <w:trPr>
          <w:trHeight w:val="311"/>
        </w:trPr>
        <w:tc>
          <w:tcPr>
            <w:tcW w:w="1797" w:type="dxa"/>
            <w:vAlign w:val="center"/>
          </w:tcPr>
          <w:p w14:paraId="354ED842" w14:textId="77777777" w:rsidR="00D533A5" w:rsidRPr="00781112" w:rsidRDefault="00D533A5" w:rsidP="00123D76">
            <w:pPr>
              <w:jc w:val="center"/>
              <w:rPr>
                <w:bCs/>
                <w:color w:val="000000" w:themeColor="text1"/>
              </w:rPr>
            </w:pPr>
            <w:r w:rsidRPr="00781112">
              <w:rPr>
                <w:bCs/>
                <w:color w:val="000000" w:themeColor="text1"/>
              </w:rPr>
              <w:t>2021</w:t>
            </w:r>
          </w:p>
        </w:tc>
        <w:tc>
          <w:tcPr>
            <w:tcW w:w="1798" w:type="dxa"/>
            <w:vAlign w:val="center"/>
          </w:tcPr>
          <w:p w14:paraId="2CCB190B" w14:textId="77777777" w:rsidR="00D533A5" w:rsidRPr="00781112" w:rsidRDefault="00D533A5" w:rsidP="00123D76">
            <w:pPr>
              <w:jc w:val="center"/>
              <w:rPr>
                <w:bCs/>
                <w:color w:val="000000" w:themeColor="text1"/>
              </w:rPr>
            </w:pPr>
            <w:r w:rsidRPr="00781112">
              <w:rPr>
                <w:bCs/>
                <w:color w:val="000000" w:themeColor="text1"/>
              </w:rPr>
              <w:t>2.56%</w:t>
            </w:r>
          </w:p>
        </w:tc>
      </w:tr>
    </w:tbl>
    <w:p w14:paraId="5A6D44F5" w14:textId="77777777" w:rsidR="00D533A5" w:rsidRPr="00781112" w:rsidRDefault="00D533A5"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0HISTDATA"/>
      </w:tblPr>
      <w:tblGrid>
        <w:gridCol w:w="1798"/>
        <w:gridCol w:w="1798"/>
        <w:gridCol w:w="1798"/>
        <w:gridCol w:w="1798"/>
        <w:gridCol w:w="1798"/>
        <w:gridCol w:w="1800"/>
      </w:tblGrid>
      <w:tr w:rsidR="005C29F8" w:rsidRPr="00781112" w14:paraId="2153FD2C" w14:textId="77777777" w:rsidTr="002B4D97">
        <w:trPr>
          <w:trHeight w:val="350"/>
        </w:trPr>
        <w:tc>
          <w:tcPr>
            <w:tcW w:w="833" w:type="pct"/>
            <w:tcBorders>
              <w:bottom w:val="single" w:sz="4" w:space="0" w:color="auto"/>
            </w:tcBorders>
          </w:tcPr>
          <w:p w14:paraId="2CFB42D2" w14:textId="77777777" w:rsidR="005A3C12" w:rsidRPr="00781112" w:rsidRDefault="005A3C12" w:rsidP="004369B2">
            <w:pPr>
              <w:jc w:val="center"/>
              <w:rPr>
                <w:b/>
                <w:color w:val="000000" w:themeColor="text1"/>
              </w:rPr>
            </w:pPr>
            <w:r w:rsidRPr="00781112">
              <w:rPr>
                <w:b/>
                <w:color w:val="000000" w:themeColor="text1"/>
              </w:rPr>
              <w:t>FFY</w:t>
            </w:r>
          </w:p>
        </w:tc>
        <w:tc>
          <w:tcPr>
            <w:tcW w:w="833" w:type="pct"/>
          </w:tcPr>
          <w:p w14:paraId="3E3F47A2" w14:textId="77777777" w:rsidR="005A3C12" w:rsidRPr="00781112" w:rsidRDefault="002B7490" w:rsidP="0077257F">
            <w:pPr>
              <w:jc w:val="center"/>
              <w:rPr>
                <w:b/>
                <w:color w:val="000000" w:themeColor="text1"/>
              </w:rPr>
            </w:pPr>
            <w:r w:rsidRPr="00781112">
              <w:rPr>
                <w:b/>
                <w:color w:val="000000" w:themeColor="text1"/>
              </w:rPr>
              <w:t>2019</w:t>
            </w:r>
          </w:p>
        </w:tc>
        <w:tc>
          <w:tcPr>
            <w:tcW w:w="833" w:type="pct"/>
          </w:tcPr>
          <w:p w14:paraId="1CABE76C" w14:textId="77777777" w:rsidR="005A3C12" w:rsidRPr="00781112" w:rsidRDefault="002B7490" w:rsidP="0077257F">
            <w:pPr>
              <w:jc w:val="center"/>
              <w:rPr>
                <w:b/>
                <w:color w:val="000000" w:themeColor="text1"/>
              </w:rPr>
            </w:pPr>
            <w:r w:rsidRPr="00781112">
              <w:rPr>
                <w:b/>
                <w:color w:val="000000" w:themeColor="text1"/>
              </w:rPr>
              <w:t>2020</w:t>
            </w:r>
          </w:p>
        </w:tc>
        <w:tc>
          <w:tcPr>
            <w:tcW w:w="833" w:type="pct"/>
          </w:tcPr>
          <w:p w14:paraId="09D9DE59" w14:textId="77777777" w:rsidR="005A3C12" w:rsidRPr="00781112" w:rsidRDefault="002B7490" w:rsidP="0077257F">
            <w:pPr>
              <w:jc w:val="center"/>
              <w:rPr>
                <w:b/>
                <w:color w:val="000000" w:themeColor="text1"/>
              </w:rPr>
            </w:pPr>
            <w:r w:rsidRPr="00781112">
              <w:rPr>
                <w:b/>
                <w:color w:val="000000" w:themeColor="text1"/>
              </w:rPr>
              <w:t>2021</w:t>
            </w:r>
          </w:p>
        </w:tc>
        <w:tc>
          <w:tcPr>
            <w:tcW w:w="833" w:type="pct"/>
          </w:tcPr>
          <w:p w14:paraId="0633B415" w14:textId="77777777" w:rsidR="005A3C12" w:rsidRPr="00781112" w:rsidRDefault="002B7490" w:rsidP="0077257F">
            <w:pPr>
              <w:jc w:val="center"/>
              <w:rPr>
                <w:b/>
                <w:color w:val="000000" w:themeColor="text1"/>
              </w:rPr>
            </w:pPr>
            <w:r w:rsidRPr="00781112">
              <w:rPr>
                <w:b/>
                <w:color w:val="000000" w:themeColor="text1"/>
              </w:rPr>
              <w:t>2022</w:t>
            </w:r>
          </w:p>
        </w:tc>
        <w:tc>
          <w:tcPr>
            <w:tcW w:w="834" w:type="pct"/>
          </w:tcPr>
          <w:p w14:paraId="08904281" w14:textId="77777777" w:rsidR="005A3C12" w:rsidRPr="00781112" w:rsidRDefault="002B7490" w:rsidP="0077257F">
            <w:pPr>
              <w:jc w:val="center"/>
              <w:rPr>
                <w:b/>
                <w:color w:val="000000" w:themeColor="text1"/>
              </w:rPr>
            </w:pPr>
            <w:r w:rsidRPr="00781112">
              <w:rPr>
                <w:b/>
                <w:color w:val="000000" w:themeColor="text1"/>
              </w:rPr>
              <w:t>2023</w:t>
            </w:r>
          </w:p>
        </w:tc>
      </w:tr>
      <w:tr w:rsidR="005C29F8" w:rsidRPr="00781112" w14:paraId="61D67BB8" w14:textId="77777777" w:rsidTr="002B4D97">
        <w:trPr>
          <w:trHeight w:val="357"/>
        </w:trPr>
        <w:tc>
          <w:tcPr>
            <w:tcW w:w="833" w:type="pct"/>
          </w:tcPr>
          <w:p w14:paraId="2E243E34" w14:textId="77777777" w:rsidR="005A3C12" w:rsidRPr="00781112" w:rsidRDefault="005A3C12" w:rsidP="00BA3DBE">
            <w:pPr>
              <w:jc w:val="center"/>
              <w:rPr>
                <w:rFonts w:cs="Arial"/>
                <w:color w:val="000000" w:themeColor="text1"/>
                <w:szCs w:val="16"/>
              </w:rPr>
            </w:pPr>
            <w:r w:rsidRPr="00781112">
              <w:rPr>
                <w:rFonts w:cs="Arial"/>
                <w:color w:val="000000" w:themeColor="text1"/>
                <w:szCs w:val="16"/>
              </w:rPr>
              <w:t>Target</w:t>
            </w:r>
          </w:p>
        </w:tc>
        <w:tc>
          <w:tcPr>
            <w:tcW w:w="833" w:type="pct"/>
          </w:tcPr>
          <w:p w14:paraId="3F7313BA" w14:textId="77777777"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tcPr>
          <w:p w14:paraId="3CC8A14F" w14:textId="77777777"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tcPr>
          <w:p w14:paraId="77E12C43" w14:textId="77777777"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tcPr>
          <w:p w14:paraId="146BFB02" w14:textId="77777777"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4" w:type="pct"/>
          </w:tcPr>
          <w:p w14:paraId="0D89282A" w14:textId="77777777"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r>
      <w:tr w:rsidR="005C29F8" w:rsidRPr="00781112" w14:paraId="015EA1E0" w14:textId="77777777" w:rsidTr="002B4D97">
        <w:trPr>
          <w:trHeight w:val="85"/>
        </w:trPr>
        <w:tc>
          <w:tcPr>
            <w:tcW w:w="833" w:type="pct"/>
          </w:tcPr>
          <w:p w14:paraId="7C551EFA" w14:textId="77777777" w:rsidR="005A3C12" w:rsidRPr="00781112" w:rsidRDefault="005A3C12" w:rsidP="00BA3DBE">
            <w:pPr>
              <w:jc w:val="center"/>
              <w:rPr>
                <w:rFonts w:cs="Arial"/>
                <w:color w:val="000000" w:themeColor="text1"/>
                <w:szCs w:val="16"/>
              </w:rPr>
            </w:pPr>
            <w:r w:rsidRPr="00781112">
              <w:rPr>
                <w:rFonts w:cs="Arial"/>
                <w:color w:val="000000" w:themeColor="text1"/>
                <w:szCs w:val="16"/>
              </w:rPr>
              <w:t>Data</w:t>
            </w:r>
          </w:p>
        </w:tc>
        <w:tc>
          <w:tcPr>
            <w:tcW w:w="833" w:type="pct"/>
          </w:tcPr>
          <w:p w14:paraId="6892548E" w14:textId="77777777"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3" w:type="pct"/>
          </w:tcPr>
          <w:p w14:paraId="50C2AF9D" w14:textId="77777777"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vAlign w:val="center"/>
          </w:tcPr>
          <w:p w14:paraId="57D806AE" w14:textId="77777777" w:rsidR="005A3C12" w:rsidRPr="00781112" w:rsidRDefault="002B7490" w:rsidP="004369B2">
            <w:pPr>
              <w:jc w:val="center"/>
              <w:rPr>
                <w:rFonts w:cs="Arial"/>
                <w:color w:val="000000" w:themeColor="text1"/>
                <w:szCs w:val="16"/>
              </w:rPr>
            </w:pPr>
            <w:r w:rsidRPr="00781112">
              <w:rPr>
                <w:rFonts w:cs="Arial"/>
                <w:color w:val="000000" w:themeColor="text1"/>
                <w:szCs w:val="16"/>
              </w:rPr>
              <w:t>2.56%</w:t>
            </w:r>
          </w:p>
        </w:tc>
        <w:tc>
          <w:tcPr>
            <w:tcW w:w="833" w:type="pct"/>
            <w:tcBorders>
              <w:bottom w:val="single" w:sz="4" w:space="0" w:color="auto"/>
            </w:tcBorders>
            <w:vAlign w:val="center"/>
          </w:tcPr>
          <w:p w14:paraId="15852997" w14:textId="77777777"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4" w:type="pct"/>
            <w:tcBorders>
              <w:bottom w:val="single" w:sz="4" w:space="0" w:color="auto"/>
            </w:tcBorders>
            <w:vAlign w:val="center"/>
          </w:tcPr>
          <w:p w14:paraId="30993A4E" w14:textId="77777777"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r>
      <w:bookmarkEnd w:id="57"/>
      <w:bookmarkEnd w:id="58"/>
    </w:tbl>
    <w:p w14:paraId="2674B231" w14:textId="77777777" w:rsidR="00BA687C" w:rsidRPr="00781112" w:rsidRDefault="00BA687C" w:rsidP="004369B2">
      <w:pPr>
        <w:rPr>
          <w:color w:val="000000" w:themeColor="text1"/>
        </w:rPr>
      </w:pPr>
    </w:p>
    <w:p w14:paraId="65E4D4E5" w14:textId="77777777" w:rsidR="007A3964" w:rsidRPr="00781112" w:rsidRDefault="007A3964" w:rsidP="004369B2">
      <w:pPr>
        <w:rPr>
          <w:color w:val="000000" w:themeColor="text1"/>
        </w:rPr>
      </w:pPr>
      <w:r w:rsidRPr="00781112">
        <w:rPr>
          <w:b/>
          <w:color w:val="000000" w:themeColor="text1"/>
        </w:rPr>
        <w:t>Targets</w:t>
      </w:r>
    </w:p>
    <w:tbl>
      <w:tblPr>
        <w:tblW w:w="21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0TARGETS"/>
      </w:tblPr>
      <w:tblGrid>
        <w:gridCol w:w="1541"/>
        <w:gridCol w:w="1542"/>
        <w:gridCol w:w="1542"/>
      </w:tblGrid>
      <w:tr w:rsidR="008B52D3" w:rsidRPr="00781112" w14:paraId="399DC68F" w14:textId="77777777" w:rsidTr="00924AD9">
        <w:trPr>
          <w:trHeight w:val="424"/>
        </w:trPr>
        <w:tc>
          <w:tcPr>
            <w:tcW w:w="1665" w:type="pct"/>
            <w:tcBorders>
              <w:bottom w:val="single" w:sz="4" w:space="0" w:color="auto"/>
            </w:tcBorders>
          </w:tcPr>
          <w:p w14:paraId="16C84B65" w14:textId="77777777" w:rsidR="008B52D3" w:rsidRPr="00781112" w:rsidRDefault="008B52D3" w:rsidP="00D0796B">
            <w:pPr>
              <w:jc w:val="center"/>
              <w:rPr>
                <w:b/>
                <w:color w:val="000000" w:themeColor="text1"/>
              </w:rPr>
            </w:pPr>
            <w:r w:rsidRPr="00781112">
              <w:rPr>
                <w:b/>
                <w:color w:val="000000" w:themeColor="text1"/>
              </w:rPr>
              <w:t>FFY</w:t>
            </w:r>
          </w:p>
        </w:tc>
        <w:tc>
          <w:tcPr>
            <w:tcW w:w="1667" w:type="pct"/>
          </w:tcPr>
          <w:p w14:paraId="1D011698" w14:textId="77777777" w:rsidR="008B52D3" w:rsidRPr="00781112" w:rsidRDefault="008B52D3" w:rsidP="00D0796B">
            <w:pPr>
              <w:jc w:val="center"/>
              <w:rPr>
                <w:b/>
                <w:color w:val="000000" w:themeColor="text1"/>
              </w:rPr>
            </w:pPr>
            <w:r w:rsidRPr="00781112">
              <w:rPr>
                <w:b/>
                <w:color w:val="000000" w:themeColor="text1"/>
              </w:rPr>
              <w:t>2024</w:t>
            </w:r>
          </w:p>
        </w:tc>
        <w:tc>
          <w:tcPr>
            <w:tcW w:w="1667" w:type="pct"/>
          </w:tcPr>
          <w:p w14:paraId="4DCC81D6" w14:textId="77777777" w:rsidR="008B52D3" w:rsidRPr="00781112" w:rsidRDefault="008B52D3" w:rsidP="00D0796B">
            <w:pPr>
              <w:jc w:val="center"/>
              <w:rPr>
                <w:b/>
                <w:color w:val="000000" w:themeColor="text1"/>
              </w:rPr>
            </w:pPr>
            <w:r w:rsidRPr="00781112">
              <w:rPr>
                <w:rFonts w:cs="Arial"/>
                <w:b/>
                <w:color w:val="000000" w:themeColor="text1"/>
                <w:szCs w:val="16"/>
              </w:rPr>
              <w:t>2025</w:t>
            </w:r>
          </w:p>
        </w:tc>
      </w:tr>
      <w:tr w:rsidR="008B52D3" w:rsidRPr="00781112" w14:paraId="48080C32" w14:textId="77777777" w:rsidTr="00924AD9">
        <w:trPr>
          <w:trHeight w:val="432"/>
        </w:trPr>
        <w:tc>
          <w:tcPr>
            <w:tcW w:w="1665" w:type="pct"/>
            <w:vAlign w:val="center"/>
          </w:tcPr>
          <w:p w14:paraId="74D7314A" w14:textId="77777777" w:rsidR="008B52D3" w:rsidRPr="00781112" w:rsidRDefault="008B52D3" w:rsidP="00BA3DBE">
            <w:pPr>
              <w:jc w:val="center"/>
              <w:rPr>
                <w:rFonts w:cs="Arial"/>
                <w:color w:val="000000" w:themeColor="text1"/>
                <w:szCs w:val="16"/>
              </w:rPr>
            </w:pPr>
            <w:r w:rsidRPr="00781112">
              <w:rPr>
                <w:rFonts w:cs="Arial"/>
                <w:color w:val="000000" w:themeColor="text1"/>
                <w:szCs w:val="16"/>
              </w:rPr>
              <w:t>Target</w:t>
            </w:r>
          </w:p>
        </w:tc>
        <w:tc>
          <w:tcPr>
            <w:tcW w:w="1667" w:type="pct"/>
            <w:vAlign w:val="center"/>
          </w:tcPr>
          <w:p w14:paraId="7E8ADFD0" w14:textId="77777777" w:rsidR="008B52D3" w:rsidRPr="00781112" w:rsidRDefault="008B52D3" w:rsidP="00D0796B">
            <w:pPr>
              <w:jc w:val="center"/>
              <w:rPr>
                <w:rFonts w:cs="Arial"/>
                <w:color w:val="000000" w:themeColor="text1"/>
                <w:szCs w:val="16"/>
              </w:rPr>
            </w:pPr>
            <w:r w:rsidRPr="00781112">
              <w:rPr>
                <w:rFonts w:cs="Arial"/>
                <w:color w:val="000000" w:themeColor="text1"/>
                <w:szCs w:val="16"/>
              </w:rPr>
              <w:t>0%</w:t>
            </w:r>
          </w:p>
        </w:tc>
        <w:tc>
          <w:tcPr>
            <w:tcW w:w="1667" w:type="pct"/>
          </w:tcPr>
          <w:p w14:paraId="30B91930" w14:textId="77777777" w:rsidR="008B52D3" w:rsidRPr="00781112" w:rsidRDefault="008B52D3" w:rsidP="00D0796B">
            <w:pPr>
              <w:jc w:val="center"/>
              <w:rPr>
                <w:rFonts w:cs="Arial"/>
                <w:color w:val="000000" w:themeColor="text1"/>
                <w:szCs w:val="16"/>
              </w:rPr>
            </w:pPr>
            <w:r w:rsidRPr="00781112">
              <w:rPr>
                <w:color w:val="000000" w:themeColor="text1"/>
                <w:szCs w:val="16"/>
              </w:rPr>
              <w:t>0%</w:t>
            </w:r>
          </w:p>
        </w:tc>
      </w:tr>
    </w:tbl>
    <w:p w14:paraId="77C8B81F" w14:textId="77777777" w:rsidR="00BA687C" w:rsidRPr="00781112" w:rsidRDefault="00BA687C" w:rsidP="004369B2">
      <w:pPr>
        <w:rPr>
          <w:color w:val="000000" w:themeColor="text1"/>
        </w:rPr>
      </w:pPr>
    </w:p>
    <w:p w14:paraId="6A4C74EC" w14:textId="77777777" w:rsidR="005A3C12" w:rsidRPr="00781112" w:rsidRDefault="0047313F">
      <w:pPr>
        <w:rPr>
          <w:b/>
          <w:color w:val="000000" w:themeColor="text1"/>
        </w:rPr>
      </w:pPr>
      <w:r>
        <w:rPr>
          <w:b/>
          <w:color w:val="000000" w:themeColor="text1"/>
        </w:rPr>
        <w:t>FFY 2024 SPP/APR Data</w:t>
      </w:r>
    </w:p>
    <w:p w14:paraId="122E5EB9" w14:textId="77777777" w:rsidR="00C2395D" w:rsidRPr="00781112" w:rsidRDefault="00C2395D">
      <w:pPr>
        <w:rPr>
          <w:rFonts w:cs="Arial"/>
          <w:b/>
          <w:color w:val="000000" w:themeColor="text1"/>
          <w:szCs w:val="16"/>
        </w:rPr>
      </w:pPr>
      <w:r w:rsidRPr="00781112">
        <w:rPr>
          <w:rFonts w:cs="Arial"/>
          <w:b/>
          <w:color w:val="000000" w:themeColor="text1"/>
          <w:szCs w:val="16"/>
        </w:rPr>
        <w:t>Has the state established a minimum n and/or cell size requirement? (yes/no)</w:t>
      </w:r>
    </w:p>
    <w:p w14:paraId="17F4A2A5" w14:textId="77777777" w:rsidR="00C2395D" w:rsidRPr="00781112" w:rsidRDefault="00C2395D">
      <w:pPr>
        <w:rPr>
          <w:rFonts w:cs="Arial"/>
          <w:color w:val="000000" w:themeColor="text1"/>
          <w:szCs w:val="16"/>
        </w:rPr>
      </w:pPr>
      <w:bookmarkStart w:id="59" w:name="_Hlk20258880"/>
      <w:r w:rsidRPr="00781112">
        <w:rPr>
          <w:rFonts w:cs="Arial"/>
          <w:color w:val="000000" w:themeColor="text1"/>
          <w:szCs w:val="16"/>
        </w:rPr>
        <w:t>YES</w:t>
      </w:r>
    </w:p>
    <w:bookmarkEnd w:id="59"/>
    <w:p w14:paraId="1F1059B4" w14:textId="77777777" w:rsidR="00C2395D" w:rsidRPr="00781112" w:rsidRDefault="00C2395D">
      <w:pPr>
        <w:rPr>
          <w:rFonts w:cs="Arial"/>
          <w:b/>
          <w:color w:val="000000" w:themeColor="text1"/>
          <w:szCs w:val="16"/>
        </w:rPr>
      </w:pPr>
      <w:r w:rsidRPr="00781112">
        <w:rPr>
          <w:rFonts w:cs="Arial"/>
          <w:b/>
          <w:color w:val="000000" w:themeColor="text1"/>
          <w:szCs w:val="16"/>
        </w:rPr>
        <w:t>If yes, the State may only include, in both the numerator and the denominator, districts that met the State-established n and/or cell size. Report the number of districts excluded from the calculation as a result of the requirement.</w:t>
      </w:r>
    </w:p>
    <w:p w14:paraId="514E05FD" w14:textId="77777777" w:rsidR="00C2395D" w:rsidRPr="00781112" w:rsidRDefault="00C2395D">
      <w:pPr>
        <w:rPr>
          <w:rFonts w:cs="Arial"/>
          <w:color w:val="000000" w:themeColor="text1"/>
          <w:szCs w:val="16"/>
        </w:rPr>
      </w:pPr>
      <w:r w:rsidRPr="00781112">
        <w:rPr>
          <w:rFonts w:cs="Arial"/>
          <w:color w:val="000000" w:themeColor="text1"/>
          <w:szCs w:val="16"/>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0CFFYAPRDATA"/>
      </w:tblPr>
      <w:tblGrid>
        <w:gridCol w:w="1488"/>
        <w:gridCol w:w="1488"/>
        <w:gridCol w:w="1720"/>
        <w:gridCol w:w="1073"/>
        <w:gridCol w:w="1638"/>
        <w:gridCol w:w="958"/>
        <w:gridCol w:w="1233"/>
        <w:gridCol w:w="1192"/>
      </w:tblGrid>
      <w:tr w:rsidR="00206A65" w:rsidRPr="00781112" w14:paraId="4F93FC39" w14:textId="77777777" w:rsidTr="002B4D97">
        <w:trPr>
          <w:trHeight w:val="354"/>
        </w:trPr>
        <w:tc>
          <w:tcPr>
            <w:tcW w:w="556" w:type="pct"/>
            <w:vAlign w:val="bottom"/>
          </w:tcPr>
          <w:p w14:paraId="39488C35" w14:textId="77777777"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specific disability categories</w:t>
            </w:r>
          </w:p>
        </w:tc>
        <w:tc>
          <w:tcPr>
            <w:tcW w:w="583" w:type="pct"/>
            <w:vAlign w:val="bottom"/>
          </w:tcPr>
          <w:p w14:paraId="2F37AA2B" w14:textId="77777777"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specific disability categories that is the result of inappropriate identification</w:t>
            </w:r>
          </w:p>
        </w:tc>
        <w:tc>
          <w:tcPr>
            <w:tcW w:w="837" w:type="pct"/>
            <w:vAlign w:val="bottom"/>
          </w:tcPr>
          <w:p w14:paraId="0587F018" w14:textId="77777777" w:rsidR="00206A65" w:rsidRPr="00781112" w:rsidRDefault="00206A65" w:rsidP="00206A65">
            <w:pPr>
              <w:jc w:val="center"/>
              <w:rPr>
                <w:b/>
                <w:color w:val="000000" w:themeColor="text1"/>
              </w:rPr>
            </w:pPr>
            <w:r w:rsidRPr="00781112">
              <w:rPr>
                <w:b/>
                <w:color w:val="000000" w:themeColor="text1"/>
              </w:rPr>
              <w:t>Number of districts that met the State's minimum n and/or cell size</w:t>
            </w:r>
          </w:p>
        </w:tc>
        <w:tc>
          <w:tcPr>
            <w:tcW w:w="537" w:type="pct"/>
            <w:vAlign w:val="bottom"/>
          </w:tcPr>
          <w:p w14:paraId="4B126C3C" w14:textId="77777777" w:rsidR="00206A65" w:rsidRPr="00CC1061" w:rsidRDefault="00206A65" w:rsidP="00206A65">
            <w:pPr>
              <w:jc w:val="center"/>
              <w:rPr>
                <w:b/>
                <w:bCs/>
                <w:color w:val="000000" w:themeColor="text1"/>
              </w:rPr>
            </w:pPr>
            <w:r w:rsidRPr="00CC1061">
              <w:rPr>
                <w:b/>
                <w:bCs/>
              </w:rPr>
              <w:t>FFY 2023 Data</w:t>
            </w:r>
          </w:p>
        </w:tc>
        <w:tc>
          <w:tcPr>
            <w:tcW w:w="799" w:type="pct"/>
            <w:vAlign w:val="bottom"/>
          </w:tcPr>
          <w:p w14:paraId="1CCF1763" w14:textId="77777777" w:rsidR="00206A65" w:rsidRPr="00CC1061" w:rsidRDefault="00206A65" w:rsidP="00206A65">
            <w:pPr>
              <w:jc w:val="center"/>
              <w:rPr>
                <w:b/>
                <w:bCs/>
                <w:color w:val="000000" w:themeColor="text1"/>
              </w:rPr>
            </w:pPr>
            <w:r w:rsidRPr="00CC1061">
              <w:rPr>
                <w:b/>
                <w:bCs/>
              </w:rPr>
              <w:t>FFY 2024 Target</w:t>
            </w:r>
          </w:p>
        </w:tc>
        <w:tc>
          <w:tcPr>
            <w:tcW w:w="484" w:type="pct"/>
            <w:vAlign w:val="bottom"/>
          </w:tcPr>
          <w:p w14:paraId="4FC0DF6B" w14:textId="77777777" w:rsidR="00206A65" w:rsidRPr="00CC1061" w:rsidRDefault="00206A65" w:rsidP="00206A65">
            <w:pPr>
              <w:jc w:val="center"/>
              <w:rPr>
                <w:b/>
                <w:bCs/>
                <w:color w:val="000000" w:themeColor="text1"/>
              </w:rPr>
            </w:pPr>
            <w:r w:rsidRPr="00CC1061">
              <w:rPr>
                <w:b/>
                <w:bCs/>
              </w:rPr>
              <w:t>FFY 2024 Data</w:t>
            </w:r>
          </w:p>
        </w:tc>
        <w:tc>
          <w:tcPr>
            <w:tcW w:w="611" w:type="pct"/>
            <w:vAlign w:val="bottom"/>
          </w:tcPr>
          <w:p w14:paraId="3547FD63" w14:textId="77777777" w:rsidR="00206A65" w:rsidRPr="00781112" w:rsidRDefault="00206A65" w:rsidP="00206A65">
            <w:pPr>
              <w:jc w:val="center"/>
              <w:rPr>
                <w:b/>
                <w:color w:val="000000" w:themeColor="text1"/>
              </w:rPr>
            </w:pPr>
            <w:r w:rsidRPr="00781112">
              <w:rPr>
                <w:b/>
                <w:color w:val="000000" w:themeColor="text1"/>
              </w:rPr>
              <w:t>Status</w:t>
            </w:r>
          </w:p>
        </w:tc>
        <w:tc>
          <w:tcPr>
            <w:tcW w:w="592" w:type="pct"/>
            <w:vAlign w:val="bottom"/>
          </w:tcPr>
          <w:p w14:paraId="25D09FED" w14:textId="77777777" w:rsidR="00206A65" w:rsidRPr="00781112" w:rsidRDefault="00206A65" w:rsidP="00206A65">
            <w:pPr>
              <w:jc w:val="center"/>
              <w:rPr>
                <w:b/>
                <w:color w:val="000000" w:themeColor="text1"/>
              </w:rPr>
            </w:pPr>
            <w:r w:rsidRPr="00781112">
              <w:rPr>
                <w:b/>
                <w:color w:val="000000" w:themeColor="text1"/>
              </w:rPr>
              <w:t>Slippage</w:t>
            </w:r>
          </w:p>
        </w:tc>
      </w:tr>
      <w:tr w:rsidR="005C29F8" w:rsidRPr="00781112" w14:paraId="63B04911" w14:textId="77777777" w:rsidTr="002B4D97">
        <w:tblPrEx>
          <w:jc w:val="center"/>
        </w:tblPrEx>
        <w:trPr>
          <w:trHeight w:val="361"/>
          <w:jc w:val="center"/>
        </w:trPr>
        <w:tc>
          <w:tcPr>
            <w:tcW w:w="556" w:type="pct"/>
            <w:vAlign w:val="center"/>
          </w:tcPr>
          <w:p w14:paraId="7B3FE83A" w14:textId="77777777" w:rsidR="00832807"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583" w:type="pct"/>
            <w:vAlign w:val="center"/>
          </w:tcPr>
          <w:p w14:paraId="5DBCEAE3" w14:textId="77777777" w:rsidR="00832807" w:rsidRPr="00781112" w:rsidRDefault="002B7490">
            <w:pPr>
              <w:jc w:val="center"/>
              <w:rPr>
                <w:rFonts w:cs="Arial"/>
                <w:color w:val="000000" w:themeColor="text1"/>
                <w:szCs w:val="16"/>
              </w:rPr>
            </w:pPr>
            <w:r w:rsidRPr="00781112">
              <w:rPr>
                <w:rFonts w:cs="Arial"/>
                <w:color w:val="000000" w:themeColor="text1"/>
                <w:szCs w:val="16"/>
              </w:rPr>
              <w:t>0</w:t>
            </w:r>
          </w:p>
        </w:tc>
        <w:tc>
          <w:tcPr>
            <w:tcW w:w="837" w:type="pct"/>
          </w:tcPr>
          <w:p w14:paraId="338BDD02" w14:textId="77777777" w:rsidR="00832807" w:rsidRPr="00781112" w:rsidRDefault="002B7490">
            <w:pPr>
              <w:jc w:val="center"/>
              <w:rPr>
                <w:rFonts w:cs="Arial"/>
                <w:color w:val="000000" w:themeColor="text1"/>
                <w:szCs w:val="16"/>
              </w:rPr>
            </w:pPr>
            <w:r w:rsidRPr="00781112">
              <w:rPr>
                <w:rFonts w:cs="Arial"/>
                <w:color w:val="000000" w:themeColor="text1"/>
                <w:szCs w:val="16"/>
              </w:rPr>
              <w:t>60</w:t>
            </w:r>
          </w:p>
        </w:tc>
        <w:tc>
          <w:tcPr>
            <w:tcW w:w="537" w:type="pct"/>
          </w:tcPr>
          <w:p w14:paraId="17AA67B3" w14:textId="77777777" w:rsidR="00832807" w:rsidRPr="00781112" w:rsidRDefault="002B7490">
            <w:pPr>
              <w:jc w:val="center"/>
              <w:rPr>
                <w:rFonts w:cs="Arial"/>
                <w:color w:val="000000" w:themeColor="text1"/>
                <w:szCs w:val="16"/>
              </w:rPr>
            </w:pPr>
            <w:r w:rsidRPr="00781112">
              <w:rPr>
                <w:rFonts w:cs="Arial"/>
                <w:color w:val="000000" w:themeColor="text1"/>
                <w:szCs w:val="16"/>
              </w:rPr>
              <w:t>0.00%</w:t>
            </w:r>
          </w:p>
        </w:tc>
        <w:tc>
          <w:tcPr>
            <w:tcW w:w="799" w:type="pct"/>
          </w:tcPr>
          <w:p w14:paraId="7F590CEC" w14:textId="77777777" w:rsidR="00832807" w:rsidRPr="00781112" w:rsidRDefault="009C65E9">
            <w:pPr>
              <w:jc w:val="center"/>
              <w:rPr>
                <w:rFonts w:cs="Arial"/>
                <w:color w:val="000000" w:themeColor="text1"/>
                <w:szCs w:val="16"/>
              </w:rPr>
            </w:pPr>
            <w:r w:rsidRPr="00781112">
              <w:rPr>
                <w:rFonts w:cs="Arial"/>
                <w:color w:val="000000" w:themeColor="text1"/>
                <w:szCs w:val="16"/>
              </w:rPr>
              <w:t>0%</w:t>
            </w:r>
          </w:p>
        </w:tc>
        <w:tc>
          <w:tcPr>
            <w:tcW w:w="484" w:type="pct"/>
          </w:tcPr>
          <w:p w14:paraId="1651C434" w14:textId="77777777" w:rsidR="00832807" w:rsidRPr="00781112" w:rsidRDefault="002B7490">
            <w:pPr>
              <w:jc w:val="center"/>
              <w:rPr>
                <w:rFonts w:cs="Arial"/>
                <w:color w:val="000000" w:themeColor="text1"/>
                <w:szCs w:val="16"/>
              </w:rPr>
            </w:pPr>
            <w:r w:rsidRPr="00781112">
              <w:rPr>
                <w:rFonts w:cs="Arial"/>
                <w:color w:val="000000" w:themeColor="text1"/>
                <w:szCs w:val="16"/>
              </w:rPr>
              <w:t>0.00%</w:t>
            </w:r>
          </w:p>
        </w:tc>
        <w:tc>
          <w:tcPr>
            <w:tcW w:w="611" w:type="pct"/>
          </w:tcPr>
          <w:p w14:paraId="59E0CC24" w14:textId="77777777" w:rsidR="00832807" w:rsidRPr="00781112" w:rsidRDefault="002B7490">
            <w:pPr>
              <w:jc w:val="center"/>
              <w:rPr>
                <w:rFonts w:cs="Arial"/>
                <w:color w:val="000000" w:themeColor="text1"/>
                <w:szCs w:val="16"/>
              </w:rPr>
            </w:pPr>
            <w:r w:rsidRPr="00781112">
              <w:rPr>
                <w:rFonts w:cs="Arial"/>
                <w:color w:val="000000" w:themeColor="text1"/>
                <w:szCs w:val="16"/>
              </w:rPr>
              <w:t>Met target</w:t>
            </w:r>
          </w:p>
        </w:tc>
        <w:tc>
          <w:tcPr>
            <w:tcW w:w="592" w:type="pct"/>
          </w:tcPr>
          <w:p w14:paraId="20046556" w14:textId="77777777" w:rsidR="00832807" w:rsidRPr="00781112" w:rsidRDefault="002B7490">
            <w:pPr>
              <w:jc w:val="center"/>
              <w:rPr>
                <w:rFonts w:cs="Arial"/>
                <w:color w:val="000000" w:themeColor="text1"/>
                <w:szCs w:val="16"/>
              </w:rPr>
            </w:pPr>
            <w:r w:rsidRPr="00781112">
              <w:rPr>
                <w:rFonts w:cs="Arial"/>
                <w:color w:val="000000" w:themeColor="text1"/>
                <w:szCs w:val="16"/>
              </w:rPr>
              <w:t>No Slippage</w:t>
            </w:r>
          </w:p>
        </w:tc>
      </w:tr>
    </w:tbl>
    <w:p w14:paraId="7CEFED2F" w14:textId="77777777" w:rsidR="00590296" w:rsidRPr="00781112" w:rsidRDefault="00A479A0" w:rsidP="00B6413B">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1B6B2661" w14:textId="77777777" w:rsidR="00590296" w:rsidRPr="00781112" w:rsidRDefault="00590296" w:rsidP="00B6413B">
      <w:pPr>
        <w:rPr>
          <w:rFonts w:cs="Arial"/>
          <w:color w:val="000000" w:themeColor="text1"/>
          <w:szCs w:val="16"/>
        </w:rPr>
      </w:pPr>
      <w:r w:rsidRPr="00781112">
        <w:rPr>
          <w:rFonts w:cs="Arial"/>
          <w:color w:val="000000" w:themeColor="text1"/>
          <w:szCs w:val="16"/>
        </w:rPr>
        <w:t>YES</w:t>
      </w:r>
    </w:p>
    <w:p w14:paraId="78AC05EA" w14:textId="77777777" w:rsidR="0057259D" w:rsidRPr="00781112" w:rsidRDefault="0057259D" w:rsidP="004369B2">
      <w:pPr>
        <w:rPr>
          <w:b/>
          <w:color w:val="000000" w:themeColor="text1"/>
        </w:rPr>
      </w:pPr>
      <w:r w:rsidRPr="00781112">
        <w:rPr>
          <w:b/>
          <w:color w:val="000000" w:themeColor="text1"/>
        </w:rPr>
        <w:t xml:space="preserve">Define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 </w:t>
      </w:r>
    </w:p>
    <w:p w14:paraId="7A6BE86D" w14:textId="77777777" w:rsidR="00481536" w:rsidRPr="00781112" w:rsidRDefault="002B7490" w:rsidP="003817C0">
      <w:pPr>
        <w:rPr>
          <w:rFonts w:cs="Arial"/>
          <w:color w:val="000000" w:themeColor="text1"/>
          <w:szCs w:val="16"/>
        </w:rPr>
      </w:pPr>
      <w:r w:rsidRPr="00781112">
        <w:rPr>
          <w:rFonts w:cs="Arial"/>
          <w:color w:val="000000" w:themeColor="text1"/>
          <w:szCs w:val="16"/>
        </w:rPr>
        <w:t>“DISPROPORTIONATE REPRESENTATION” DEFINITION</w:t>
      </w:r>
    </w:p>
    <w:p w14:paraId="18C098B5" w14:textId="77777777" w:rsidR="00CA787A" w:rsidRDefault="00CA787A"/>
    <w:p w14:paraId="2FAF1C04" w14:textId="77777777" w:rsidR="00CA787A" w:rsidRDefault="003169E9">
      <w:r>
        <w:rPr>
          <w:color w:val="000000"/>
        </w:rPr>
        <w:t xml:space="preserve">WVDE/OSE defines "disproportionate representation" as a risk ratio of 3.0 or greater (overrepresentation) for any given year (i.e., every one year). When disproportionate representation is identified in an LEA, WVDE/OSE determines whether the disproportionate representation is the result of inappropriate identification by reviewing policies, practices, and procedures as submitted by the LEA. Data for each LEA are analyzed for all seven (7) racial/ethnic groups and the six (6) required disability categories. </w:t>
      </w:r>
    </w:p>
    <w:p w14:paraId="6BD28B22" w14:textId="77777777" w:rsidR="00CA787A" w:rsidRDefault="00CA787A"/>
    <w:p w14:paraId="073094B6" w14:textId="77777777" w:rsidR="00CA787A" w:rsidRDefault="003169E9">
      <w:r>
        <w:rPr>
          <w:color w:val="000000"/>
        </w:rPr>
        <w:t>CALCULATING “DISPROPORTIONATE REPRESENTATION”</w:t>
      </w:r>
    </w:p>
    <w:p w14:paraId="6DC5B93F" w14:textId="77777777" w:rsidR="00CA787A" w:rsidRDefault="00CA787A"/>
    <w:p w14:paraId="55608964" w14:textId="77777777" w:rsidR="00CA787A" w:rsidRDefault="003169E9">
      <w:r>
        <w:rPr>
          <w:color w:val="000000"/>
        </w:rPr>
        <w:t>WVDE/OSE calculates a risk ratio for each of the seven (7) racial/ethnic categories in each of the six (6) required disability categories within each LEA using data from the SY 2024-25 FS002 Children with Disabilities (IDEA) School Age file, and data from the SY 2024-25 FS052 Membership file of students in grades K through 12. To be included in the analysis, an LEA must have at least ten (10) students from the specific racial/ethnic group in one or more of the particular disability categories (cell size) and at least 30 students in overall enrollment (n-size) within the same racial/ethnic group. The group's risk is then compared to either the LEA or state risk for all other students. For the LEA comparison group to be used, it must also meet the minimum cell (10) and n (30) sizes within its "all other" racial/ethnic group; otherwise, the statewide comparison group risk is used.</w:t>
      </w:r>
    </w:p>
    <w:p w14:paraId="7383A38E" w14:textId="77777777" w:rsidR="0057259D" w:rsidRPr="00781112" w:rsidRDefault="0057259D" w:rsidP="004369B2">
      <w:pPr>
        <w:rPr>
          <w:b/>
          <w:color w:val="000000" w:themeColor="text1"/>
        </w:rPr>
      </w:pPr>
      <w:r w:rsidRPr="00781112">
        <w:rPr>
          <w:b/>
          <w:color w:val="000000" w:themeColor="text1"/>
        </w:rPr>
        <w:t>Describe how the State made its annual determination as to whether the disproportionate overrepresentation it identified of racial and ethnic groups in specific disability categories was the result of inappropriate identification.</w:t>
      </w:r>
    </w:p>
    <w:p w14:paraId="1C2683D0" w14:textId="77777777" w:rsidR="00481536" w:rsidRPr="00781112" w:rsidRDefault="002B7490" w:rsidP="003817C0">
      <w:pPr>
        <w:rPr>
          <w:rFonts w:cs="Arial"/>
          <w:color w:val="000000" w:themeColor="text1"/>
          <w:szCs w:val="16"/>
        </w:rPr>
      </w:pPr>
      <w:r w:rsidRPr="00781112">
        <w:rPr>
          <w:rFonts w:cs="Arial"/>
          <w:color w:val="000000" w:themeColor="text1"/>
          <w:szCs w:val="16"/>
        </w:rPr>
        <w:t xml:space="preserve">There was no disproportionate representation of racial and ethnic groups in specific disability categories identified. </w:t>
      </w:r>
    </w:p>
    <w:p w14:paraId="0C9B748B" w14:textId="77777777" w:rsidR="00DF1529" w:rsidRPr="00781112" w:rsidRDefault="00DF1529" w:rsidP="00DF1529">
      <w:pPr>
        <w:rPr>
          <w:rFonts w:cs="Arial"/>
          <w:b/>
          <w:color w:val="000000" w:themeColor="text1"/>
          <w:szCs w:val="16"/>
        </w:rPr>
      </w:pPr>
      <w:bookmarkStart w:id="60" w:name="_Toc381956338"/>
      <w:bookmarkStart w:id="61" w:name="_Toc384383352"/>
      <w:bookmarkStart w:id="62" w:name="_Toc392159320"/>
      <w:r w:rsidRPr="00781112">
        <w:rPr>
          <w:rFonts w:cs="Arial"/>
          <w:b/>
          <w:color w:val="000000" w:themeColor="text1"/>
          <w:szCs w:val="16"/>
        </w:rPr>
        <w:t>Provide additional information about this indicator (optional)</w:t>
      </w:r>
    </w:p>
    <w:p w14:paraId="42D2B1E4" w14:textId="77777777" w:rsidR="00481536" w:rsidRPr="00781112" w:rsidRDefault="002B7490" w:rsidP="007D435F">
      <w:pPr>
        <w:rPr>
          <w:rFonts w:cs="Arial"/>
          <w:color w:val="000000" w:themeColor="text1"/>
          <w:szCs w:val="16"/>
        </w:rPr>
      </w:pPr>
      <w:r w:rsidRPr="00781112">
        <w:rPr>
          <w:rFonts w:cs="Arial"/>
          <w:color w:val="000000" w:themeColor="text1"/>
          <w:szCs w:val="16"/>
        </w:rPr>
        <w:t>All LEAs are eligible for inclusion in the analysis with the exception of the state-operated WV Schools for the Deaf and Blind, and WV Schools for Diversion and Transition (institutional education programs across the state). Given the specialized nature of these two (2) LEAs, they are excluded from the analysis as they do not identify students for special education services.</w:t>
      </w:r>
    </w:p>
    <w:p w14:paraId="27FF56EA" w14:textId="77777777" w:rsidR="009A755E" w:rsidRPr="00781112" w:rsidRDefault="00450F98" w:rsidP="004369B2">
      <w:pPr>
        <w:rPr>
          <w:color w:val="000000" w:themeColor="text1"/>
        </w:rPr>
      </w:pPr>
      <w:r>
        <w:rPr>
          <w:b/>
          <w:color w:val="000000" w:themeColor="text1"/>
        </w:rPr>
        <w:t>Correction of Findings of Noncompliance Identified in FFY 2023</w:t>
      </w:r>
    </w:p>
    <w:tbl>
      <w:tblPr>
        <w:tblStyle w:val="TableGrid"/>
        <w:tblW w:w="5000" w:type="pct"/>
        <w:tblLook w:val="04A0" w:firstRow="1" w:lastRow="0" w:firstColumn="1" w:lastColumn="0" w:noHBand="0" w:noVBand="1"/>
        <w:tblCaption w:val="B10PFFYNCFINDINGS"/>
      </w:tblPr>
      <w:tblGrid>
        <w:gridCol w:w="2650"/>
        <w:gridCol w:w="2780"/>
        <w:gridCol w:w="2656"/>
        <w:gridCol w:w="2704"/>
      </w:tblGrid>
      <w:tr w:rsidR="005C29F8" w:rsidRPr="00781112" w14:paraId="1DE46FC4" w14:textId="77777777" w:rsidTr="0033429D">
        <w:trPr>
          <w:trHeight w:val="389"/>
          <w:tblHeader/>
        </w:trPr>
        <w:tc>
          <w:tcPr>
            <w:tcW w:w="1228" w:type="pct"/>
            <w:vAlign w:val="bottom"/>
          </w:tcPr>
          <w:p w14:paraId="09B615B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vAlign w:val="bottom"/>
          </w:tcPr>
          <w:p w14:paraId="296CDF7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vAlign w:val="bottom"/>
          </w:tcPr>
          <w:p w14:paraId="50C65A22"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vAlign w:val="bottom"/>
          </w:tcPr>
          <w:p w14:paraId="647CAC22"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11737168" w14:textId="77777777" w:rsidTr="00690A61">
        <w:tc>
          <w:tcPr>
            <w:tcW w:w="1228" w:type="pct"/>
          </w:tcPr>
          <w:p w14:paraId="5FA07CC1" w14:textId="77777777"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88" w:type="pct"/>
          </w:tcPr>
          <w:p w14:paraId="2ADEEE0D" w14:textId="77777777"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31" w:type="pct"/>
          </w:tcPr>
          <w:p w14:paraId="455F3ED1" w14:textId="77777777"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54" w:type="pct"/>
          </w:tcPr>
          <w:p w14:paraId="71F9A673" w14:textId="77777777"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r>
    </w:tbl>
    <w:p w14:paraId="14D25E5A" w14:textId="77777777" w:rsidR="00541D9E" w:rsidRPr="002E2B1D" w:rsidRDefault="00541D9E" w:rsidP="00541D9E">
      <w:pPr>
        <w:keepNext/>
        <w:spacing w:after="0"/>
        <w:rPr>
          <w:rFonts w:eastAsia="Times New Roman" w:cs="Arial"/>
          <w:b/>
          <w:szCs w:val="16"/>
        </w:rPr>
      </w:pPr>
      <w:r w:rsidRPr="002E2B1D">
        <w:rPr>
          <w:rFonts w:eastAsia="Times New Roman" w:cs="Arial"/>
          <w:b/>
          <w:szCs w:val="16"/>
        </w:rPr>
        <w:t xml:space="preserve">If procedures have been adopted that permit LEAs to correct noncompliance prior to the State’s issuance of a finding (i.e., pre-finding correction), describe how, for instances of noncompliance discovered in FFY 2023, the State verified: (1) that the source of noncompliance is correctly implementing the regulatory requirements; </w:t>
      </w:r>
      <w:proofErr w:type="gramStart"/>
      <w:r w:rsidRPr="002E2B1D">
        <w:rPr>
          <w:rFonts w:eastAsia="Times New Roman" w:cs="Arial"/>
          <w:b/>
          <w:szCs w:val="16"/>
        </w:rPr>
        <w:t>and,</w:t>
      </w:r>
      <w:proofErr w:type="gramEnd"/>
      <w:r w:rsidRPr="002E2B1D">
        <w:rPr>
          <w:rFonts w:eastAsia="Times New Roman" w:cs="Arial"/>
          <w:b/>
          <w:szCs w:val="16"/>
        </w:rPr>
        <w:t xml:space="preserve"> (2) each individual case of noncompliance was corrected. </w:t>
      </w:r>
    </w:p>
    <w:p w14:paraId="657A65AE" w14:textId="77777777" w:rsidR="00541D9E" w:rsidRPr="008C215C" w:rsidRDefault="00541D9E" w:rsidP="00541D9E">
      <w:pPr>
        <w:rPr>
          <w:bCs/>
        </w:rPr>
      </w:pPr>
      <w:r w:rsidRPr="008C215C">
        <w:t>WVDE/OSE has not adopted procedures that permit LEAs to correct identified noncompliance prior to the issuance of a finding.</w:t>
      </w:r>
      <w:r w:rsidRPr="008C215C">
        <w:rPr>
          <w:bCs/>
        </w:rPr>
        <w:t xml:space="preserve"> </w:t>
      </w:r>
    </w:p>
    <w:p w14:paraId="239BACE3" w14:textId="77777777" w:rsidR="009A755E" w:rsidRPr="00781112" w:rsidRDefault="00450F98" w:rsidP="00541D9E">
      <w:pPr>
        <w:rPr>
          <w:color w:val="000000" w:themeColor="text1"/>
        </w:rPr>
      </w:pPr>
      <w:r>
        <w:rPr>
          <w:b/>
          <w:color w:val="000000" w:themeColor="text1"/>
        </w:rPr>
        <w:t>Correction of Findings of Noncompliance Identified Prior to FFY 2023</w:t>
      </w:r>
    </w:p>
    <w:tbl>
      <w:tblPr>
        <w:tblStyle w:val="TableGrid"/>
        <w:tblW w:w="5000" w:type="pct"/>
        <w:tblLook w:val="04A0" w:firstRow="1" w:lastRow="0" w:firstColumn="1" w:lastColumn="0" w:noHBand="0" w:noVBand="1"/>
        <w:tblCaption w:val="B10BPPFFYNCFINDINGS"/>
      </w:tblPr>
      <w:tblGrid>
        <w:gridCol w:w="1890"/>
        <w:gridCol w:w="3332"/>
        <w:gridCol w:w="2743"/>
        <w:gridCol w:w="2825"/>
      </w:tblGrid>
      <w:tr w:rsidR="005C29F8" w:rsidRPr="00781112" w14:paraId="556C9284" w14:textId="77777777" w:rsidTr="00BD26DC">
        <w:trPr>
          <w:tblHeader/>
        </w:trPr>
        <w:tc>
          <w:tcPr>
            <w:tcW w:w="876" w:type="pct"/>
            <w:vAlign w:val="bottom"/>
          </w:tcPr>
          <w:p w14:paraId="264450CA" w14:textId="77777777" w:rsidR="009A755E" w:rsidRPr="00781112" w:rsidRDefault="003A4027" w:rsidP="009A755E">
            <w:pPr>
              <w:jc w:val="center"/>
              <w:rPr>
                <w:rFonts w:cs="Arial"/>
                <w:b/>
                <w:color w:val="000000" w:themeColor="text1"/>
                <w:szCs w:val="16"/>
              </w:rPr>
            </w:pPr>
            <w:r w:rsidRPr="00781112">
              <w:rPr>
                <w:rFonts w:cs="Arial"/>
                <w:b/>
                <w:color w:val="000000" w:themeColor="text1"/>
                <w:szCs w:val="16"/>
              </w:rPr>
              <w:lastRenderedPageBreak/>
              <w:t>Year Findings of Noncompliance Were Identified</w:t>
            </w:r>
          </w:p>
        </w:tc>
        <w:tc>
          <w:tcPr>
            <w:tcW w:w="1544" w:type="pct"/>
            <w:vAlign w:val="bottom"/>
          </w:tcPr>
          <w:p w14:paraId="25DC246F" w14:textId="77777777"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2023 APR</w:t>
            </w:r>
          </w:p>
        </w:tc>
        <w:tc>
          <w:tcPr>
            <w:tcW w:w="1271" w:type="pct"/>
            <w:vAlign w:val="bottom"/>
          </w:tcPr>
          <w:p w14:paraId="096E8201"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309" w:type="pct"/>
            <w:vAlign w:val="bottom"/>
          </w:tcPr>
          <w:p w14:paraId="6F7E255F"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22EF2C55" w14:textId="77777777" w:rsidTr="00BD26DC">
        <w:tc>
          <w:tcPr>
            <w:tcW w:w="876" w:type="pct"/>
          </w:tcPr>
          <w:p w14:paraId="413DA619" w14:textId="77777777" w:rsidR="009A755E" w:rsidRPr="00781112" w:rsidRDefault="009A755E" w:rsidP="00A018D4">
            <w:pPr>
              <w:jc w:val="center"/>
              <w:rPr>
                <w:rFonts w:cs="Arial"/>
                <w:color w:val="000000" w:themeColor="text1"/>
                <w:szCs w:val="16"/>
              </w:rPr>
            </w:pPr>
          </w:p>
        </w:tc>
        <w:tc>
          <w:tcPr>
            <w:tcW w:w="1544" w:type="pct"/>
          </w:tcPr>
          <w:p w14:paraId="7519E63E" w14:textId="77777777" w:rsidR="009A755E" w:rsidRPr="00781112" w:rsidRDefault="009A755E">
            <w:pPr>
              <w:jc w:val="center"/>
              <w:rPr>
                <w:rFonts w:cs="Arial"/>
                <w:noProof/>
                <w:color w:val="000000" w:themeColor="text1"/>
                <w:szCs w:val="16"/>
              </w:rPr>
            </w:pPr>
          </w:p>
        </w:tc>
        <w:tc>
          <w:tcPr>
            <w:tcW w:w="1271" w:type="pct"/>
          </w:tcPr>
          <w:p w14:paraId="7DA2DE91" w14:textId="77777777" w:rsidR="009A755E" w:rsidRPr="00781112" w:rsidRDefault="009A755E">
            <w:pPr>
              <w:jc w:val="center"/>
              <w:rPr>
                <w:rFonts w:cs="Arial"/>
                <w:noProof/>
                <w:color w:val="000000" w:themeColor="text1"/>
                <w:szCs w:val="16"/>
              </w:rPr>
            </w:pPr>
          </w:p>
        </w:tc>
        <w:tc>
          <w:tcPr>
            <w:tcW w:w="1309" w:type="pct"/>
          </w:tcPr>
          <w:p w14:paraId="6C415F3A" w14:textId="77777777" w:rsidR="009A755E" w:rsidRPr="00781112" w:rsidRDefault="009A755E">
            <w:pPr>
              <w:jc w:val="center"/>
              <w:rPr>
                <w:rFonts w:cs="Arial"/>
                <w:noProof/>
                <w:color w:val="000000" w:themeColor="text1"/>
                <w:szCs w:val="16"/>
              </w:rPr>
            </w:pPr>
          </w:p>
        </w:tc>
      </w:tr>
      <w:tr w:rsidR="005C29F8" w:rsidRPr="00781112" w14:paraId="390FE519" w14:textId="77777777" w:rsidTr="00BD26DC">
        <w:tc>
          <w:tcPr>
            <w:tcW w:w="876" w:type="pct"/>
          </w:tcPr>
          <w:p w14:paraId="4C8480E2" w14:textId="77777777" w:rsidR="009A755E" w:rsidRPr="00781112" w:rsidRDefault="009A755E" w:rsidP="00A018D4">
            <w:pPr>
              <w:jc w:val="center"/>
              <w:rPr>
                <w:rFonts w:cs="Arial"/>
                <w:color w:val="000000" w:themeColor="text1"/>
                <w:szCs w:val="16"/>
              </w:rPr>
            </w:pPr>
          </w:p>
        </w:tc>
        <w:tc>
          <w:tcPr>
            <w:tcW w:w="1544" w:type="pct"/>
          </w:tcPr>
          <w:p w14:paraId="12514D4C" w14:textId="77777777" w:rsidR="009A755E" w:rsidRPr="00781112" w:rsidRDefault="009A755E">
            <w:pPr>
              <w:jc w:val="center"/>
              <w:rPr>
                <w:rFonts w:cs="Arial"/>
                <w:noProof/>
                <w:color w:val="000000" w:themeColor="text1"/>
                <w:szCs w:val="16"/>
              </w:rPr>
            </w:pPr>
          </w:p>
        </w:tc>
        <w:tc>
          <w:tcPr>
            <w:tcW w:w="1271" w:type="pct"/>
          </w:tcPr>
          <w:p w14:paraId="540F255D" w14:textId="77777777" w:rsidR="009A755E" w:rsidRPr="00781112" w:rsidRDefault="009A755E">
            <w:pPr>
              <w:jc w:val="center"/>
              <w:rPr>
                <w:rFonts w:cs="Arial"/>
                <w:noProof/>
                <w:color w:val="000000" w:themeColor="text1"/>
                <w:szCs w:val="16"/>
              </w:rPr>
            </w:pPr>
          </w:p>
        </w:tc>
        <w:tc>
          <w:tcPr>
            <w:tcW w:w="1309" w:type="pct"/>
          </w:tcPr>
          <w:p w14:paraId="641948EF" w14:textId="77777777" w:rsidR="009A755E" w:rsidRPr="00781112" w:rsidRDefault="009A755E">
            <w:pPr>
              <w:jc w:val="center"/>
              <w:rPr>
                <w:rFonts w:cs="Arial"/>
                <w:noProof/>
                <w:color w:val="000000" w:themeColor="text1"/>
                <w:szCs w:val="16"/>
              </w:rPr>
            </w:pPr>
          </w:p>
        </w:tc>
      </w:tr>
      <w:tr w:rsidR="005C29F8" w:rsidRPr="00781112" w14:paraId="3B871F5F" w14:textId="77777777" w:rsidTr="00BD26DC">
        <w:tc>
          <w:tcPr>
            <w:tcW w:w="876" w:type="pct"/>
          </w:tcPr>
          <w:p w14:paraId="31D4B59E" w14:textId="77777777" w:rsidR="009A755E" w:rsidRPr="00781112" w:rsidRDefault="009A755E" w:rsidP="00A018D4">
            <w:pPr>
              <w:jc w:val="center"/>
              <w:rPr>
                <w:rFonts w:cs="Arial"/>
                <w:color w:val="000000" w:themeColor="text1"/>
                <w:szCs w:val="16"/>
              </w:rPr>
            </w:pPr>
          </w:p>
        </w:tc>
        <w:tc>
          <w:tcPr>
            <w:tcW w:w="1544" w:type="pct"/>
          </w:tcPr>
          <w:p w14:paraId="48483774" w14:textId="77777777" w:rsidR="009A755E" w:rsidRPr="00781112" w:rsidRDefault="009A755E">
            <w:pPr>
              <w:jc w:val="center"/>
              <w:rPr>
                <w:rFonts w:cs="Arial"/>
                <w:noProof/>
                <w:color w:val="000000" w:themeColor="text1"/>
                <w:szCs w:val="16"/>
              </w:rPr>
            </w:pPr>
          </w:p>
        </w:tc>
        <w:tc>
          <w:tcPr>
            <w:tcW w:w="1271" w:type="pct"/>
          </w:tcPr>
          <w:p w14:paraId="15843ACE" w14:textId="77777777" w:rsidR="009A755E" w:rsidRPr="00781112" w:rsidRDefault="009A755E">
            <w:pPr>
              <w:jc w:val="center"/>
              <w:rPr>
                <w:rFonts w:cs="Arial"/>
                <w:noProof/>
                <w:color w:val="000000" w:themeColor="text1"/>
                <w:szCs w:val="16"/>
              </w:rPr>
            </w:pPr>
          </w:p>
        </w:tc>
        <w:tc>
          <w:tcPr>
            <w:tcW w:w="1309" w:type="pct"/>
          </w:tcPr>
          <w:p w14:paraId="0CD0A643" w14:textId="77777777" w:rsidR="009A755E" w:rsidRPr="00781112" w:rsidRDefault="009A755E">
            <w:pPr>
              <w:jc w:val="center"/>
              <w:rPr>
                <w:rFonts w:cs="Arial"/>
                <w:noProof/>
                <w:color w:val="000000" w:themeColor="text1"/>
                <w:szCs w:val="16"/>
              </w:rPr>
            </w:pPr>
          </w:p>
        </w:tc>
      </w:tr>
      <w:tr w:rsidR="00BD26DC" w:rsidRPr="00781112" w14:paraId="0F5F9814" w14:textId="77777777" w:rsidTr="00BD26DC">
        <w:tc>
          <w:tcPr>
            <w:tcW w:w="876" w:type="pct"/>
          </w:tcPr>
          <w:p w14:paraId="49CB60D8" w14:textId="77777777" w:rsidR="00BD26DC" w:rsidRPr="00781112" w:rsidRDefault="00BD26DC" w:rsidP="00BD26DC">
            <w:pPr>
              <w:jc w:val="center"/>
              <w:rPr>
                <w:rFonts w:cs="Arial"/>
                <w:color w:val="000000" w:themeColor="text1"/>
                <w:szCs w:val="16"/>
              </w:rPr>
            </w:pPr>
          </w:p>
        </w:tc>
        <w:tc>
          <w:tcPr>
            <w:tcW w:w="1544" w:type="pct"/>
          </w:tcPr>
          <w:p w14:paraId="1A4F1670" w14:textId="77777777" w:rsidR="00BD26DC" w:rsidRPr="00781112" w:rsidRDefault="00BD26DC" w:rsidP="00BD26DC">
            <w:pPr>
              <w:jc w:val="center"/>
              <w:rPr>
                <w:rFonts w:cs="Arial"/>
                <w:color w:val="000000" w:themeColor="text1"/>
                <w:szCs w:val="16"/>
              </w:rPr>
            </w:pPr>
          </w:p>
        </w:tc>
        <w:tc>
          <w:tcPr>
            <w:tcW w:w="1271" w:type="pct"/>
          </w:tcPr>
          <w:p w14:paraId="671C839A" w14:textId="77777777" w:rsidR="00BD26DC" w:rsidRPr="00781112" w:rsidRDefault="00BD26DC" w:rsidP="00BD26DC">
            <w:pPr>
              <w:jc w:val="center"/>
              <w:rPr>
                <w:rFonts w:cs="Arial"/>
                <w:color w:val="000000" w:themeColor="text1"/>
                <w:szCs w:val="16"/>
              </w:rPr>
            </w:pPr>
          </w:p>
        </w:tc>
        <w:tc>
          <w:tcPr>
            <w:tcW w:w="1309" w:type="pct"/>
          </w:tcPr>
          <w:p w14:paraId="4BF19EA2" w14:textId="77777777" w:rsidR="00BD26DC" w:rsidRPr="00781112" w:rsidRDefault="00BD26DC" w:rsidP="00BD26DC">
            <w:pPr>
              <w:jc w:val="center"/>
              <w:rPr>
                <w:rFonts w:cs="Arial"/>
                <w:color w:val="000000" w:themeColor="text1"/>
                <w:szCs w:val="16"/>
              </w:rPr>
            </w:pPr>
          </w:p>
        </w:tc>
      </w:tr>
      <w:tr w:rsidR="00BD26DC" w:rsidRPr="00781112" w14:paraId="59B04529" w14:textId="77777777" w:rsidTr="00BD26DC">
        <w:tc>
          <w:tcPr>
            <w:tcW w:w="876" w:type="pct"/>
          </w:tcPr>
          <w:p w14:paraId="6159E7F8" w14:textId="77777777" w:rsidR="00BD26DC" w:rsidRPr="00781112" w:rsidRDefault="00BD26DC" w:rsidP="00BD26DC">
            <w:pPr>
              <w:jc w:val="center"/>
              <w:rPr>
                <w:rFonts w:cs="Arial"/>
                <w:color w:val="000000" w:themeColor="text1"/>
                <w:szCs w:val="16"/>
              </w:rPr>
            </w:pPr>
          </w:p>
        </w:tc>
        <w:tc>
          <w:tcPr>
            <w:tcW w:w="1544" w:type="pct"/>
          </w:tcPr>
          <w:p w14:paraId="5124F17B" w14:textId="77777777" w:rsidR="00BD26DC" w:rsidRPr="00781112" w:rsidRDefault="00BD26DC" w:rsidP="00BD26DC">
            <w:pPr>
              <w:jc w:val="center"/>
              <w:rPr>
                <w:rFonts w:cs="Arial"/>
                <w:color w:val="000000" w:themeColor="text1"/>
                <w:szCs w:val="16"/>
              </w:rPr>
            </w:pPr>
          </w:p>
        </w:tc>
        <w:tc>
          <w:tcPr>
            <w:tcW w:w="1271" w:type="pct"/>
          </w:tcPr>
          <w:p w14:paraId="1150D41A" w14:textId="77777777" w:rsidR="00BD26DC" w:rsidRPr="00781112" w:rsidRDefault="00BD26DC" w:rsidP="00BD26DC">
            <w:pPr>
              <w:jc w:val="center"/>
              <w:rPr>
                <w:rFonts w:cs="Arial"/>
                <w:color w:val="000000" w:themeColor="text1"/>
                <w:szCs w:val="16"/>
              </w:rPr>
            </w:pPr>
          </w:p>
        </w:tc>
        <w:tc>
          <w:tcPr>
            <w:tcW w:w="1309" w:type="pct"/>
          </w:tcPr>
          <w:p w14:paraId="64E5A9CF" w14:textId="77777777" w:rsidR="00BD26DC" w:rsidRPr="00781112" w:rsidRDefault="00BD26DC" w:rsidP="00BD26DC">
            <w:pPr>
              <w:jc w:val="center"/>
              <w:rPr>
                <w:rFonts w:cs="Arial"/>
                <w:color w:val="000000" w:themeColor="text1"/>
                <w:szCs w:val="16"/>
              </w:rPr>
            </w:pPr>
          </w:p>
        </w:tc>
      </w:tr>
    </w:tbl>
    <w:p w14:paraId="5A5A235D" w14:textId="77777777" w:rsidR="004E2151" w:rsidRPr="00781112" w:rsidRDefault="009F64D5" w:rsidP="008645AD">
      <w:pPr>
        <w:pStyle w:val="Heading2"/>
      </w:pPr>
      <w:r w:rsidRPr="00781112">
        <w:t>10</w:t>
      </w:r>
      <w:r w:rsidR="00596F4D" w:rsidRPr="00781112">
        <w:t xml:space="preserve"> </w:t>
      </w:r>
      <w:r w:rsidRPr="00781112">
        <w:t xml:space="preserve">- </w:t>
      </w:r>
      <w:r w:rsidR="004E2151" w:rsidRPr="00781112">
        <w:t>Prior FFY Required Actions</w:t>
      </w:r>
    </w:p>
    <w:p w14:paraId="4F0B8F16" w14:textId="77777777" w:rsidR="004E2151" w:rsidRPr="00781112" w:rsidRDefault="002B7490" w:rsidP="004E2151">
      <w:pPr>
        <w:rPr>
          <w:rFonts w:cs="Arial"/>
          <w:color w:val="000000" w:themeColor="text1"/>
          <w:szCs w:val="16"/>
        </w:rPr>
      </w:pPr>
      <w:r w:rsidRPr="00781112">
        <w:rPr>
          <w:rFonts w:cs="Arial"/>
          <w:color w:val="000000" w:themeColor="text1"/>
          <w:szCs w:val="16"/>
        </w:rPr>
        <w:t>None</w:t>
      </w:r>
    </w:p>
    <w:p w14:paraId="097D12D7" w14:textId="77777777" w:rsidR="009F69E7" w:rsidRPr="00781112" w:rsidRDefault="009F69E7" w:rsidP="004E2151">
      <w:pPr>
        <w:rPr>
          <w:rFonts w:cs="Arial"/>
          <w:color w:val="000000" w:themeColor="text1"/>
          <w:szCs w:val="16"/>
        </w:rPr>
      </w:pPr>
    </w:p>
    <w:p w14:paraId="1E487F66" w14:textId="77777777" w:rsidR="004E2151" w:rsidRPr="00781112" w:rsidRDefault="004E2151" w:rsidP="004E2151">
      <w:pPr>
        <w:rPr>
          <w:rFonts w:cs="Arial"/>
          <w:color w:val="000000" w:themeColor="text1"/>
          <w:szCs w:val="16"/>
        </w:rPr>
      </w:pPr>
    </w:p>
    <w:p w14:paraId="5E4C35DC" w14:textId="77777777" w:rsidR="007F5071" w:rsidRPr="00781112" w:rsidRDefault="008B2598" w:rsidP="008645AD">
      <w:pPr>
        <w:pStyle w:val="Heading2"/>
      </w:pPr>
      <w:r w:rsidRPr="00781112">
        <w:t>10 - OSEP Response</w:t>
      </w:r>
    </w:p>
    <w:p w14:paraId="2CBB0F8A" w14:textId="77777777" w:rsidR="00481536" w:rsidRPr="00781112" w:rsidRDefault="00481536" w:rsidP="00212954">
      <w:pPr>
        <w:rPr>
          <w:rFonts w:cs="Arial"/>
          <w:color w:val="000000" w:themeColor="text1"/>
          <w:szCs w:val="16"/>
        </w:rPr>
      </w:pPr>
    </w:p>
    <w:p w14:paraId="1F4FFA13" w14:textId="77777777" w:rsidR="007F5071" w:rsidRPr="00781112" w:rsidRDefault="007C1BCF" w:rsidP="008645AD">
      <w:pPr>
        <w:pStyle w:val="Heading2"/>
      </w:pPr>
      <w:r w:rsidRPr="00781112">
        <w:t xml:space="preserve">10 - </w:t>
      </w:r>
      <w:r w:rsidR="007F5071" w:rsidRPr="00781112">
        <w:t>Required Actions</w:t>
      </w:r>
    </w:p>
    <w:p w14:paraId="5A3975AE" w14:textId="77777777" w:rsidR="00481536" w:rsidRPr="00781112" w:rsidRDefault="00481536" w:rsidP="00212954">
      <w:pPr>
        <w:rPr>
          <w:rFonts w:cs="Arial"/>
          <w:color w:val="000000" w:themeColor="text1"/>
          <w:szCs w:val="16"/>
        </w:rPr>
      </w:pPr>
    </w:p>
    <w:p w14:paraId="696478B0"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4E76E808" w14:textId="77777777" w:rsidR="00D03701" w:rsidRPr="00781112" w:rsidRDefault="00D03701" w:rsidP="000444E2">
      <w:pPr>
        <w:pStyle w:val="Heading1"/>
        <w:rPr>
          <w:color w:val="000000" w:themeColor="text1"/>
          <w:sz w:val="22"/>
        </w:rPr>
      </w:pPr>
      <w:r w:rsidRPr="00781112">
        <w:rPr>
          <w:color w:val="000000" w:themeColor="text1"/>
          <w:sz w:val="22"/>
        </w:rPr>
        <w:lastRenderedPageBreak/>
        <w:t>Indicator 11: Child Find</w:t>
      </w:r>
      <w:bookmarkEnd w:id="60"/>
      <w:bookmarkEnd w:id="61"/>
      <w:bookmarkEnd w:id="62"/>
    </w:p>
    <w:p w14:paraId="42B04A8E" w14:textId="77777777" w:rsidR="00E119B0" w:rsidRPr="002C274F" w:rsidRDefault="00E119B0" w:rsidP="002C274F">
      <w:pPr>
        <w:rPr>
          <w:b/>
          <w:bCs/>
          <w:sz w:val="20"/>
          <w:szCs w:val="20"/>
        </w:rPr>
      </w:pPr>
      <w:bookmarkStart w:id="63" w:name="_Toc384383353"/>
      <w:bookmarkStart w:id="64" w:name="_Toc392159321"/>
      <w:r w:rsidRPr="002C274F">
        <w:rPr>
          <w:b/>
          <w:bCs/>
          <w:sz w:val="20"/>
          <w:szCs w:val="20"/>
        </w:rPr>
        <w:t>Instructions and Measurement</w:t>
      </w:r>
    </w:p>
    <w:p w14:paraId="002906A7" w14:textId="77777777" w:rsidR="001F3A65" w:rsidRPr="00781112" w:rsidRDefault="001F3A65" w:rsidP="00832807">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Child Find</w:t>
      </w:r>
    </w:p>
    <w:p w14:paraId="40F0D8B5" w14:textId="77777777" w:rsidR="003356F1" w:rsidRPr="00781112" w:rsidRDefault="001F3A65" w:rsidP="00832807">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children who were evaluated within 60 days of receiving parental consent for initial evaluation or, if the State establishes a timeframe within which the evaluation must be conducted, within that timeframe. </w:t>
      </w:r>
    </w:p>
    <w:p w14:paraId="72B67FC1" w14:textId="77777777" w:rsidR="001F3A65" w:rsidRPr="00781112" w:rsidRDefault="001F3A65" w:rsidP="00832807">
      <w:pPr>
        <w:rPr>
          <w:rFonts w:cs="Arial"/>
          <w:color w:val="000000" w:themeColor="text1"/>
          <w:szCs w:val="16"/>
        </w:rPr>
      </w:pPr>
      <w:r w:rsidRPr="00781112">
        <w:rPr>
          <w:rFonts w:cs="Arial"/>
          <w:color w:val="000000" w:themeColor="text1"/>
          <w:szCs w:val="16"/>
        </w:rPr>
        <w:t>(20 U.S.C. 1416(a)(3)(B))</w:t>
      </w:r>
    </w:p>
    <w:p w14:paraId="5E4FFBD5" w14:textId="77777777" w:rsidR="003356F1" w:rsidRPr="00781112" w:rsidRDefault="003356F1" w:rsidP="004369B2">
      <w:pPr>
        <w:rPr>
          <w:color w:val="000000" w:themeColor="text1"/>
        </w:rPr>
      </w:pPr>
      <w:r w:rsidRPr="00781112">
        <w:rPr>
          <w:b/>
          <w:color w:val="000000" w:themeColor="text1"/>
        </w:rPr>
        <w:t>Data Source</w:t>
      </w:r>
    </w:p>
    <w:p w14:paraId="3D7D09CC" w14:textId="77777777" w:rsidR="003356F1" w:rsidRPr="00781112" w:rsidRDefault="003356F1"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 and must be based on actual, not an average, number of days. Indicate if the State has established a timeline and, if so, what is the State’s timeline for initial evaluations.</w:t>
      </w:r>
    </w:p>
    <w:p w14:paraId="00EDB4C6" w14:textId="77777777" w:rsidR="003356F1" w:rsidRPr="00781112" w:rsidRDefault="003356F1" w:rsidP="004369B2">
      <w:pPr>
        <w:rPr>
          <w:color w:val="000000" w:themeColor="text1"/>
        </w:rPr>
      </w:pPr>
      <w:r w:rsidRPr="00781112">
        <w:rPr>
          <w:b/>
          <w:color w:val="000000" w:themeColor="text1"/>
        </w:rPr>
        <w:t>Measurement</w:t>
      </w:r>
    </w:p>
    <w:p w14:paraId="3A3CC55B" w14:textId="77777777" w:rsidR="003356F1" w:rsidRPr="00781112" w:rsidRDefault="003F4D08"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a. # of children for whom parental consent to evaluate was received.</w:t>
      </w:r>
    </w:p>
    <w:p w14:paraId="486BFB17" w14:textId="77777777" w:rsidR="003356F1" w:rsidRPr="00781112" w:rsidRDefault="003F4D08"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b. # of children whose evaluations were completed within 60 days (or State-established timeline).</w:t>
      </w:r>
    </w:p>
    <w:p w14:paraId="718C8E26" w14:textId="77777777" w:rsidR="003356F1" w:rsidRPr="00781112" w:rsidRDefault="003356F1" w:rsidP="006A01BD">
      <w:pPr>
        <w:spacing w:before="0" w:after="210"/>
        <w:ind w:left="720"/>
        <w:rPr>
          <w:rFonts w:eastAsia="Times New Roman" w:cs="Arial"/>
          <w:color w:val="000000" w:themeColor="text1"/>
          <w:szCs w:val="16"/>
        </w:rPr>
      </w:pPr>
      <w:r w:rsidRPr="00781112">
        <w:rPr>
          <w:rFonts w:eastAsia="Times New Roman" w:cs="Arial"/>
          <w:color w:val="000000" w:themeColor="text1"/>
          <w:szCs w:val="16"/>
        </w:rPr>
        <w:t>Account for children included in (a), but not included in (b). Indicate the range of days beyond the timeline when the evaluation was completed and any reasons for the delays.</w:t>
      </w:r>
    </w:p>
    <w:p w14:paraId="38363E1E" w14:textId="77777777" w:rsidR="003356F1" w:rsidRPr="00781112" w:rsidRDefault="003356F1" w:rsidP="006A01BD">
      <w:pPr>
        <w:spacing w:before="0" w:after="210"/>
        <w:ind w:firstLine="720"/>
        <w:rPr>
          <w:rFonts w:eastAsia="Times New Roman" w:cs="Arial"/>
          <w:color w:val="000000" w:themeColor="text1"/>
          <w:szCs w:val="16"/>
        </w:rPr>
      </w:pPr>
      <w:r w:rsidRPr="00781112">
        <w:rPr>
          <w:rFonts w:eastAsia="Times New Roman" w:cs="Arial"/>
          <w:color w:val="000000" w:themeColor="text1"/>
          <w:szCs w:val="16"/>
        </w:rPr>
        <w:t>Percent = [(b) divided by (a)] times 100.</w:t>
      </w:r>
    </w:p>
    <w:p w14:paraId="13F9D78C" w14:textId="77777777" w:rsidR="003356F1" w:rsidRPr="00781112" w:rsidRDefault="003356F1" w:rsidP="004369B2">
      <w:pPr>
        <w:rPr>
          <w:color w:val="000000" w:themeColor="text1"/>
        </w:rPr>
      </w:pPr>
      <w:r w:rsidRPr="00781112">
        <w:rPr>
          <w:b/>
          <w:color w:val="000000" w:themeColor="text1"/>
        </w:rPr>
        <w:t>Instructions</w:t>
      </w:r>
    </w:p>
    <w:p w14:paraId="72CED6BF" w14:textId="77777777" w:rsidR="003356F1" w:rsidRPr="00781112" w:rsidRDefault="003356F1" w:rsidP="00286BDF">
      <w:pPr>
        <w:rPr>
          <w:rFonts w:cs="Arial"/>
          <w:i/>
          <w:iCs/>
          <w:color w:val="000000" w:themeColor="text1"/>
          <w:szCs w:val="16"/>
        </w:rPr>
      </w:pPr>
      <w:r w:rsidRPr="00781112">
        <w:rPr>
          <w:rFonts w:cs="Arial"/>
          <w:i/>
          <w:iCs/>
          <w:color w:val="000000" w:themeColor="text1"/>
          <w:szCs w:val="16"/>
        </w:rPr>
        <w:t>If data are from State monitoring, describe the method used to select LEAs for monitoring. If data are from a State database, include data for the entire reporting year.</w:t>
      </w:r>
    </w:p>
    <w:p w14:paraId="041142C5" w14:textId="77777777" w:rsidR="003356F1" w:rsidRPr="00781112" w:rsidRDefault="003356F1" w:rsidP="00286BDF">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14:paraId="253B29E7" w14:textId="77777777" w:rsidR="003356F1" w:rsidRPr="00781112" w:rsidRDefault="003356F1" w:rsidP="00286BDF">
      <w:pPr>
        <w:rPr>
          <w:rFonts w:cs="Arial"/>
          <w:color w:val="000000" w:themeColor="text1"/>
          <w:szCs w:val="16"/>
        </w:rPr>
      </w:pPr>
      <w:r w:rsidRPr="00781112">
        <w:rPr>
          <w:rFonts w:cs="Arial"/>
          <w:color w:val="000000" w:themeColor="text1"/>
          <w:szCs w:val="16"/>
        </w:rPr>
        <w:t>Note that under 34 CFR §300.301(d), the timeframe set for initial evaluation does not apply to a public agency if: (1) the parent of a child repeatedly fails or refuses to produce the child for the evaluation; or (2) a child enrolls in a school of another public agency after the timeframe for initial evaluations has begun, and prior to a determination by the child’s previous public agency as to whether the child is a child with a disability. States should not report these exceptions in either the numerator (b) or denominator (a). If the State-established timeframe provides for exceptions through State regulation or policy, describe cases falling within those exceptions and include in b.</w:t>
      </w:r>
    </w:p>
    <w:p w14:paraId="69C34E72" w14:textId="77777777" w:rsidR="003356F1" w:rsidRPr="00781112" w:rsidRDefault="003356F1" w:rsidP="00286BDF">
      <w:pPr>
        <w:rPr>
          <w:rFonts w:cs="Arial"/>
          <w:color w:val="000000" w:themeColor="text1"/>
          <w:szCs w:val="16"/>
        </w:rPr>
      </w:pPr>
      <w:r w:rsidRPr="00781112">
        <w:rPr>
          <w:rFonts w:cs="Arial"/>
          <w:color w:val="000000" w:themeColor="text1"/>
          <w:szCs w:val="16"/>
        </w:rPr>
        <w:t>Targets must be 100%.</w:t>
      </w:r>
    </w:p>
    <w:p w14:paraId="04A548DB" w14:textId="77777777" w:rsidR="003356F1" w:rsidRPr="00781112" w:rsidRDefault="003356F1"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65" w:name="_Hlk150864333"/>
      <w:r w:rsidR="005F55E8" w:rsidRPr="005F55E8">
        <w:rPr>
          <w:rFonts w:cs="Arial"/>
          <w:color w:val="000000" w:themeColor="text1"/>
          <w:szCs w:val="16"/>
        </w:rPr>
        <w:t>child-specific and regulatory/systemic</w:t>
      </w:r>
      <w:r w:rsidR="005F55E8">
        <w:rPr>
          <w:sz w:val="20"/>
          <w:szCs w:val="14"/>
        </w:rPr>
        <w:t xml:space="preserve"> </w:t>
      </w:r>
      <w:bookmarkEnd w:id="65"/>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53E89A14" w14:textId="77777777" w:rsidR="003356F1" w:rsidRDefault="007A3964"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2024 SPP/APR, the data for FFY 2023), and the State did not identify any findings of noncompliance, provide an explanation of why the State did not identify any findings of noncompliance.</w:t>
      </w:r>
    </w:p>
    <w:p w14:paraId="1D6BC4AA" w14:textId="77777777" w:rsidR="007B2985" w:rsidRPr="00FE4611" w:rsidRDefault="00AC3C55" w:rsidP="00286BDF">
      <w:pPr>
        <w:rPr>
          <w:rFonts w:cs="Arial"/>
          <w:szCs w:val="16"/>
        </w:rPr>
      </w:pPr>
      <w:r>
        <w:rPr>
          <w:rFonts w:cs="Arial"/>
          <w:szCs w:val="16"/>
        </w:rPr>
        <w:t>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4A64679A" w14:textId="77777777" w:rsidR="00DB20BC" w:rsidRPr="00781112" w:rsidRDefault="00C22B92" w:rsidP="00123D76">
      <w:pPr>
        <w:pStyle w:val="Heading2"/>
      </w:pPr>
      <w:bookmarkStart w:id="66" w:name="_Toc384383354"/>
      <w:bookmarkStart w:id="67" w:name="_Toc392159322"/>
      <w:bookmarkEnd w:id="63"/>
      <w:bookmarkEnd w:id="64"/>
      <w:r w:rsidRPr="00781112">
        <w:t>11</w:t>
      </w:r>
      <w:r w:rsidR="00596F4D" w:rsidRPr="00781112">
        <w:t xml:space="preserve"> </w:t>
      </w:r>
      <w:r w:rsidRPr="00781112">
        <w:t xml:space="preserve">- </w:t>
      </w:r>
      <w:r w:rsidR="00DB20BC" w:rsidRPr="00781112">
        <w:t>Indicator Data</w:t>
      </w:r>
    </w:p>
    <w:p w14:paraId="08E7617B" w14:textId="77777777" w:rsidR="00B6413B" w:rsidRPr="00781112" w:rsidRDefault="00B6413B"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1BASELINEDATA"/>
      </w:tblPr>
      <w:tblGrid>
        <w:gridCol w:w="1797"/>
        <w:gridCol w:w="1798"/>
      </w:tblGrid>
      <w:tr w:rsidR="00126B45" w:rsidRPr="00781112" w14:paraId="584E570C" w14:textId="77777777" w:rsidTr="00123D76">
        <w:trPr>
          <w:trHeight w:val="311"/>
          <w:tblHeader/>
        </w:trPr>
        <w:tc>
          <w:tcPr>
            <w:tcW w:w="1797" w:type="dxa"/>
          </w:tcPr>
          <w:p w14:paraId="2F9359B1" w14:textId="77777777" w:rsidR="00126B45" w:rsidRPr="00781112" w:rsidRDefault="00126B45" w:rsidP="00123D76">
            <w:pPr>
              <w:jc w:val="center"/>
              <w:rPr>
                <w:b/>
                <w:color w:val="000000" w:themeColor="text1"/>
              </w:rPr>
            </w:pPr>
            <w:r w:rsidRPr="00781112">
              <w:rPr>
                <w:rFonts w:cs="Arial"/>
                <w:b/>
                <w:color w:val="000000" w:themeColor="text1"/>
                <w:szCs w:val="16"/>
              </w:rPr>
              <w:t>Baseline Year</w:t>
            </w:r>
          </w:p>
        </w:tc>
        <w:tc>
          <w:tcPr>
            <w:tcW w:w="1798" w:type="dxa"/>
          </w:tcPr>
          <w:p w14:paraId="42E4A302" w14:textId="77777777" w:rsidR="00126B45" w:rsidRPr="00781112" w:rsidRDefault="00126B45" w:rsidP="00123D76">
            <w:pPr>
              <w:jc w:val="center"/>
              <w:rPr>
                <w:b/>
                <w:color w:val="000000" w:themeColor="text1"/>
              </w:rPr>
            </w:pPr>
            <w:r w:rsidRPr="00781112">
              <w:rPr>
                <w:b/>
                <w:color w:val="000000" w:themeColor="text1"/>
              </w:rPr>
              <w:t>Baseline Data</w:t>
            </w:r>
          </w:p>
        </w:tc>
      </w:tr>
      <w:tr w:rsidR="00126B45" w:rsidRPr="00781112" w14:paraId="146215CB" w14:textId="77777777" w:rsidTr="00123D76">
        <w:trPr>
          <w:trHeight w:val="311"/>
        </w:trPr>
        <w:tc>
          <w:tcPr>
            <w:tcW w:w="1797" w:type="dxa"/>
            <w:vAlign w:val="center"/>
          </w:tcPr>
          <w:p w14:paraId="506E4099" w14:textId="77777777" w:rsidR="00126B45" w:rsidRPr="00781112" w:rsidRDefault="00126B45" w:rsidP="00123D76">
            <w:pPr>
              <w:jc w:val="center"/>
              <w:rPr>
                <w:bCs/>
                <w:color w:val="000000" w:themeColor="text1"/>
              </w:rPr>
            </w:pPr>
            <w:r w:rsidRPr="00781112">
              <w:rPr>
                <w:bCs/>
                <w:color w:val="000000" w:themeColor="text1"/>
              </w:rPr>
              <w:t>2019</w:t>
            </w:r>
          </w:p>
        </w:tc>
        <w:tc>
          <w:tcPr>
            <w:tcW w:w="1798" w:type="dxa"/>
            <w:vAlign w:val="center"/>
          </w:tcPr>
          <w:p w14:paraId="30B1143C" w14:textId="77777777" w:rsidR="00126B45" w:rsidRPr="00781112" w:rsidRDefault="00126B45" w:rsidP="00123D76">
            <w:pPr>
              <w:jc w:val="center"/>
              <w:rPr>
                <w:bCs/>
                <w:color w:val="000000" w:themeColor="text1"/>
              </w:rPr>
            </w:pPr>
            <w:r w:rsidRPr="00781112">
              <w:rPr>
                <w:bCs/>
                <w:color w:val="000000" w:themeColor="text1"/>
              </w:rPr>
              <w:t>98.62%</w:t>
            </w:r>
          </w:p>
        </w:tc>
      </w:tr>
    </w:tbl>
    <w:p w14:paraId="11EAD7FA" w14:textId="77777777" w:rsidR="00126B45" w:rsidRPr="00781112" w:rsidRDefault="00126B45"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1HISTDATA"/>
      </w:tblPr>
      <w:tblGrid>
        <w:gridCol w:w="1798"/>
        <w:gridCol w:w="1798"/>
        <w:gridCol w:w="1798"/>
        <w:gridCol w:w="1798"/>
        <w:gridCol w:w="1798"/>
        <w:gridCol w:w="1800"/>
      </w:tblGrid>
      <w:tr w:rsidR="005C29F8" w:rsidRPr="00781112" w14:paraId="00AE5873" w14:textId="77777777" w:rsidTr="005F2FF9">
        <w:trPr>
          <w:trHeight w:val="350"/>
        </w:trPr>
        <w:tc>
          <w:tcPr>
            <w:tcW w:w="833" w:type="pct"/>
            <w:tcBorders>
              <w:bottom w:val="single" w:sz="4" w:space="0" w:color="auto"/>
            </w:tcBorders>
          </w:tcPr>
          <w:p w14:paraId="796C5361" w14:textId="77777777" w:rsidR="00B6413B" w:rsidRPr="00781112" w:rsidRDefault="00B6413B" w:rsidP="004369B2">
            <w:pPr>
              <w:jc w:val="center"/>
              <w:rPr>
                <w:rFonts w:cs="Arial"/>
                <w:b/>
                <w:color w:val="000000" w:themeColor="text1"/>
                <w:szCs w:val="16"/>
              </w:rPr>
            </w:pPr>
            <w:r w:rsidRPr="00781112">
              <w:rPr>
                <w:rFonts w:cs="Arial"/>
                <w:b/>
                <w:color w:val="000000" w:themeColor="text1"/>
                <w:szCs w:val="16"/>
              </w:rPr>
              <w:t>FFY</w:t>
            </w:r>
          </w:p>
        </w:tc>
        <w:tc>
          <w:tcPr>
            <w:tcW w:w="833" w:type="pct"/>
          </w:tcPr>
          <w:p w14:paraId="4BC7ADF8" w14:textId="77777777" w:rsidR="00B6413B" w:rsidRPr="00781112" w:rsidRDefault="002B7490" w:rsidP="00B6413B">
            <w:pPr>
              <w:jc w:val="center"/>
              <w:rPr>
                <w:rFonts w:cs="Arial"/>
                <w:b/>
                <w:color w:val="000000" w:themeColor="text1"/>
                <w:szCs w:val="16"/>
              </w:rPr>
            </w:pPr>
            <w:r w:rsidRPr="00781112">
              <w:rPr>
                <w:rFonts w:cs="Arial"/>
                <w:b/>
                <w:color w:val="000000" w:themeColor="text1"/>
                <w:szCs w:val="16"/>
              </w:rPr>
              <w:t>2019</w:t>
            </w:r>
          </w:p>
        </w:tc>
        <w:tc>
          <w:tcPr>
            <w:tcW w:w="833" w:type="pct"/>
          </w:tcPr>
          <w:p w14:paraId="4669D524" w14:textId="77777777" w:rsidR="00B6413B" w:rsidRPr="00781112" w:rsidRDefault="002B7490" w:rsidP="00B6413B">
            <w:pPr>
              <w:jc w:val="center"/>
              <w:rPr>
                <w:rFonts w:cs="Arial"/>
                <w:b/>
                <w:color w:val="000000" w:themeColor="text1"/>
                <w:szCs w:val="16"/>
              </w:rPr>
            </w:pPr>
            <w:r w:rsidRPr="00781112">
              <w:rPr>
                <w:rFonts w:cs="Arial"/>
                <w:b/>
                <w:color w:val="000000" w:themeColor="text1"/>
                <w:szCs w:val="16"/>
              </w:rPr>
              <w:t>2020</w:t>
            </w:r>
          </w:p>
        </w:tc>
        <w:tc>
          <w:tcPr>
            <w:tcW w:w="833" w:type="pct"/>
          </w:tcPr>
          <w:p w14:paraId="65229BF2" w14:textId="77777777" w:rsidR="00B6413B" w:rsidRPr="00781112" w:rsidRDefault="002B7490" w:rsidP="00B6413B">
            <w:pPr>
              <w:jc w:val="center"/>
              <w:rPr>
                <w:rFonts w:cs="Arial"/>
                <w:b/>
                <w:color w:val="000000" w:themeColor="text1"/>
                <w:szCs w:val="16"/>
              </w:rPr>
            </w:pPr>
            <w:r w:rsidRPr="00781112">
              <w:rPr>
                <w:rFonts w:cs="Arial"/>
                <w:b/>
                <w:color w:val="000000" w:themeColor="text1"/>
                <w:szCs w:val="16"/>
              </w:rPr>
              <w:t>2021</w:t>
            </w:r>
          </w:p>
        </w:tc>
        <w:tc>
          <w:tcPr>
            <w:tcW w:w="833" w:type="pct"/>
          </w:tcPr>
          <w:p w14:paraId="7BC572E5" w14:textId="77777777" w:rsidR="00B6413B" w:rsidRPr="00781112" w:rsidRDefault="002B7490" w:rsidP="00B6413B">
            <w:pPr>
              <w:jc w:val="center"/>
              <w:rPr>
                <w:rFonts w:cs="Arial"/>
                <w:b/>
                <w:color w:val="000000" w:themeColor="text1"/>
                <w:szCs w:val="16"/>
              </w:rPr>
            </w:pPr>
            <w:r w:rsidRPr="00781112">
              <w:rPr>
                <w:rFonts w:cs="Arial"/>
                <w:b/>
                <w:color w:val="000000" w:themeColor="text1"/>
                <w:szCs w:val="16"/>
              </w:rPr>
              <w:t>2022</w:t>
            </w:r>
          </w:p>
        </w:tc>
        <w:tc>
          <w:tcPr>
            <w:tcW w:w="834" w:type="pct"/>
          </w:tcPr>
          <w:p w14:paraId="60D5AF2E" w14:textId="77777777" w:rsidR="00B6413B" w:rsidRPr="00781112" w:rsidRDefault="002B7490" w:rsidP="00B6413B">
            <w:pPr>
              <w:jc w:val="center"/>
              <w:rPr>
                <w:rFonts w:cs="Arial"/>
                <w:b/>
                <w:color w:val="000000" w:themeColor="text1"/>
                <w:szCs w:val="16"/>
              </w:rPr>
            </w:pPr>
            <w:r w:rsidRPr="00781112">
              <w:rPr>
                <w:rFonts w:cs="Arial"/>
                <w:b/>
                <w:color w:val="000000" w:themeColor="text1"/>
                <w:szCs w:val="16"/>
              </w:rPr>
              <w:t>2023</w:t>
            </w:r>
          </w:p>
        </w:tc>
      </w:tr>
      <w:tr w:rsidR="005C29F8" w:rsidRPr="00781112" w14:paraId="7EAA3D5A" w14:textId="77777777" w:rsidTr="005F2FF9">
        <w:trPr>
          <w:trHeight w:val="357"/>
        </w:trPr>
        <w:tc>
          <w:tcPr>
            <w:tcW w:w="833" w:type="pct"/>
          </w:tcPr>
          <w:p w14:paraId="3B83D3FF" w14:textId="77777777" w:rsidR="00B6413B" w:rsidRPr="00781112" w:rsidRDefault="00B6413B" w:rsidP="00BA3DBE">
            <w:pPr>
              <w:jc w:val="center"/>
              <w:rPr>
                <w:rFonts w:cs="Arial"/>
                <w:color w:val="000000" w:themeColor="text1"/>
                <w:szCs w:val="16"/>
              </w:rPr>
            </w:pPr>
            <w:r w:rsidRPr="00781112">
              <w:rPr>
                <w:rFonts w:cs="Arial"/>
                <w:color w:val="000000" w:themeColor="text1"/>
                <w:szCs w:val="16"/>
              </w:rPr>
              <w:t>Target</w:t>
            </w:r>
          </w:p>
        </w:tc>
        <w:tc>
          <w:tcPr>
            <w:tcW w:w="833" w:type="pct"/>
          </w:tcPr>
          <w:p w14:paraId="4B68BB86" w14:textId="77777777"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tcPr>
          <w:p w14:paraId="0BEED97A" w14:textId="77777777"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tcPr>
          <w:p w14:paraId="6519CFF8" w14:textId="77777777"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tcPr>
          <w:p w14:paraId="2A4C5535" w14:textId="77777777"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4" w:type="pct"/>
          </w:tcPr>
          <w:p w14:paraId="4D6D8C3F" w14:textId="77777777" w:rsidR="00B6413B" w:rsidRPr="00781112" w:rsidRDefault="00B16A26">
            <w:pPr>
              <w:jc w:val="center"/>
              <w:rPr>
                <w:rFonts w:cs="Arial"/>
                <w:color w:val="000000" w:themeColor="text1"/>
                <w:szCs w:val="16"/>
              </w:rPr>
            </w:pPr>
            <w:r w:rsidRPr="00781112">
              <w:rPr>
                <w:rFonts w:cs="Arial"/>
                <w:color w:val="000000" w:themeColor="text1"/>
                <w:szCs w:val="16"/>
              </w:rPr>
              <w:t>100%</w:t>
            </w:r>
          </w:p>
        </w:tc>
      </w:tr>
      <w:tr w:rsidR="005C29F8" w:rsidRPr="00781112" w14:paraId="7356BF70" w14:textId="77777777" w:rsidTr="005F2FF9">
        <w:trPr>
          <w:trHeight w:val="85"/>
        </w:trPr>
        <w:tc>
          <w:tcPr>
            <w:tcW w:w="833" w:type="pct"/>
          </w:tcPr>
          <w:p w14:paraId="6400982F" w14:textId="77777777" w:rsidR="00B6413B" w:rsidRPr="00781112" w:rsidRDefault="00B6413B" w:rsidP="00BA3DBE">
            <w:pPr>
              <w:jc w:val="center"/>
              <w:rPr>
                <w:rFonts w:cs="Arial"/>
                <w:color w:val="000000" w:themeColor="text1"/>
                <w:szCs w:val="16"/>
              </w:rPr>
            </w:pPr>
            <w:r w:rsidRPr="00781112">
              <w:rPr>
                <w:rFonts w:cs="Arial"/>
                <w:color w:val="000000" w:themeColor="text1"/>
                <w:szCs w:val="16"/>
              </w:rPr>
              <w:t>Data</w:t>
            </w:r>
          </w:p>
        </w:tc>
        <w:tc>
          <w:tcPr>
            <w:tcW w:w="833" w:type="pct"/>
          </w:tcPr>
          <w:p w14:paraId="05DB31E6" w14:textId="77777777" w:rsidR="00B6413B" w:rsidRPr="00781112" w:rsidRDefault="002B7490" w:rsidP="00A018D4">
            <w:pPr>
              <w:jc w:val="center"/>
              <w:rPr>
                <w:rFonts w:cs="Arial"/>
                <w:color w:val="000000" w:themeColor="text1"/>
                <w:szCs w:val="16"/>
              </w:rPr>
            </w:pPr>
            <w:r w:rsidRPr="00781112">
              <w:rPr>
                <w:rFonts w:cs="Arial"/>
                <w:color w:val="000000" w:themeColor="text1"/>
                <w:szCs w:val="16"/>
              </w:rPr>
              <w:t>98.62%</w:t>
            </w:r>
          </w:p>
        </w:tc>
        <w:tc>
          <w:tcPr>
            <w:tcW w:w="833" w:type="pct"/>
          </w:tcPr>
          <w:p w14:paraId="4515EA78" w14:textId="77777777" w:rsidR="00B6413B" w:rsidRPr="00781112" w:rsidRDefault="002B7490" w:rsidP="00A018D4">
            <w:pPr>
              <w:jc w:val="center"/>
              <w:rPr>
                <w:rFonts w:cs="Arial"/>
                <w:color w:val="000000" w:themeColor="text1"/>
                <w:szCs w:val="16"/>
              </w:rPr>
            </w:pPr>
            <w:r w:rsidRPr="00781112">
              <w:rPr>
                <w:rFonts w:cs="Arial"/>
                <w:color w:val="000000" w:themeColor="text1"/>
                <w:szCs w:val="16"/>
              </w:rPr>
              <w:t>96.46%</w:t>
            </w:r>
          </w:p>
        </w:tc>
        <w:tc>
          <w:tcPr>
            <w:tcW w:w="833" w:type="pct"/>
            <w:tcBorders>
              <w:bottom w:val="single" w:sz="4" w:space="0" w:color="auto"/>
            </w:tcBorders>
            <w:vAlign w:val="center"/>
          </w:tcPr>
          <w:p w14:paraId="74D0D3FC" w14:textId="77777777" w:rsidR="00B6413B" w:rsidRPr="00781112" w:rsidRDefault="002B7490" w:rsidP="00A018D4">
            <w:pPr>
              <w:jc w:val="center"/>
              <w:rPr>
                <w:rFonts w:cs="Arial"/>
                <w:color w:val="000000" w:themeColor="text1"/>
                <w:szCs w:val="16"/>
              </w:rPr>
            </w:pPr>
            <w:r w:rsidRPr="00781112">
              <w:rPr>
                <w:rFonts w:cs="Arial"/>
                <w:color w:val="000000" w:themeColor="text1"/>
                <w:szCs w:val="16"/>
              </w:rPr>
              <w:t>97.02%</w:t>
            </w:r>
          </w:p>
        </w:tc>
        <w:tc>
          <w:tcPr>
            <w:tcW w:w="833" w:type="pct"/>
            <w:tcBorders>
              <w:bottom w:val="single" w:sz="4" w:space="0" w:color="auto"/>
            </w:tcBorders>
            <w:vAlign w:val="center"/>
          </w:tcPr>
          <w:p w14:paraId="0A6154F3" w14:textId="77777777" w:rsidR="00B6413B" w:rsidRPr="00781112" w:rsidRDefault="002B7490" w:rsidP="00A018D4">
            <w:pPr>
              <w:jc w:val="center"/>
              <w:rPr>
                <w:rFonts w:cs="Arial"/>
                <w:color w:val="000000" w:themeColor="text1"/>
                <w:szCs w:val="16"/>
              </w:rPr>
            </w:pPr>
            <w:r w:rsidRPr="00781112">
              <w:rPr>
                <w:rFonts w:cs="Arial"/>
                <w:color w:val="000000" w:themeColor="text1"/>
                <w:szCs w:val="16"/>
              </w:rPr>
              <w:t>95.71%</w:t>
            </w:r>
          </w:p>
        </w:tc>
        <w:tc>
          <w:tcPr>
            <w:tcW w:w="834" w:type="pct"/>
            <w:tcBorders>
              <w:bottom w:val="single" w:sz="4" w:space="0" w:color="auto"/>
            </w:tcBorders>
            <w:vAlign w:val="center"/>
          </w:tcPr>
          <w:p w14:paraId="53049F0E" w14:textId="77777777" w:rsidR="00B6413B" w:rsidRPr="00781112" w:rsidRDefault="002B7490" w:rsidP="00A018D4">
            <w:pPr>
              <w:jc w:val="center"/>
              <w:rPr>
                <w:rFonts w:cs="Arial"/>
                <w:color w:val="000000" w:themeColor="text1"/>
                <w:szCs w:val="16"/>
              </w:rPr>
            </w:pPr>
            <w:r w:rsidRPr="00781112">
              <w:rPr>
                <w:rFonts w:cs="Arial"/>
                <w:color w:val="000000" w:themeColor="text1"/>
                <w:szCs w:val="16"/>
              </w:rPr>
              <w:t>99.22%</w:t>
            </w:r>
          </w:p>
        </w:tc>
      </w:tr>
    </w:tbl>
    <w:p w14:paraId="61FB2658" w14:textId="77777777" w:rsidR="00DE2E22" w:rsidRPr="00781112" w:rsidRDefault="00DE2E22" w:rsidP="004369B2">
      <w:pPr>
        <w:rPr>
          <w:color w:val="000000" w:themeColor="text1"/>
        </w:rPr>
      </w:pPr>
    </w:p>
    <w:p w14:paraId="7AFAE524" w14:textId="77777777" w:rsidR="007A3964" w:rsidRPr="00781112" w:rsidRDefault="007A3964" w:rsidP="004369B2">
      <w:pPr>
        <w:rPr>
          <w:color w:val="000000" w:themeColor="text1"/>
        </w:rPr>
      </w:pPr>
      <w:r w:rsidRPr="00781112">
        <w:rPr>
          <w:b/>
          <w:color w:val="000000" w:themeColor="text1"/>
        </w:rPr>
        <w:t>Targets</w:t>
      </w:r>
    </w:p>
    <w:tbl>
      <w:tblPr>
        <w:tblW w:w="26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1TARGETS"/>
      </w:tblPr>
      <w:tblGrid>
        <w:gridCol w:w="679"/>
        <w:gridCol w:w="2466"/>
        <w:gridCol w:w="2645"/>
      </w:tblGrid>
      <w:tr w:rsidR="008B52D3" w:rsidRPr="00781112" w14:paraId="59288760" w14:textId="77777777" w:rsidTr="00924AD9">
        <w:trPr>
          <w:trHeight w:val="460"/>
        </w:trPr>
        <w:tc>
          <w:tcPr>
            <w:tcW w:w="586" w:type="pct"/>
            <w:tcBorders>
              <w:bottom w:val="single" w:sz="4" w:space="0" w:color="auto"/>
            </w:tcBorders>
          </w:tcPr>
          <w:p w14:paraId="06359ADB" w14:textId="77777777" w:rsidR="008B52D3" w:rsidRPr="00781112" w:rsidRDefault="008B52D3" w:rsidP="00487DD1">
            <w:pPr>
              <w:jc w:val="center"/>
              <w:rPr>
                <w:b/>
                <w:color w:val="000000" w:themeColor="text1"/>
              </w:rPr>
            </w:pPr>
            <w:r w:rsidRPr="00781112">
              <w:rPr>
                <w:b/>
                <w:color w:val="000000" w:themeColor="text1"/>
              </w:rPr>
              <w:t>FFY</w:t>
            </w:r>
          </w:p>
        </w:tc>
        <w:tc>
          <w:tcPr>
            <w:tcW w:w="2130" w:type="pct"/>
          </w:tcPr>
          <w:p w14:paraId="518271F0" w14:textId="77777777" w:rsidR="008B52D3" w:rsidRPr="00781112" w:rsidRDefault="008B52D3" w:rsidP="00487DD1">
            <w:pPr>
              <w:jc w:val="center"/>
              <w:rPr>
                <w:b/>
                <w:color w:val="000000" w:themeColor="text1"/>
              </w:rPr>
            </w:pPr>
            <w:r w:rsidRPr="00781112">
              <w:rPr>
                <w:b/>
                <w:color w:val="000000" w:themeColor="text1"/>
              </w:rPr>
              <w:t>2024</w:t>
            </w:r>
          </w:p>
        </w:tc>
        <w:tc>
          <w:tcPr>
            <w:tcW w:w="2284" w:type="pct"/>
          </w:tcPr>
          <w:p w14:paraId="1459EEBD" w14:textId="77777777" w:rsidR="008B52D3" w:rsidRPr="00781112" w:rsidRDefault="008B52D3" w:rsidP="00487DD1">
            <w:pPr>
              <w:jc w:val="center"/>
              <w:rPr>
                <w:b/>
                <w:color w:val="000000" w:themeColor="text1"/>
              </w:rPr>
            </w:pPr>
            <w:r w:rsidRPr="00781112">
              <w:rPr>
                <w:rFonts w:cs="Arial"/>
                <w:b/>
                <w:color w:val="000000" w:themeColor="text1"/>
                <w:szCs w:val="16"/>
              </w:rPr>
              <w:t>2025</w:t>
            </w:r>
          </w:p>
        </w:tc>
      </w:tr>
      <w:tr w:rsidR="008B52D3" w:rsidRPr="00781112" w14:paraId="7472049F" w14:textId="77777777" w:rsidTr="00924AD9">
        <w:trPr>
          <w:trHeight w:val="469"/>
        </w:trPr>
        <w:tc>
          <w:tcPr>
            <w:tcW w:w="586" w:type="pct"/>
            <w:vAlign w:val="center"/>
          </w:tcPr>
          <w:p w14:paraId="02DE48FE" w14:textId="77777777" w:rsidR="008B52D3" w:rsidRPr="00781112" w:rsidRDefault="008B52D3" w:rsidP="00BA3DBE">
            <w:pPr>
              <w:jc w:val="center"/>
              <w:rPr>
                <w:rFonts w:cs="Arial"/>
                <w:color w:val="000000" w:themeColor="text1"/>
                <w:szCs w:val="16"/>
              </w:rPr>
            </w:pPr>
            <w:r w:rsidRPr="00781112">
              <w:rPr>
                <w:rFonts w:cs="Arial"/>
                <w:color w:val="000000" w:themeColor="text1"/>
                <w:szCs w:val="16"/>
              </w:rPr>
              <w:t>Target</w:t>
            </w:r>
          </w:p>
        </w:tc>
        <w:tc>
          <w:tcPr>
            <w:tcW w:w="2130" w:type="pct"/>
            <w:vAlign w:val="center"/>
          </w:tcPr>
          <w:p w14:paraId="24A2E6F5" w14:textId="77777777" w:rsidR="008B52D3" w:rsidRPr="00781112" w:rsidRDefault="008B52D3" w:rsidP="00487DD1">
            <w:pPr>
              <w:jc w:val="center"/>
              <w:rPr>
                <w:rFonts w:cs="Arial"/>
                <w:color w:val="000000" w:themeColor="text1"/>
                <w:szCs w:val="16"/>
              </w:rPr>
            </w:pPr>
            <w:r w:rsidRPr="00781112">
              <w:rPr>
                <w:rFonts w:cs="Arial"/>
                <w:color w:val="000000" w:themeColor="text1"/>
                <w:szCs w:val="16"/>
              </w:rPr>
              <w:t>100%</w:t>
            </w:r>
          </w:p>
        </w:tc>
        <w:tc>
          <w:tcPr>
            <w:tcW w:w="2284" w:type="pct"/>
          </w:tcPr>
          <w:p w14:paraId="1882FEB4" w14:textId="77777777" w:rsidR="008B52D3" w:rsidRPr="00781112" w:rsidRDefault="008B52D3" w:rsidP="00487DD1">
            <w:pPr>
              <w:jc w:val="center"/>
              <w:rPr>
                <w:rFonts w:cs="Arial"/>
                <w:color w:val="000000" w:themeColor="text1"/>
                <w:szCs w:val="16"/>
              </w:rPr>
            </w:pPr>
            <w:r w:rsidRPr="00781112">
              <w:rPr>
                <w:color w:val="000000" w:themeColor="text1"/>
                <w:szCs w:val="16"/>
              </w:rPr>
              <w:t>100%</w:t>
            </w:r>
          </w:p>
        </w:tc>
      </w:tr>
    </w:tbl>
    <w:p w14:paraId="552841AB" w14:textId="77777777" w:rsidR="00DE2E22" w:rsidRPr="00781112" w:rsidRDefault="00DE2E22" w:rsidP="004369B2">
      <w:pPr>
        <w:rPr>
          <w:color w:val="000000" w:themeColor="text1"/>
        </w:rPr>
      </w:pPr>
    </w:p>
    <w:bookmarkEnd w:id="66"/>
    <w:bookmarkEnd w:id="67"/>
    <w:p w14:paraId="046C2B58" w14:textId="77777777" w:rsidR="00D03701" w:rsidRPr="00781112" w:rsidRDefault="0047313F" w:rsidP="004369B2">
      <w:pPr>
        <w:rPr>
          <w:color w:val="000000" w:themeColor="text1"/>
        </w:rPr>
      </w:pPr>
      <w:r>
        <w:rPr>
          <w:b/>
          <w:color w:val="000000" w:themeColor="text1"/>
        </w:rPr>
        <w:t>FFY 2024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1CFFYAPRDATA"/>
      </w:tblPr>
      <w:tblGrid>
        <w:gridCol w:w="1462"/>
        <w:gridCol w:w="1363"/>
        <w:gridCol w:w="1407"/>
        <w:gridCol w:w="2123"/>
        <w:gridCol w:w="1265"/>
        <w:gridCol w:w="1612"/>
        <w:gridCol w:w="1558"/>
      </w:tblGrid>
      <w:tr w:rsidR="00B1652C" w:rsidRPr="00781112" w14:paraId="119EEE26" w14:textId="77777777" w:rsidTr="008227D4">
        <w:trPr>
          <w:trHeight w:val="357"/>
          <w:tblHeader/>
        </w:trPr>
        <w:tc>
          <w:tcPr>
            <w:tcW w:w="677" w:type="pct"/>
            <w:vAlign w:val="bottom"/>
          </w:tcPr>
          <w:p w14:paraId="44C789DD"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lastRenderedPageBreak/>
              <w:t>(a) Number of children for whom parental consent to evaluate was received</w:t>
            </w:r>
          </w:p>
        </w:tc>
        <w:tc>
          <w:tcPr>
            <w:tcW w:w="631" w:type="pct"/>
            <w:vAlign w:val="bottom"/>
          </w:tcPr>
          <w:p w14:paraId="3600B44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(b) Number of children whose evaluations were completed within 60 days (or State-established timeline)</w:t>
            </w:r>
          </w:p>
        </w:tc>
        <w:tc>
          <w:tcPr>
            <w:tcW w:w="652" w:type="pct"/>
            <w:vAlign w:val="bottom"/>
          </w:tcPr>
          <w:p w14:paraId="5411158E" w14:textId="77777777" w:rsidR="00B1652C" w:rsidRPr="00CC1061" w:rsidRDefault="00B1652C" w:rsidP="00B1652C">
            <w:pPr>
              <w:jc w:val="center"/>
              <w:rPr>
                <w:rFonts w:cs="Arial"/>
                <w:b/>
                <w:bCs/>
                <w:color w:val="000000" w:themeColor="text1"/>
                <w:szCs w:val="16"/>
              </w:rPr>
            </w:pPr>
            <w:r w:rsidRPr="00CC1061">
              <w:rPr>
                <w:b/>
                <w:bCs/>
              </w:rPr>
              <w:t>FFY 2023 Data</w:t>
            </w:r>
          </w:p>
        </w:tc>
        <w:tc>
          <w:tcPr>
            <w:tcW w:w="984" w:type="pct"/>
            <w:vAlign w:val="bottom"/>
          </w:tcPr>
          <w:p w14:paraId="2E74DBE7" w14:textId="77777777" w:rsidR="00B1652C" w:rsidRPr="00CC1061" w:rsidRDefault="00B1652C" w:rsidP="00B1652C">
            <w:pPr>
              <w:jc w:val="center"/>
              <w:rPr>
                <w:rFonts w:cs="Arial"/>
                <w:b/>
                <w:bCs/>
                <w:color w:val="000000" w:themeColor="text1"/>
                <w:szCs w:val="16"/>
              </w:rPr>
            </w:pPr>
            <w:r w:rsidRPr="00CC1061">
              <w:rPr>
                <w:b/>
                <w:bCs/>
              </w:rPr>
              <w:t>FFY 2024 Target</w:t>
            </w:r>
          </w:p>
        </w:tc>
        <w:tc>
          <w:tcPr>
            <w:tcW w:w="586" w:type="pct"/>
            <w:vAlign w:val="bottom"/>
          </w:tcPr>
          <w:p w14:paraId="5424F54C" w14:textId="77777777" w:rsidR="00B1652C" w:rsidRPr="00CC1061" w:rsidRDefault="00B1652C" w:rsidP="00B1652C">
            <w:pPr>
              <w:jc w:val="center"/>
              <w:rPr>
                <w:rFonts w:cs="Arial"/>
                <w:b/>
                <w:bCs/>
                <w:color w:val="000000" w:themeColor="text1"/>
                <w:szCs w:val="16"/>
              </w:rPr>
            </w:pPr>
            <w:r w:rsidRPr="00CC1061">
              <w:rPr>
                <w:b/>
                <w:bCs/>
              </w:rPr>
              <w:t>FFY 2024 Data</w:t>
            </w:r>
          </w:p>
        </w:tc>
        <w:tc>
          <w:tcPr>
            <w:tcW w:w="747" w:type="pct"/>
            <w:vAlign w:val="bottom"/>
          </w:tcPr>
          <w:p w14:paraId="28E35048"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722" w:type="pct"/>
            <w:vAlign w:val="bottom"/>
          </w:tcPr>
          <w:p w14:paraId="338BB4AC"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1123D078" w14:textId="77777777" w:rsidTr="008227D4">
        <w:tblPrEx>
          <w:jc w:val="center"/>
        </w:tblPrEx>
        <w:trPr>
          <w:trHeight w:val="361"/>
          <w:jc w:val="center"/>
        </w:trPr>
        <w:tc>
          <w:tcPr>
            <w:tcW w:w="677" w:type="pct"/>
            <w:vAlign w:val="center"/>
          </w:tcPr>
          <w:p w14:paraId="1922DC1B" w14:textId="77777777" w:rsidR="00227DE4" w:rsidRPr="00781112" w:rsidRDefault="002B7490" w:rsidP="004369B2">
            <w:pPr>
              <w:jc w:val="center"/>
              <w:rPr>
                <w:rFonts w:cs="Arial"/>
                <w:color w:val="000000" w:themeColor="text1"/>
                <w:szCs w:val="16"/>
              </w:rPr>
            </w:pPr>
            <w:r w:rsidRPr="00781112">
              <w:rPr>
                <w:rFonts w:cs="Arial"/>
                <w:color w:val="000000" w:themeColor="text1"/>
                <w:szCs w:val="16"/>
              </w:rPr>
              <w:t>9,836</w:t>
            </w:r>
          </w:p>
        </w:tc>
        <w:tc>
          <w:tcPr>
            <w:tcW w:w="631" w:type="pct"/>
          </w:tcPr>
          <w:p w14:paraId="6962C967" w14:textId="77777777" w:rsidR="00227DE4" w:rsidRPr="00781112" w:rsidRDefault="002B7490" w:rsidP="004369B2">
            <w:pPr>
              <w:jc w:val="center"/>
              <w:rPr>
                <w:rFonts w:cs="Arial"/>
                <w:color w:val="000000" w:themeColor="text1"/>
                <w:szCs w:val="16"/>
              </w:rPr>
            </w:pPr>
            <w:r w:rsidRPr="00781112">
              <w:rPr>
                <w:rFonts w:cs="Arial"/>
                <w:color w:val="000000" w:themeColor="text1"/>
                <w:szCs w:val="16"/>
              </w:rPr>
              <w:t>9,747</w:t>
            </w:r>
          </w:p>
        </w:tc>
        <w:tc>
          <w:tcPr>
            <w:tcW w:w="652" w:type="pct"/>
          </w:tcPr>
          <w:p w14:paraId="0DD56D35" w14:textId="77777777" w:rsidR="00227DE4" w:rsidRPr="00781112" w:rsidRDefault="002B7490" w:rsidP="004369B2">
            <w:pPr>
              <w:jc w:val="center"/>
              <w:rPr>
                <w:rFonts w:cs="Arial"/>
                <w:color w:val="000000" w:themeColor="text1"/>
                <w:szCs w:val="16"/>
              </w:rPr>
            </w:pPr>
            <w:r w:rsidRPr="00781112">
              <w:rPr>
                <w:rFonts w:cs="Arial"/>
                <w:color w:val="000000" w:themeColor="text1"/>
                <w:szCs w:val="16"/>
              </w:rPr>
              <w:t>99.22%</w:t>
            </w:r>
          </w:p>
        </w:tc>
        <w:tc>
          <w:tcPr>
            <w:tcW w:w="984" w:type="pct"/>
          </w:tcPr>
          <w:p w14:paraId="4FCB363C" w14:textId="77777777" w:rsidR="00227DE4"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86" w:type="pct"/>
          </w:tcPr>
          <w:p w14:paraId="41EC8D8A" w14:textId="77777777" w:rsidR="00227DE4" w:rsidRPr="00781112" w:rsidRDefault="002B7490" w:rsidP="004369B2">
            <w:pPr>
              <w:jc w:val="center"/>
              <w:rPr>
                <w:rFonts w:cs="Arial"/>
                <w:color w:val="000000" w:themeColor="text1"/>
                <w:szCs w:val="16"/>
              </w:rPr>
            </w:pPr>
            <w:r w:rsidRPr="00781112">
              <w:rPr>
                <w:rFonts w:cs="Arial"/>
                <w:color w:val="000000" w:themeColor="text1"/>
                <w:szCs w:val="16"/>
              </w:rPr>
              <w:t>99.10%</w:t>
            </w:r>
          </w:p>
        </w:tc>
        <w:tc>
          <w:tcPr>
            <w:tcW w:w="747" w:type="pct"/>
          </w:tcPr>
          <w:p w14:paraId="2AFEB6A2" w14:textId="77777777" w:rsidR="00227DE4"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722" w:type="pct"/>
          </w:tcPr>
          <w:p w14:paraId="08B133FB" w14:textId="77777777" w:rsidR="00227DE4"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26014C7C" w14:textId="77777777" w:rsidR="00596F83" w:rsidRPr="00781112" w:rsidRDefault="00596F83" w:rsidP="007D435F">
      <w:pPr>
        <w:rPr>
          <w:rFonts w:cs="Arial"/>
          <w:b/>
          <w:color w:val="000000" w:themeColor="text1"/>
          <w:szCs w:val="16"/>
        </w:rPr>
      </w:pPr>
      <w:r w:rsidRPr="00781112">
        <w:rPr>
          <w:rFonts w:cs="Arial"/>
          <w:b/>
          <w:color w:val="000000" w:themeColor="text1"/>
          <w:szCs w:val="16"/>
        </w:rPr>
        <w:t>Number of children included in (a) but not included in (b)</w:t>
      </w:r>
    </w:p>
    <w:p w14:paraId="1ADFF010" w14:textId="77777777" w:rsidR="00596F83" w:rsidRPr="00781112" w:rsidRDefault="00596F83" w:rsidP="007D435F">
      <w:pPr>
        <w:rPr>
          <w:rFonts w:cs="Arial"/>
          <w:color w:val="000000" w:themeColor="text1"/>
          <w:szCs w:val="16"/>
        </w:rPr>
      </w:pPr>
      <w:r w:rsidRPr="00781112">
        <w:rPr>
          <w:rFonts w:cs="Arial"/>
          <w:color w:val="000000" w:themeColor="text1"/>
          <w:szCs w:val="16"/>
        </w:rPr>
        <w:t>89</w:t>
      </w:r>
    </w:p>
    <w:p w14:paraId="1C096670" w14:textId="77777777" w:rsidR="00E418E6" w:rsidRPr="00781112" w:rsidRDefault="00481536" w:rsidP="006A01BD">
      <w:pPr>
        <w:rPr>
          <w:b/>
          <w:color w:val="000000" w:themeColor="text1"/>
        </w:rPr>
      </w:pPr>
      <w:r w:rsidRPr="00781112">
        <w:rPr>
          <w:b/>
          <w:color w:val="000000" w:themeColor="text1"/>
        </w:rPr>
        <w:t>Account for children included in (a) but not included in (b). Indicate the range of days beyond the timeline when the evaluation was completed and any reasons for the delays.</w:t>
      </w:r>
    </w:p>
    <w:p w14:paraId="2FAB9B40" w14:textId="77777777" w:rsidR="00481536" w:rsidRPr="00781112" w:rsidRDefault="002B7490" w:rsidP="006A01BD">
      <w:pPr>
        <w:rPr>
          <w:color w:val="000000" w:themeColor="text1"/>
        </w:rPr>
      </w:pPr>
      <w:r w:rsidRPr="00781112">
        <w:rPr>
          <w:color w:val="000000" w:themeColor="text1"/>
        </w:rPr>
        <w:t>The range of days beyond West Virginia’s 80 calendar-day timeline when the evaluations were completed was 1—157 days.</w:t>
      </w:r>
    </w:p>
    <w:p w14:paraId="656FA171" w14:textId="77777777" w:rsidR="00CA787A" w:rsidRDefault="00CA787A"/>
    <w:p w14:paraId="069158ED" w14:textId="77777777" w:rsidR="00CA787A" w:rsidRDefault="003169E9">
      <w:r>
        <w:rPr>
          <w:color w:val="000000"/>
        </w:rPr>
        <w:t>A breakdown of the number and reasons for the 89 delayed evaluations follows:</w:t>
      </w:r>
    </w:p>
    <w:p w14:paraId="110D2CA8" w14:textId="77777777" w:rsidR="00CA787A" w:rsidRDefault="003169E9">
      <w:r>
        <w:rPr>
          <w:color w:val="000000"/>
        </w:rPr>
        <w:t>1 — Excessive student absences</w:t>
      </w:r>
    </w:p>
    <w:p w14:paraId="4176D11E" w14:textId="77777777" w:rsidR="00CA787A" w:rsidRDefault="003169E9">
      <w:r>
        <w:rPr>
          <w:color w:val="000000"/>
        </w:rPr>
        <w:t>1 — Documented parent request for rescheduling (early childhood)</w:t>
      </w:r>
    </w:p>
    <w:p w14:paraId="06414C8F" w14:textId="77777777" w:rsidR="00CA787A" w:rsidRDefault="003169E9">
      <w:r>
        <w:rPr>
          <w:color w:val="000000"/>
        </w:rPr>
        <w:t>6 — Documented parent request for rescheduling (school age)</w:t>
      </w:r>
    </w:p>
    <w:p w14:paraId="1222C991" w14:textId="77777777" w:rsidR="00CA787A" w:rsidRDefault="003169E9">
      <w:r>
        <w:rPr>
          <w:color w:val="000000"/>
        </w:rPr>
        <w:t>81 — District error</w:t>
      </w:r>
    </w:p>
    <w:p w14:paraId="5B9B7B51" w14:textId="77777777" w:rsidR="00596F83" w:rsidRPr="00781112" w:rsidRDefault="00596F83" w:rsidP="00596F83">
      <w:pPr>
        <w:rPr>
          <w:rFonts w:cs="Arial"/>
          <w:b/>
          <w:color w:val="000000" w:themeColor="text1"/>
          <w:szCs w:val="16"/>
        </w:rPr>
      </w:pPr>
      <w:r w:rsidRPr="00781112">
        <w:rPr>
          <w:rFonts w:cs="Arial"/>
          <w:b/>
          <w:color w:val="000000" w:themeColor="text1"/>
          <w:szCs w:val="16"/>
        </w:rPr>
        <w:t>Indicate the evaluation timeline used:</w:t>
      </w:r>
    </w:p>
    <w:p w14:paraId="76D6C2BE" w14:textId="77777777" w:rsidR="00596F83" w:rsidRPr="00781112" w:rsidRDefault="00596F83" w:rsidP="004369B2">
      <w:pPr>
        <w:rPr>
          <w:rFonts w:cs="Arial"/>
          <w:color w:val="000000" w:themeColor="text1"/>
          <w:szCs w:val="16"/>
        </w:rPr>
      </w:pPr>
      <w:r w:rsidRPr="00781112">
        <w:rPr>
          <w:rFonts w:cs="Arial"/>
          <w:color w:val="000000" w:themeColor="text1"/>
          <w:szCs w:val="16"/>
        </w:rPr>
        <w:t>The State established a timeline within which the evaluation must be conducted</w:t>
      </w:r>
    </w:p>
    <w:p w14:paraId="27F9D794" w14:textId="77777777" w:rsidR="00E418E6" w:rsidRPr="00781112" w:rsidRDefault="00481536" w:rsidP="001011BB">
      <w:pPr>
        <w:tabs>
          <w:tab w:val="left" w:pos="751"/>
        </w:tabs>
        <w:rPr>
          <w:rFonts w:cs="Arial"/>
          <w:b/>
          <w:color w:val="000000" w:themeColor="text1"/>
          <w:szCs w:val="16"/>
        </w:rPr>
      </w:pPr>
      <w:r w:rsidRPr="00781112">
        <w:rPr>
          <w:rFonts w:cs="Arial"/>
          <w:b/>
          <w:color w:val="000000" w:themeColor="text1"/>
          <w:szCs w:val="16"/>
        </w:rPr>
        <w:t>What is the State’s timeline for initial evaluations? If the State-established timeframe provides for exceptions through State regulation or policy, describe cases falling within those exceptions and include in (b).</w:t>
      </w:r>
    </w:p>
    <w:p w14:paraId="36D0199D" w14:textId="77777777" w:rsidR="00481536" w:rsidRPr="00781112" w:rsidRDefault="002B7490" w:rsidP="001011BB">
      <w:pPr>
        <w:tabs>
          <w:tab w:val="left" w:pos="751"/>
        </w:tabs>
        <w:rPr>
          <w:rFonts w:cs="Arial"/>
          <w:color w:val="000000" w:themeColor="text1"/>
          <w:szCs w:val="16"/>
        </w:rPr>
      </w:pPr>
      <w:r w:rsidRPr="00781112">
        <w:rPr>
          <w:rFonts w:cs="Arial"/>
          <w:color w:val="000000" w:themeColor="text1"/>
          <w:szCs w:val="16"/>
        </w:rPr>
        <w:t xml:space="preserve">WVBE Policy 2419 establishes a timeline of 80 calendar days by which initial evaluations and eligibility determinations must be completed. </w:t>
      </w:r>
    </w:p>
    <w:p w14:paraId="6873757F" w14:textId="77777777" w:rsidR="00CA787A" w:rsidRDefault="00CA787A"/>
    <w:p w14:paraId="306F84B2" w14:textId="77777777" w:rsidR="00CA787A" w:rsidRDefault="003169E9">
      <w:r>
        <w:rPr>
          <w:color w:val="000000"/>
        </w:rPr>
        <w:t xml:space="preserve">WVBE Policy 2419 includes the following exceptions to the 80-day timeline: </w:t>
      </w:r>
    </w:p>
    <w:p w14:paraId="4142684C" w14:textId="77777777" w:rsidR="00CA787A" w:rsidRDefault="003169E9">
      <w:r>
        <w:rPr>
          <w:color w:val="000000"/>
        </w:rPr>
        <w:t>1. LEAs are closed due to circumstances resulting in a state of emergency determined by the Governor of West Virginia.</w:t>
      </w:r>
    </w:p>
    <w:p w14:paraId="2BA7F7F6" w14:textId="77777777" w:rsidR="00CA787A" w:rsidRDefault="003169E9">
      <w:r>
        <w:rPr>
          <w:color w:val="000000"/>
        </w:rPr>
        <w:t xml:space="preserve">2. LEAs are closed due to weather conditions determined by the LEA Superintendent, and no remote learning options are required. </w:t>
      </w:r>
    </w:p>
    <w:p w14:paraId="65E075BA" w14:textId="77777777" w:rsidR="00CA787A" w:rsidRDefault="003169E9">
      <w:r>
        <w:rPr>
          <w:color w:val="000000"/>
        </w:rPr>
        <w:t xml:space="preserve">3. Summer break. </w:t>
      </w:r>
    </w:p>
    <w:p w14:paraId="6F1146D8" w14:textId="77777777" w:rsidR="00CA787A" w:rsidRDefault="00CA787A"/>
    <w:p w14:paraId="04D7CA5A" w14:textId="77777777" w:rsidR="00CA787A" w:rsidRDefault="003169E9">
      <w:r>
        <w:rPr>
          <w:color w:val="000000"/>
        </w:rPr>
        <w:t>In such cases, the timelines are extended directly proportional to the duration of any state of emergency, weather conditions, or summer break.</w:t>
      </w:r>
    </w:p>
    <w:p w14:paraId="657A982A" w14:textId="77777777" w:rsidR="00596F83" w:rsidRPr="00781112" w:rsidRDefault="00030B45">
      <w:pPr>
        <w:rPr>
          <w:b/>
          <w:color w:val="000000" w:themeColor="text1"/>
        </w:rPr>
      </w:pPr>
      <w:r w:rsidRPr="00781112">
        <w:rPr>
          <w:b/>
          <w:color w:val="000000" w:themeColor="text1"/>
        </w:rPr>
        <w:t xml:space="preserve">What is the source of the data provided for this indicator? </w:t>
      </w:r>
    </w:p>
    <w:p w14:paraId="2B2C6950" w14:textId="77777777" w:rsidR="00030B45" w:rsidRPr="00781112" w:rsidRDefault="002B7490" w:rsidP="004369B2">
      <w:pPr>
        <w:rPr>
          <w:iCs/>
          <w:color w:val="000000" w:themeColor="text1"/>
        </w:rPr>
      </w:pPr>
      <w:r w:rsidRPr="00781112">
        <w:rPr>
          <w:iCs/>
          <w:color w:val="000000" w:themeColor="text1"/>
        </w:rPr>
        <w:t>State database that includes data for the entire reporting year</w:t>
      </w:r>
    </w:p>
    <w:p w14:paraId="61D0E4AC" w14:textId="77777777" w:rsidR="00030B45" w:rsidRPr="00781112" w:rsidRDefault="00030B45"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25E186AF" w14:textId="77777777" w:rsidR="00326C0B" w:rsidRPr="00781112" w:rsidRDefault="002B7490" w:rsidP="00030B45">
      <w:pPr>
        <w:rPr>
          <w:rFonts w:cs="Arial"/>
          <w:color w:val="000000" w:themeColor="text1"/>
          <w:szCs w:val="16"/>
        </w:rPr>
      </w:pPr>
      <w:r w:rsidRPr="00781112">
        <w:rPr>
          <w:rFonts w:cs="Arial"/>
          <w:color w:val="000000" w:themeColor="text1"/>
          <w:szCs w:val="16"/>
        </w:rPr>
        <w:t>All LEAs are required to enter initial evaluation data into the West Virginia Education Informational System (WVEIS), including:</w:t>
      </w:r>
    </w:p>
    <w:p w14:paraId="57F8A623" w14:textId="77777777" w:rsidR="00CA787A" w:rsidRDefault="003169E9">
      <w:r>
        <w:rPr>
          <w:color w:val="000000"/>
        </w:rPr>
        <w:t>—referral date</w:t>
      </w:r>
    </w:p>
    <w:p w14:paraId="790A8040" w14:textId="77777777" w:rsidR="00CA787A" w:rsidRDefault="003169E9">
      <w:r>
        <w:rPr>
          <w:color w:val="000000"/>
        </w:rPr>
        <w:t>—date consent was received</w:t>
      </w:r>
    </w:p>
    <w:p w14:paraId="22E71AE7" w14:textId="77777777" w:rsidR="00CA787A" w:rsidRDefault="003169E9">
      <w:r>
        <w:rPr>
          <w:color w:val="000000"/>
        </w:rPr>
        <w:t>—eligibility determination date</w:t>
      </w:r>
    </w:p>
    <w:p w14:paraId="16FFC8F1" w14:textId="77777777" w:rsidR="00CA787A" w:rsidRDefault="003169E9">
      <w:r>
        <w:rPr>
          <w:color w:val="000000"/>
        </w:rPr>
        <w:t>—eligibility status (i.e., eligible or not eligible)</w:t>
      </w:r>
    </w:p>
    <w:p w14:paraId="6DCC81CA" w14:textId="77777777" w:rsidR="00CA787A" w:rsidRDefault="003169E9">
      <w:r>
        <w:rPr>
          <w:color w:val="000000"/>
        </w:rPr>
        <w:t>—primary exceptionality (if eligible), and</w:t>
      </w:r>
    </w:p>
    <w:p w14:paraId="599C2415" w14:textId="77777777" w:rsidR="00CA787A" w:rsidRDefault="003169E9">
      <w:r>
        <w:rPr>
          <w:color w:val="000000"/>
        </w:rPr>
        <w:t>—late reason code (if applicable).</w:t>
      </w:r>
    </w:p>
    <w:p w14:paraId="562123A7" w14:textId="77777777" w:rsidR="00CA787A" w:rsidRDefault="00CA787A"/>
    <w:p w14:paraId="50619855" w14:textId="77777777" w:rsidR="00CA787A" w:rsidRDefault="003169E9">
      <w:r>
        <w:rPr>
          <w:color w:val="000000"/>
        </w:rPr>
        <w:t xml:space="preserve">The system automatically calculates the eligibility due dates after the consent date is entered. </w:t>
      </w:r>
    </w:p>
    <w:p w14:paraId="4B1DC67A" w14:textId="77777777" w:rsidR="00CA787A" w:rsidRDefault="00CA787A"/>
    <w:p w14:paraId="505408BE" w14:textId="77777777" w:rsidR="00CA787A" w:rsidRDefault="003169E9">
      <w:r>
        <w:rPr>
          <w:color w:val="000000"/>
        </w:rPr>
        <w:t xml:space="preserve">The Initial Evaluation (INI.EVAL) application within WVEIS summarizes live Child Find data for each LEA and includes several types of custom reports the SEA and LEA can use for monitoring and review. Each LEA reviews initial evaluation data and submits three (3) progress reports through the INI.EVAL application during each school year (December, March, and June). The submitted progress reports are reviewed by SEA </w:t>
      </w:r>
      <w:proofErr w:type="gramStart"/>
      <w:r>
        <w:rPr>
          <w:color w:val="000000"/>
        </w:rPr>
        <w:t>staff</w:t>
      </w:r>
      <w:proofErr w:type="gramEnd"/>
      <w:r>
        <w:rPr>
          <w:color w:val="000000"/>
        </w:rPr>
        <w:t xml:space="preserve"> and feedback is provided to LEAs as appropriate regarding any concerns or missing data. </w:t>
      </w:r>
    </w:p>
    <w:p w14:paraId="42E0335F" w14:textId="77777777" w:rsidR="00CA787A" w:rsidRDefault="00CA787A"/>
    <w:p w14:paraId="2E1F8EE4" w14:textId="77777777" w:rsidR="00CA787A" w:rsidRDefault="003169E9">
      <w:r>
        <w:rPr>
          <w:color w:val="000000"/>
        </w:rPr>
        <w:t>Each LEA reviews and submits a final report for the previous school year that contains student-level data for initial evaluation consents received from July 1st through June 30th and is submitted for the appropriate SPP/APR reporting period.</w:t>
      </w:r>
    </w:p>
    <w:p w14:paraId="0BB99055" w14:textId="77777777" w:rsidR="00C86164" w:rsidRPr="00781112" w:rsidRDefault="00C86164" w:rsidP="00C86164">
      <w:pPr>
        <w:rPr>
          <w:rFonts w:cs="Arial"/>
          <w:b/>
          <w:color w:val="000000" w:themeColor="text1"/>
          <w:szCs w:val="16"/>
        </w:rPr>
      </w:pPr>
      <w:bookmarkStart w:id="68" w:name="_Toc381956339"/>
      <w:bookmarkStart w:id="69" w:name="_Toc384383357"/>
      <w:bookmarkStart w:id="70" w:name="_Toc392159325"/>
      <w:r w:rsidRPr="00781112">
        <w:rPr>
          <w:rFonts w:cs="Arial"/>
          <w:b/>
          <w:color w:val="000000" w:themeColor="text1"/>
          <w:szCs w:val="16"/>
        </w:rPr>
        <w:t>Provide additional information about this indicator (optional)</w:t>
      </w:r>
    </w:p>
    <w:p w14:paraId="68E2B5A3" w14:textId="77777777" w:rsidR="00326C0B" w:rsidRPr="00781112" w:rsidRDefault="00326C0B" w:rsidP="007D435F">
      <w:pPr>
        <w:rPr>
          <w:rFonts w:cs="Arial"/>
          <w:color w:val="000000" w:themeColor="text1"/>
          <w:szCs w:val="16"/>
        </w:rPr>
      </w:pPr>
    </w:p>
    <w:p w14:paraId="5C5F2739" w14:textId="77777777" w:rsidR="009A755E" w:rsidRPr="00781112" w:rsidRDefault="00450F98" w:rsidP="004369B2">
      <w:pPr>
        <w:rPr>
          <w:color w:val="000000" w:themeColor="text1"/>
        </w:rPr>
      </w:pPr>
      <w:r>
        <w:rPr>
          <w:b/>
          <w:color w:val="000000" w:themeColor="text1"/>
        </w:rPr>
        <w:t>Correction of Findings of Noncompliance Identified in FFY 2023</w:t>
      </w:r>
    </w:p>
    <w:tbl>
      <w:tblPr>
        <w:tblStyle w:val="TableGrid"/>
        <w:tblW w:w="5000" w:type="pct"/>
        <w:tblLook w:val="04A0" w:firstRow="1" w:lastRow="0" w:firstColumn="1" w:lastColumn="0" w:noHBand="0" w:noVBand="1"/>
        <w:tblCaption w:val="B11PFFYNCFINDINGS"/>
      </w:tblPr>
      <w:tblGrid>
        <w:gridCol w:w="2650"/>
        <w:gridCol w:w="2780"/>
        <w:gridCol w:w="2656"/>
        <w:gridCol w:w="2704"/>
      </w:tblGrid>
      <w:tr w:rsidR="005C29F8" w:rsidRPr="00781112" w14:paraId="58F1796C" w14:textId="77777777" w:rsidTr="008227D4">
        <w:trPr>
          <w:trHeight w:val="389"/>
          <w:tblHeader/>
        </w:trPr>
        <w:tc>
          <w:tcPr>
            <w:tcW w:w="1228" w:type="pct"/>
            <w:vAlign w:val="bottom"/>
          </w:tcPr>
          <w:p w14:paraId="49709CF5"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lastRenderedPageBreak/>
              <w:t>Findings of Noncompliance Identified</w:t>
            </w:r>
          </w:p>
        </w:tc>
        <w:tc>
          <w:tcPr>
            <w:tcW w:w="1288" w:type="pct"/>
            <w:vAlign w:val="bottom"/>
          </w:tcPr>
          <w:p w14:paraId="0042486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vAlign w:val="bottom"/>
          </w:tcPr>
          <w:p w14:paraId="09DFA83A"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vAlign w:val="bottom"/>
          </w:tcPr>
          <w:p w14:paraId="64457DA1"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732C9A0A" w14:textId="77777777" w:rsidTr="008227D4">
        <w:tc>
          <w:tcPr>
            <w:tcW w:w="1228" w:type="pct"/>
          </w:tcPr>
          <w:p w14:paraId="42CBFD06" w14:textId="77777777" w:rsidR="009A755E" w:rsidRPr="00781112" w:rsidRDefault="002B7490" w:rsidP="00A018D4">
            <w:pPr>
              <w:jc w:val="center"/>
              <w:rPr>
                <w:rFonts w:cs="Arial"/>
                <w:color w:val="000000" w:themeColor="text1"/>
                <w:szCs w:val="16"/>
              </w:rPr>
            </w:pPr>
            <w:r w:rsidRPr="00781112">
              <w:rPr>
                <w:rFonts w:cs="Arial"/>
                <w:color w:val="000000" w:themeColor="text1"/>
                <w:szCs w:val="16"/>
              </w:rPr>
              <w:t>24</w:t>
            </w:r>
          </w:p>
        </w:tc>
        <w:tc>
          <w:tcPr>
            <w:tcW w:w="1288" w:type="pct"/>
          </w:tcPr>
          <w:p w14:paraId="26B6B263" w14:textId="77777777" w:rsidR="009A755E" w:rsidRPr="00781112" w:rsidRDefault="002B7490" w:rsidP="00A018D4">
            <w:pPr>
              <w:jc w:val="center"/>
              <w:rPr>
                <w:rFonts w:cs="Arial"/>
                <w:color w:val="000000" w:themeColor="text1"/>
                <w:szCs w:val="16"/>
              </w:rPr>
            </w:pPr>
            <w:r w:rsidRPr="00781112">
              <w:rPr>
                <w:rFonts w:cs="Arial"/>
                <w:color w:val="000000" w:themeColor="text1"/>
                <w:szCs w:val="16"/>
              </w:rPr>
              <w:t>24</w:t>
            </w:r>
          </w:p>
        </w:tc>
        <w:tc>
          <w:tcPr>
            <w:tcW w:w="1231" w:type="pct"/>
          </w:tcPr>
          <w:p w14:paraId="49E64652" w14:textId="77777777"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54" w:type="pct"/>
          </w:tcPr>
          <w:p w14:paraId="2224A722" w14:textId="77777777"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111E77E8" w14:textId="77777777" w:rsidR="009A755E" w:rsidRPr="00781112" w:rsidRDefault="00450F98" w:rsidP="004369B2">
      <w:pPr>
        <w:rPr>
          <w:color w:val="000000" w:themeColor="text1"/>
        </w:rPr>
      </w:pPr>
      <w:r>
        <w:rPr>
          <w:b/>
          <w:color w:val="000000" w:themeColor="text1"/>
        </w:rPr>
        <w:t>FFY 2023 Findings of Noncompliance Verified as Corrected</w:t>
      </w:r>
    </w:p>
    <w:p w14:paraId="58EAC5F0" w14:textId="77777777"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41B86D0B" w14:textId="77777777" w:rsidR="00326C0B" w:rsidRPr="00781112" w:rsidRDefault="002B7490" w:rsidP="009A755E">
      <w:pPr>
        <w:rPr>
          <w:rFonts w:cs="Arial"/>
          <w:color w:val="000000" w:themeColor="text1"/>
          <w:szCs w:val="16"/>
        </w:rPr>
      </w:pPr>
      <w:r w:rsidRPr="00781112">
        <w:rPr>
          <w:rFonts w:cs="Arial"/>
          <w:color w:val="000000" w:themeColor="text1"/>
          <w:szCs w:val="16"/>
        </w:rPr>
        <w:t>Subsequent reviews of updated data for each of the twenty-four (24) LEAs identified with noncompliance were conducted through quarterly monitoring using the statewide initial evaluation application in WVEIS. Technical assistance and feedback were provided to each LEA after the quarterly reviews of updated data. WVDE/OSE verified that each of the twenty-four (24) LEAs is correctly implementing the specific regulatory requirements consistent with OSEP QA 23-01. Specifically, each LEA achieved 100% compliance regarding timelines for initial evaluations for a minimum of 90 consecutive days. WVDE/OSE provided written notification to each LEA that the findings of noncompliance had been corrected.</w:t>
      </w:r>
    </w:p>
    <w:p w14:paraId="5B3C0534" w14:textId="77777777"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28A07D4D" w14:textId="77777777" w:rsidR="00326C0B" w:rsidRPr="00781112" w:rsidRDefault="002B7490" w:rsidP="009A755E">
      <w:pPr>
        <w:rPr>
          <w:rFonts w:cs="Arial"/>
          <w:color w:val="000000" w:themeColor="text1"/>
          <w:szCs w:val="16"/>
        </w:rPr>
      </w:pPr>
      <w:r w:rsidRPr="00781112">
        <w:rPr>
          <w:rFonts w:cs="Arial"/>
          <w:color w:val="000000" w:themeColor="text1"/>
          <w:szCs w:val="16"/>
        </w:rPr>
        <w:t>WVDE/OSE verified through a review of updated data collected through WVEIS that, although late, each of the 78 individual cases of child-specific noncompliance for initial evaluations was corrected. Verification of corrections included reviewing evidence that each initial evaluation was completed prior to the end of the school year, unless the student was no longer within the jurisdiction of the LEA, consistent with OSEP QA 23-01.</w:t>
      </w:r>
    </w:p>
    <w:p w14:paraId="2FF3AB8B" w14:textId="77777777" w:rsidR="00541D9E" w:rsidRPr="002E2B1D" w:rsidRDefault="00541D9E" w:rsidP="00541D9E">
      <w:pPr>
        <w:keepNext/>
        <w:spacing w:after="0"/>
        <w:rPr>
          <w:rFonts w:eastAsia="Times New Roman" w:cs="Arial"/>
          <w:b/>
          <w:szCs w:val="16"/>
        </w:rPr>
      </w:pPr>
      <w:r w:rsidRPr="002E2B1D">
        <w:rPr>
          <w:rFonts w:eastAsia="Times New Roman" w:cs="Arial"/>
          <w:b/>
          <w:szCs w:val="16"/>
        </w:rPr>
        <w:t xml:space="preserve">If procedures have been adopted that permit LEAs to correct noncompliance prior to the State’s issuance of a finding (i.e., pre-finding correction), describe how, for instances of noncompliance discovered in FFY 2023, the State verified: (1) that the source of noncompliance is correctly implementing the regulatory requirements; </w:t>
      </w:r>
      <w:proofErr w:type="gramStart"/>
      <w:r w:rsidRPr="002E2B1D">
        <w:rPr>
          <w:rFonts w:eastAsia="Times New Roman" w:cs="Arial"/>
          <w:b/>
          <w:szCs w:val="16"/>
        </w:rPr>
        <w:t>and,</w:t>
      </w:r>
      <w:proofErr w:type="gramEnd"/>
      <w:r w:rsidRPr="002E2B1D">
        <w:rPr>
          <w:rFonts w:eastAsia="Times New Roman" w:cs="Arial"/>
          <w:b/>
          <w:szCs w:val="16"/>
        </w:rPr>
        <w:t xml:space="preserve"> (2) each individual case of noncompliance was corrected. </w:t>
      </w:r>
    </w:p>
    <w:p w14:paraId="3208D2A8" w14:textId="77777777" w:rsidR="008227D4" w:rsidRPr="008C215C" w:rsidRDefault="00541D9E" w:rsidP="00541D9E">
      <w:r w:rsidRPr="008C215C">
        <w:t>WVDE/OSE has not adopted procedures that permit LEAs to correct identified noncompliance prior to the issuance of a finding.</w:t>
      </w:r>
    </w:p>
    <w:p w14:paraId="178644BC" w14:textId="77777777" w:rsidR="009A755E" w:rsidRPr="00781112" w:rsidRDefault="00450F98" w:rsidP="004369B2">
      <w:pPr>
        <w:rPr>
          <w:color w:val="000000" w:themeColor="text1"/>
        </w:rPr>
      </w:pPr>
      <w:r>
        <w:rPr>
          <w:b/>
          <w:color w:val="000000" w:themeColor="text1"/>
        </w:rPr>
        <w:t>Correction of Findings of Noncompliance Identified Prior to FFY 2023</w:t>
      </w:r>
    </w:p>
    <w:tbl>
      <w:tblPr>
        <w:tblStyle w:val="TableGrid"/>
        <w:tblW w:w="5000" w:type="pct"/>
        <w:tblLook w:val="04A0" w:firstRow="1" w:lastRow="0" w:firstColumn="1" w:lastColumn="0" w:noHBand="0" w:noVBand="1"/>
        <w:tblCaption w:val="B11PPFFYNCFINDINGS"/>
      </w:tblPr>
      <w:tblGrid>
        <w:gridCol w:w="2132"/>
        <w:gridCol w:w="3153"/>
        <w:gridCol w:w="2842"/>
        <w:gridCol w:w="2663"/>
      </w:tblGrid>
      <w:tr w:rsidR="005C29F8" w:rsidRPr="00781112" w14:paraId="0DF4409D" w14:textId="77777777" w:rsidTr="003968A6">
        <w:trPr>
          <w:tblHeader/>
        </w:trPr>
        <w:tc>
          <w:tcPr>
            <w:tcW w:w="988" w:type="pct"/>
            <w:vAlign w:val="bottom"/>
          </w:tcPr>
          <w:p w14:paraId="1507A1A3" w14:textId="77777777"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61" w:type="pct"/>
            <w:vAlign w:val="bottom"/>
          </w:tcPr>
          <w:p w14:paraId="60D0ACAD" w14:textId="77777777"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2023 APR</w:t>
            </w:r>
          </w:p>
        </w:tc>
        <w:tc>
          <w:tcPr>
            <w:tcW w:w="1317" w:type="pct"/>
            <w:vAlign w:val="bottom"/>
          </w:tcPr>
          <w:p w14:paraId="407D471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34" w:type="pct"/>
            <w:vAlign w:val="bottom"/>
          </w:tcPr>
          <w:p w14:paraId="211DC3FB"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7CF4A416" w14:textId="77777777" w:rsidTr="003968A6">
        <w:tc>
          <w:tcPr>
            <w:tcW w:w="988" w:type="pct"/>
          </w:tcPr>
          <w:p w14:paraId="6E5F8500" w14:textId="77777777" w:rsidR="009A755E" w:rsidRPr="00781112" w:rsidRDefault="009A755E" w:rsidP="00A018D4">
            <w:pPr>
              <w:jc w:val="center"/>
              <w:rPr>
                <w:rFonts w:cs="Arial"/>
                <w:color w:val="000000" w:themeColor="text1"/>
                <w:szCs w:val="16"/>
              </w:rPr>
            </w:pPr>
          </w:p>
        </w:tc>
        <w:tc>
          <w:tcPr>
            <w:tcW w:w="1461" w:type="pct"/>
          </w:tcPr>
          <w:p w14:paraId="617E3328" w14:textId="77777777" w:rsidR="009A755E" w:rsidRPr="00781112" w:rsidRDefault="009A755E">
            <w:pPr>
              <w:jc w:val="center"/>
              <w:rPr>
                <w:rFonts w:cs="Arial"/>
                <w:noProof/>
                <w:color w:val="000000" w:themeColor="text1"/>
                <w:szCs w:val="16"/>
              </w:rPr>
            </w:pPr>
          </w:p>
        </w:tc>
        <w:tc>
          <w:tcPr>
            <w:tcW w:w="1317" w:type="pct"/>
          </w:tcPr>
          <w:p w14:paraId="417D5D92" w14:textId="77777777" w:rsidR="009A755E" w:rsidRPr="00781112" w:rsidRDefault="009A755E">
            <w:pPr>
              <w:jc w:val="center"/>
              <w:rPr>
                <w:rFonts w:cs="Arial"/>
                <w:noProof/>
                <w:color w:val="000000" w:themeColor="text1"/>
                <w:szCs w:val="16"/>
              </w:rPr>
            </w:pPr>
          </w:p>
        </w:tc>
        <w:tc>
          <w:tcPr>
            <w:tcW w:w="1234" w:type="pct"/>
          </w:tcPr>
          <w:p w14:paraId="017B944B" w14:textId="77777777" w:rsidR="009A755E" w:rsidRPr="00781112" w:rsidRDefault="009A755E">
            <w:pPr>
              <w:jc w:val="center"/>
              <w:rPr>
                <w:rFonts w:cs="Arial"/>
                <w:noProof/>
                <w:color w:val="000000" w:themeColor="text1"/>
                <w:szCs w:val="16"/>
              </w:rPr>
            </w:pPr>
          </w:p>
        </w:tc>
      </w:tr>
      <w:tr w:rsidR="005C29F8" w:rsidRPr="00781112" w14:paraId="42975A45" w14:textId="77777777" w:rsidTr="003968A6">
        <w:tc>
          <w:tcPr>
            <w:tcW w:w="988" w:type="pct"/>
          </w:tcPr>
          <w:p w14:paraId="5047CB97" w14:textId="77777777" w:rsidR="009A755E" w:rsidRPr="00781112" w:rsidRDefault="009A755E" w:rsidP="00A018D4">
            <w:pPr>
              <w:jc w:val="center"/>
              <w:rPr>
                <w:rFonts w:cs="Arial"/>
                <w:color w:val="000000" w:themeColor="text1"/>
                <w:szCs w:val="16"/>
              </w:rPr>
            </w:pPr>
          </w:p>
        </w:tc>
        <w:tc>
          <w:tcPr>
            <w:tcW w:w="1461" w:type="pct"/>
          </w:tcPr>
          <w:p w14:paraId="6D5A3EF0" w14:textId="77777777" w:rsidR="009A755E" w:rsidRPr="00781112" w:rsidRDefault="009A755E">
            <w:pPr>
              <w:jc w:val="center"/>
              <w:rPr>
                <w:rFonts w:cs="Arial"/>
                <w:noProof/>
                <w:color w:val="000000" w:themeColor="text1"/>
                <w:szCs w:val="16"/>
              </w:rPr>
            </w:pPr>
          </w:p>
        </w:tc>
        <w:tc>
          <w:tcPr>
            <w:tcW w:w="1317" w:type="pct"/>
          </w:tcPr>
          <w:p w14:paraId="3A2D6A49" w14:textId="77777777" w:rsidR="009A755E" w:rsidRPr="00781112" w:rsidRDefault="009A755E">
            <w:pPr>
              <w:jc w:val="center"/>
              <w:rPr>
                <w:rFonts w:cs="Arial"/>
                <w:noProof/>
                <w:color w:val="000000" w:themeColor="text1"/>
                <w:szCs w:val="16"/>
              </w:rPr>
            </w:pPr>
          </w:p>
        </w:tc>
        <w:tc>
          <w:tcPr>
            <w:tcW w:w="1234" w:type="pct"/>
          </w:tcPr>
          <w:p w14:paraId="7B5337FA" w14:textId="77777777" w:rsidR="009A755E" w:rsidRPr="00781112" w:rsidRDefault="009A755E">
            <w:pPr>
              <w:jc w:val="center"/>
              <w:rPr>
                <w:rFonts w:cs="Arial"/>
                <w:noProof/>
                <w:color w:val="000000" w:themeColor="text1"/>
                <w:szCs w:val="16"/>
              </w:rPr>
            </w:pPr>
          </w:p>
        </w:tc>
      </w:tr>
      <w:tr w:rsidR="005C29F8" w:rsidRPr="00781112" w14:paraId="2801C1F5" w14:textId="77777777" w:rsidTr="003968A6">
        <w:tc>
          <w:tcPr>
            <w:tcW w:w="988" w:type="pct"/>
          </w:tcPr>
          <w:p w14:paraId="436EEAFF" w14:textId="77777777" w:rsidR="009A755E" w:rsidRPr="00781112" w:rsidRDefault="009A755E" w:rsidP="00A018D4">
            <w:pPr>
              <w:jc w:val="center"/>
              <w:rPr>
                <w:rFonts w:cs="Arial"/>
                <w:color w:val="000000" w:themeColor="text1"/>
                <w:szCs w:val="16"/>
              </w:rPr>
            </w:pPr>
          </w:p>
        </w:tc>
        <w:tc>
          <w:tcPr>
            <w:tcW w:w="1461" w:type="pct"/>
          </w:tcPr>
          <w:p w14:paraId="113A21FD" w14:textId="77777777" w:rsidR="009A755E" w:rsidRPr="00781112" w:rsidRDefault="009A755E">
            <w:pPr>
              <w:jc w:val="center"/>
              <w:rPr>
                <w:rFonts w:cs="Arial"/>
                <w:noProof/>
                <w:color w:val="000000" w:themeColor="text1"/>
                <w:szCs w:val="16"/>
              </w:rPr>
            </w:pPr>
          </w:p>
        </w:tc>
        <w:tc>
          <w:tcPr>
            <w:tcW w:w="1317" w:type="pct"/>
          </w:tcPr>
          <w:p w14:paraId="7E36A938" w14:textId="77777777" w:rsidR="009A755E" w:rsidRPr="00781112" w:rsidRDefault="009A755E">
            <w:pPr>
              <w:jc w:val="center"/>
              <w:rPr>
                <w:rFonts w:cs="Arial"/>
                <w:noProof/>
                <w:color w:val="000000" w:themeColor="text1"/>
                <w:szCs w:val="16"/>
              </w:rPr>
            </w:pPr>
          </w:p>
        </w:tc>
        <w:tc>
          <w:tcPr>
            <w:tcW w:w="1234" w:type="pct"/>
          </w:tcPr>
          <w:p w14:paraId="1206C009" w14:textId="77777777" w:rsidR="009A755E" w:rsidRPr="00781112" w:rsidRDefault="009A755E">
            <w:pPr>
              <w:jc w:val="center"/>
              <w:rPr>
                <w:rFonts w:cs="Arial"/>
                <w:noProof/>
                <w:color w:val="000000" w:themeColor="text1"/>
                <w:szCs w:val="16"/>
              </w:rPr>
            </w:pPr>
          </w:p>
        </w:tc>
      </w:tr>
      <w:tr w:rsidR="009A0A1A" w:rsidRPr="00781112" w14:paraId="28AF234E" w14:textId="77777777" w:rsidTr="003968A6">
        <w:tc>
          <w:tcPr>
            <w:tcW w:w="988" w:type="pct"/>
          </w:tcPr>
          <w:p w14:paraId="667A9FAE" w14:textId="77777777" w:rsidR="009A0A1A" w:rsidRPr="00781112" w:rsidRDefault="009A0A1A" w:rsidP="009A0A1A">
            <w:pPr>
              <w:jc w:val="center"/>
              <w:rPr>
                <w:rFonts w:cs="Arial"/>
                <w:color w:val="000000" w:themeColor="text1"/>
                <w:szCs w:val="16"/>
              </w:rPr>
            </w:pPr>
          </w:p>
        </w:tc>
        <w:tc>
          <w:tcPr>
            <w:tcW w:w="1461" w:type="pct"/>
          </w:tcPr>
          <w:p w14:paraId="094CC196" w14:textId="77777777" w:rsidR="009A0A1A" w:rsidRPr="00781112" w:rsidRDefault="009A0A1A" w:rsidP="009A0A1A">
            <w:pPr>
              <w:jc w:val="center"/>
              <w:rPr>
                <w:rFonts w:cs="Arial"/>
                <w:color w:val="000000" w:themeColor="text1"/>
                <w:szCs w:val="16"/>
              </w:rPr>
            </w:pPr>
          </w:p>
        </w:tc>
        <w:tc>
          <w:tcPr>
            <w:tcW w:w="1317" w:type="pct"/>
          </w:tcPr>
          <w:p w14:paraId="60AB5621" w14:textId="77777777" w:rsidR="009A0A1A" w:rsidRPr="00781112" w:rsidRDefault="009A0A1A" w:rsidP="009A0A1A">
            <w:pPr>
              <w:jc w:val="center"/>
              <w:rPr>
                <w:rFonts w:cs="Arial"/>
                <w:color w:val="000000" w:themeColor="text1"/>
                <w:szCs w:val="16"/>
              </w:rPr>
            </w:pPr>
          </w:p>
        </w:tc>
        <w:tc>
          <w:tcPr>
            <w:tcW w:w="1234" w:type="pct"/>
          </w:tcPr>
          <w:p w14:paraId="28142A7F" w14:textId="77777777" w:rsidR="009A0A1A" w:rsidRPr="00781112" w:rsidRDefault="009A0A1A" w:rsidP="009A0A1A">
            <w:pPr>
              <w:jc w:val="center"/>
              <w:rPr>
                <w:rFonts w:cs="Arial"/>
                <w:color w:val="000000" w:themeColor="text1"/>
                <w:szCs w:val="16"/>
              </w:rPr>
            </w:pPr>
          </w:p>
        </w:tc>
      </w:tr>
      <w:tr w:rsidR="009A0A1A" w:rsidRPr="00781112" w14:paraId="0842612B" w14:textId="77777777" w:rsidTr="003968A6">
        <w:tc>
          <w:tcPr>
            <w:tcW w:w="988" w:type="pct"/>
          </w:tcPr>
          <w:p w14:paraId="61EA20A8" w14:textId="77777777" w:rsidR="009A0A1A" w:rsidRPr="00781112" w:rsidRDefault="009A0A1A" w:rsidP="009A0A1A">
            <w:pPr>
              <w:jc w:val="center"/>
              <w:rPr>
                <w:rFonts w:cs="Arial"/>
                <w:color w:val="000000" w:themeColor="text1"/>
                <w:szCs w:val="16"/>
              </w:rPr>
            </w:pPr>
          </w:p>
        </w:tc>
        <w:tc>
          <w:tcPr>
            <w:tcW w:w="1461" w:type="pct"/>
          </w:tcPr>
          <w:p w14:paraId="6DF3A525" w14:textId="77777777" w:rsidR="009A0A1A" w:rsidRPr="00781112" w:rsidRDefault="009A0A1A" w:rsidP="009A0A1A">
            <w:pPr>
              <w:jc w:val="center"/>
              <w:rPr>
                <w:rFonts w:cs="Arial"/>
                <w:color w:val="000000" w:themeColor="text1"/>
                <w:szCs w:val="16"/>
              </w:rPr>
            </w:pPr>
          </w:p>
        </w:tc>
        <w:tc>
          <w:tcPr>
            <w:tcW w:w="1317" w:type="pct"/>
          </w:tcPr>
          <w:p w14:paraId="37136DA9" w14:textId="77777777" w:rsidR="009A0A1A" w:rsidRPr="00781112" w:rsidRDefault="009A0A1A" w:rsidP="009A0A1A">
            <w:pPr>
              <w:jc w:val="center"/>
              <w:rPr>
                <w:rFonts w:cs="Arial"/>
                <w:color w:val="000000" w:themeColor="text1"/>
                <w:szCs w:val="16"/>
              </w:rPr>
            </w:pPr>
          </w:p>
        </w:tc>
        <w:tc>
          <w:tcPr>
            <w:tcW w:w="1234" w:type="pct"/>
          </w:tcPr>
          <w:p w14:paraId="7F62B18D" w14:textId="77777777" w:rsidR="009A0A1A" w:rsidRPr="00781112" w:rsidRDefault="009A0A1A" w:rsidP="009A0A1A">
            <w:pPr>
              <w:jc w:val="center"/>
              <w:rPr>
                <w:rFonts w:cs="Arial"/>
                <w:color w:val="000000" w:themeColor="text1"/>
                <w:szCs w:val="16"/>
              </w:rPr>
            </w:pPr>
          </w:p>
        </w:tc>
      </w:tr>
    </w:tbl>
    <w:p w14:paraId="7596544F" w14:textId="77777777" w:rsidR="009A0A1A" w:rsidRPr="00781112" w:rsidRDefault="009A0A1A" w:rsidP="009A755E">
      <w:pPr>
        <w:rPr>
          <w:rFonts w:cs="Arial"/>
          <w:color w:val="000000" w:themeColor="text1"/>
          <w:szCs w:val="16"/>
        </w:rPr>
      </w:pPr>
    </w:p>
    <w:p w14:paraId="232D428D" w14:textId="77777777" w:rsidR="004E2151" w:rsidRPr="00781112" w:rsidRDefault="00C22B92" w:rsidP="00123D76">
      <w:pPr>
        <w:pStyle w:val="Heading2"/>
      </w:pPr>
      <w:r w:rsidRPr="00781112">
        <w:t>11</w:t>
      </w:r>
      <w:r w:rsidR="004838A4" w:rsidRPr="00781112">
        <w:t xml:space="preserve"> </w:t>
      </w:r>
      <w:r w:rsidRPr="00781112">
        <w:t xml:space="preserve">- </w:t>
      </w:r>
      <w:r w:rsidR="004E2151" w:rsidRPr="00781112">
        <w:t>Prior FFY Required Actions</w:t>
      </w:r>
    </w:p>
    <w:p w14:paraId="1A5EEBC6" w14:textId="77777777" w:rsidR="004E2151" w:rsidRPr="00781112" w:rsidRDefault="002B7490" w:rsidP="004E2151">
      <w:pPr>
        <w:rPr>
          <w:rFonts w:cs="Arial"/>
          <w:color w:val="000000" w:themeColor="text1"/>
          <w:szCs w:val="16"/>
        </w:rPr>
      </w:pPr>
      <w:r w:rsidRPr="00781112">
        <w:rPr>
          <w:rFonts w:cs="Arial"/>
          <w:color w:val="000000" w:themeColor="text1"/>
          <w:szCs w:val="16"/>
        </w:rPr>
        <w:t>Because the State reported less than 100% compliance for FFY 2023, the State must report on the status of correction of noncompliance identified in FFY 2023 for this indicator. When reporting on the correction of noncompliance, the State must report, in the FFY 2024 SPP/APR, that it has verified that each LEA with noncompliance identified in FFY 2023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and no outstanding corrective action exists under a State complaint or due process hearing decision for the child, consistent with OSEP QA 23-01. In the FFY 2024 SPP/APR, the State must describe the specific actions that were taken to verify the correction. If the State did not identify any findings of noncompliance in FFY 2023, although its FFY 2023 data reflect less than 100% compliance, provide an explanation of why the State did not identify any findings. If the State did not issue any findings because it has adopted procedures that permit its LEAs to correct noncompliance prior to the State's issuance of a finding, the explanation must include how the State verified, prior to issuing a finding, that the LEA has corrected each individual case of child-specific noncompliance and is correctly implementing the specific regulatory requirements.</w:t>
      </w:r>
    </w:p>
    <w:p w14:paraId="4687C885" w14:textId="77777777" w:rsidR="009F69E7" w:rsidRPr="00781112" w:rsidRDefault="009F69E7" w:rsidP="004E2151">
      <w:pPr>
        <w:rPr>
          <w:rFonts w:cs="Arial"/>
          <w:color w:val="000000" w:themeColor="text1"/>
          <w:szCs w:val="16"/>
        </w:rPr>
      </w:pPr>
    </w:p>
    <w:p w14:paraId="62247BFE" w14:textId="77777777" w:rsidR="004E2151" w:rsidRPr="00781112" w:rsidRDefault="007639D7" w:rsidP="004369B2">
      <w:pPr>
        <w:rPr>
          <w:b/>
          <w:color w:val="000000" w:themeColor="text1"/>
        </w:rPr>
      </w:pPr>
      <w:r>
        <w:rPr>
          <w:b/>
          <w:color w:val="000000" w:themeColor="text1"/>
        </w:rPr>
        <w:t>Response to actions required in FFY 2023 SPP/APR</w:t>
      </w:r>
    </w:p>
    <w:p w14:paraId="2CB5ABC5" w14:textId="77777777" w:rsidR="004E2151" w:rsidRPr="00781112" w:rsidRDefault="002B7490" w:rsidP="004E2151">
      <w:pPr>
        <w:rPr>
          <w:rFonts w:cs="Arial"/>
          <w:color w:val="000000" w:themeColor="text1"/>
          <w:szCs w:val="16"/>
        </w:rPr>
      </w:pPr>
      <w:r w:rsidRPr="00781112">
        <w:rPr>
          <w:rFonts w:cs="Arial"/>
          <w:color w:val="000000" w:themeColor="text1"/>
          <w:szCs w:val="16"/>
        </w:rPr>
        <w:t>For detailed information on the status of correction of noncompliance identified in FFY 2023, please refer to the section “FFY 2023 Findings of Noncompliance Verified as Corrected.” This section describes the specific actions taken to verify that each LEA is correctly implementing the regulatory requirements and that each individual case of noncompliance has been corrected, consistent with OSEP QA 23-01.</w:t>
      </w:r>
    </w:p>
    <w:p w14:paraId="508B7F01" w14:textId="77777777" w:rsidR="007F5071" w:rsidRPr="00781112" w:rsidRDefault="00C22B92" w:rsidP="00123D76">
      <w:pPr>
        <w:pStyle w:val="Heading2"/>
      </w:pPr>
      <w:r w:rsidRPr="00781112">
        <w:t>11 - OSEP Response</w:t>
      </w:r>
    </w:p>
    <w:p w14:paraId="12942C6C" w14:textId="77777777" w:rsidR="00326C0B" w:rsidRPr="00781112" w:rsidRDefault="00326C0B" w:rsidP="00212954">
      <w:pPr>
        <w:rPr>
          <w:rFonts w:cs="Arial"/>
          <w:color w:val="000000" w:themeColor="text1"/>
          <w:szCs w:val="16"/>
        </w:rPr>
      </w:pPr>
    </w:p>
    <w:p w14:paraId="5978E3A7" w14:textId="77777777" w:rsidR="007F5071" w:rsidRPr="00781112" w:rsidRDefault="00C22B92" w:rsidP="00123D76">
      <w:pPr>
        <w:pStyle w:val="Heading2"/>
      </w:pPr>
      <w:r w:rsidRPr="00781112">
        <w:t>11 - Required Actions</w:t>
      </w:r>
    </w:p>
    <w:p w14:paraId="0DC27542" w14:textId="77777777" w:rsidR="00326C0B" w:rsidRPr="00781112" w:rsidRDefault="002B7490" w:rsidP="00212954">
      <w:pPr>
        <w:rPr>
          <w:rFonts w:cs="Arial"/>
          <w:color w:val="000000" w:themeColor="text1"/>
          <w:szCs w:val="16"/>
        </w:rPr>
      </w:pPr>
      <w:r w:rsidRPr="00781112">
        <w:rPr>
          <w:rFonts w:cs="Arial"/>
          <w:color w:val="000000" w:themeColor="text1"/>
          <w:szCs w:val="16"/>
        </w:rPr>
        <w:t>Because the State reported less than 100% compliance for FFY 2024, the State must report on the status of correction of noncompliance identified in FFY 2024 for this indicator. When reporting on the correction of noncompliance, the State must report, in the FFY 2025 SPP/APR, that it has verified that each LEA with noncompliance identified in FFY 2024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and no outstanding corrective action exists under a State complaint or due process hearing decision for the child, consistent with OSEP QA 23-01. In the FFY 2025 SPP/APR, the State must describe the specific actions that were taken to verify the correction. If the State did not identify any findings of noncompliance in FFY 2024, although its FFY 2024 data reflect less than 100% compliance, provide an explanation of why the State did not identify any findings. If the State did not issue any findings because it has adopted procedures that permit its LEAs to correct noncompliance prior to the State's issuance of a finding, the explanation must include how the State verified, prior to issuing a finding, that the LEA has corrected each individual case of child-specific noncompliance and is correctly implementing the specific regulatory requirements.</w:t>
      </w:r>
    </w:p>
    <w:p w14:paraId="7819148E"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75367289" w14:textId="77777777" w:rsidR="00D03701" w:rsidRPr="00781112" w:rsidRDefault="00D03701" w:rsidP="000444E2">
      <w:pPr>
        <w:pStyle w:val="Heading1"/>
        <w:rPr>
          <w:color w:val="000000" w:themeColor="text1"/>
          <w:sz w:val="22"/>
        </w:rPr>
      </w:pPr>
      <w:r w:rsidRPr="00781112">
        <w:rPr>
          <w:color w:val="000000" w:themeColor="text1"/>
          <w:sz w:val="22"/>
        </w:rPr>
        <w:lastRenderedPageBreak/>
        <w:t>Indicator 12: Early Childhood Transition</w:t>
      </w:r>
      <w:bookmarkEnd w:id="68"/>
      <w:bookmarkEnd w:id="69"/>
      <w:bookmarkEnd w:id="70"/>
    </w:p>
    <w:p w14:paraId="44D4E1CA" w14:textId="77777777" w:rsidR="00652135" w:rsidRPr="002C274F" w:rsidRDefault="00652135" w:rsidP="002C274F">
      <w:pPr>
        <w:rPr>
          <w:b/>
          <w:bCs/>
          <w:sz w:val="20"/>
          <w:szCs w:val="20"/>
        </w:rPr>
      </w:pPr>
      <w:r w:rsidRPr="002C274F">
        <w:rPr>
          <w:b/>
          <w:bCs/>
          <w:sz w:val="20"/>
          <w:szCs w:val="20"/>
        </w:rPr>
        <w:t>Instructions and Measurement</w:t>
      </w:r>
    </w:p>
    <w:p w14:paraId="35E6CB24" w14:textId="77777777" w:rsidR="001F3A65" w:rsidRPr="00781112" w:rsidRDefault="001F3A65" w:rsidP="009447A3">
      <w:pPr>
        <w:rPr>
          <w:rFonts w:cs="Arial"/>
          <w:color w:val="000000" w:themeColor="text1"/>
          <w:szCs w:val="16"/>
        </w:rPr>
      </w:pPr>
      <w:bookmarkStart w:id="71" w:name="_Toc384383358"/>
      <w:bookmarkStart w:id="72" w:name="_Toc392159326"/>
      <w:r w:rsidRPr="00781112">
        <w:rPr>
          <w:rFonts w:cs="Arial"/>
          <w:b/>
          <w:color w:val="000000" w:themeColor="text1"/>
          <w:szCs w:val="16"/>
        </w:rPr>
        <w:t>Monitoring Priorit</w:t>
      </w:r>
      <w:r w:rsidRPr="00924AD9">
        <w:rPr>
          <w:rFonts w:cs="Arial"/>
          <w:b/>
          <w:bCs/>
          <w:color w:val="000000" w:themeColor="text1"/>
          <w:szCs w:val="16"/>
        </w:rPr>
        <w:t>y</w:t>
      </w:r>
      <w:r w:rsidRPr="00781112">
        <w:rPr>
          <w:rFonts w:cs="Arial"/>
          <w:color w:val="000000" w:themeColor="text1"/>
          <w:szCs w:val="16"/>
        </w:rPr>
        <w:t>: Effective General Supervision Part B / Effective Transition</w:t>
      </w:r>
    </w:p>
    <w:p w14:paraId="720BE5DD" w14:textId="77777777" w:rsidR="00704E6A" w:rsidRPr="00781112" w:rsidRDefault="001F3A65" w:rsidP="009447A3">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children referred by Part C prior to age 3, who are found eligible for Part B, and who have an IEP developed and implemented by their third birthdays. </w:t>
      </w:r>
    </w:p>
    <w:p w14:paraId="4D7E3B8E" w14:textId="77777777" w:rsidR="001F3A65" w:rsidRPr="00781112" w:rsidRDefault="001F3A65" w:rsidP="009447A3">
      <w:pPr>
        <w:rPr>
          <w:rFonts w:cs="Arial"/>
          <w:color w:val="000000" w:themeColor="text1"/>
          <w:szCs w:val="16"/>
        </w:rPr>
      </w:pPr>
      <w:r w:rsidRPr="00781112">
        <w:rPr>
          <w:rFonts w:cs="Arial"/>
          <w:color w:val="000000" w:themeColor="text1"/>
          <w:szCs w:val="16"/>
        </w:rPr>
        <w:t>(20 U.S.C. 1416(a)(3)(B))</w:t>
      </w:r>
    </w:p>
    <w:p w14:paraId="7EBFA28E" w14:textId="77777777" w:rsidR="00704E6A" w:rsidRPr="00781112" w:rsidRDefault="00704E6A" w:rsidP="004369B2">
      <w:pPr>
        <w:rPr>
          <w:color w:val="000000" w:themeColor="text1"/>
        </w:rPr>
      </w:pPr>
      <w:r w:rsidRPr="00781112">
        <w:rPr>
          <w:b/>
          <w:color w:val="000000" w:themeColor="text1"/>
        </w:rPr>
        <w:t>Data Source</w:t>
      </w:r>
    </w:p>
    <w:p w14:paraId="18CC17FA" w14:textId="77777777" w:rsidR="00704E6A" w:rsidRPr="00781112" w:rsidRDefault="00704E6A"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w:t>
      </w:r>
    </w:p>
    <w:p w14:paraId="68C084FF" w14:textId="77777777" w:rsidR="00704E6A" w:rsidRPr="00781112" w:rsidRDefault="00704E6A" w:rsidP="004369B2">
      <w:pPr>
        <w:rPr>
          <w:color w:val="000000" w:themeColor="text1"/>
        </w:rPr>
      </w:pPr>
      <w:r w:rsidRPr="00781112">
        <w:rPr>
          <w:b/>
          <w:color w:val="000000" w:themeColor="text1"/>
        </w:rPr>
        <w:t>Measurement</w:t>
      </w:r>
    </w:p>
    <w:p w14:paraId="3CBB06CD" w14:textId="77777777"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a. # of children who have been served in Part C and referred to Part B for Part B eligibility determination.</w:t>
      </w:r>
    </w:p>
    <w:p w14:paraId="6E00A9FB" w14:textId="77777777"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b. # of those referred determined to be NOT eligible and whose eligibility was determined prior to their third birthdays.</w:t>
      </w:r>
    </w:p>
    <w:p w14:paraId="2A85F546" w14:textId="77777777"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c. # of those found eligible who have an IEP developed and implemented by their third birthdays.</w:t>
      </w:r>
    </w:p>
    <w:p w14:paraId="701F5844" w14:textId="77777777"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 xml:space="preserve">d. # of children for whom parent refusal to provide consent caused delays in evaluation or initial services or to whom exceptions under 34 CFR </w:t>
      </w:r>
      <w:r w:rsidRPr="00781112">
        <w:rPr>
          <w:rFonts w:eastAsia="Times New Roman" w:cs="Arial"/>
          <w:color w:val="000000" w:themeColor="text1"/>
          <w:szCs w:val="16"/>
        </w:rPr>
        <w:tab/>
      </w:r>
      <w:r w:rsidR="00704E6A" w:rsidRPr="00781112">
        <w:rPr>
          <w:rFonts w:eastAsia="Times New Roman" w:cs="Arial"/>
          <w:color w:val="000000" w:themeColor="text1"/>
          <w:szCs w:val="16"/>
        </w:rPr>
        <w:t>§300.301(d) applied.</w:t>
      </w:r>
    </w:p>
    <w:p w14:paraId="7D8A20BC" w14:textId="77777777"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 xml:space="preserve">e. </w:t>
      </w:r>
      <w:proofErr w:type="gramStart"/>
      <w:r w:rsidRPr="00781112">
        <w:rPr>
          <w:rFonts w:eastAsia="Times New Roman" w:cs="Arial"/>
          <w:color w:val="000000" w:themeColor="text1"/>
          <w:szCs w:val="16"/>
        </w:rPr>
        <w:t># of children</w:t>
      </w:r>
      <w:proofErr w:type="gramEnd"/>
      <w:r w:rsidRPr="00781112">
        <w:rPr>
          <w:rFonts w:eastAsia="Times New Roman" w:cs="Arial"/>
          <w:color w:val="000000" w:themeColor="text1"/>
          <w:szCs w:val="16"/>
        </w:rPr>
        <w:t xml:space="preserve"> determined to be eligible for early intervention services under Part C less than 90 days before their third birthdays.</w:t>
      </w:r>
    </w:p>
    <w:p w14:paraId="3716CC33" w14:textId="77777777" w:rsidR="00704E6A" w:rsidRPr="00781112" w:rsidRDefault="00A90E71" w:rsidP="00A90E71">
      <w:pPr>
        <w:spacing w:before="0" w:after="0"/>
        <w:rPr>
          <w:rFonts w:eastAsia="Times New Roman" w:cs="Arial"/>
          <w:color w:val="000000" w:themeColor="text1"/>
          <w:szCs w:val="16"/>
        </w:rPr>
      </w:pPr>
      <w:r w:rsidRPr="00781112">
        <w:rPr>
          <w:rFonts w:eastAsia="Times New Roman" w:cs="Arial"/>
          <w:color w:val="000000" w:themeColor="text1"/>
          <w:szCs w:val="16"/>
        </w:rPr>
        <w:tab/>
        <w:t xml:space="preserve">f. # of children whose parents chose to continue early intervention services beyond the child’s third birthday through a State’s policy under 34 </w:t>
      </w:r>
      <w:r w:rsidRPr="00781112">
        <w:rPr>
          <w:rFonts w:eastAsia="Times New Roman" w:cs="Arial"/>
          <w:color w:val="000000" w:themeColor="text1"/>
          <w:szCs w:val="16"/>
        </w:rPr>
        <w:tab/>
      </w:r>
      <w:r w:rsidR="00704E6A" w:rsidRPr="00781112">
        <w:rPr>
          <w:rFonts w:eastAsia="Times New Roman" w:cs="Arial"/>
          <w:color w:val="000000" w:themeColor="text1"/>
          <w:szCs w:val="16"/>
        </w:rPr>
        <w:t>CFR §303.211 or a similar State option.</w:t>
      </w:r>
    </w:p>
    <w:p w14:paraId="00A49CC5" w14:textId="77777777" w:rsidR="00A90E71" w:rsidRPr="00781112" w:rsidRDefault="00A90E71" w:rsidP="006A01BD">
      <w:pPr>
        <w:spacing w:before="0" w:after="0"/>
        <w:rPr>
          <w:rFonts w:eastAsia="Times New Roman" w:cs="Arial"/>
          <w:color w:val="000000" w:themeColor="text1"/>
          <w:szCs w:val="16"/>
        </w:rPr>
      </w:pPr>
    </w:p>
    <w:p w14:paraId="461ED5AF" w14:textId="77777777" w:rsidR="00704E6A" w:rsidRPr="00781112" w:rsidRDefault="00704E6A" w:rsidP="006A01BD">
      <w:pPr>
        <w:spacing w:before="0" w:after="210"/>
        <w:rPr>
          <w:rFonts w:eastAsia="Times New Roman" w:cs="Arial"/>
          <w:color w:val="000000" w:themeColor="text1"/>
          <w:szCs w:val="16"/>
        </w:rPr>
      </w:pPr>
      <w:r w:rsidRPr="00781112">
        <w:rPr>
          <w:rFonts w:eastAsia="Times New Roman" w:cs="Arial"/>
          <w:color w:val="000000" w:themeColor="text1"/>
          <w:szCs w:val="16"/>
        </w:rPr>
        <w:t>Account for children included in (a), but not included in b, c, d, e, or f. Indicate the range of days beyond the third birthday when eligibility was determined and the IEP developed, and the reasons for the delays.</w:t>
      </w:r>
    </w:p>
    <w:p w14:paraId="27F8632F" w14:textId="77777777" w:rsidR="00704E6A" w:rsidRPr="00781112" w:rsidRDefault="00704E6A" w:rsidP="009447A3">
      <w:pPr>
        <w:spacing w:before="0" w:after="210"/>
        <w:rPr>
          <w:rFonts w:eastAsia="Times New Roman" w:cs="Arial"/>
          <w:color w:val="000000" w:themeColor="text1"/>
          <w:szCs w:val="16"/>
        </w:rPr>
      </w:pPr>
      <w:r w:rsidRPr="00781112">
        <w:rPr>
          <w:rFonts w:eastAsia="Times New Roman" w:cs="Arial"/>
          <w:color w:val="000000" w:themeColor="text1"/>
          <w:szCs w:val="16"/>
        </w:rPr>
        <w:t>Percent = [(c) divided by (a - b - d - e - f)] times 100.</w:t>
      </w:r>
    </w:p>
    <w:p w14:paraId="7F01C163" w14:textId="77777777" w:rsidR="00704E6A" w:rsidRPr="00781112" w:rsidRDefault="00704E6A" w:rsidP="004369B2">
      <w:pPr>
        <w:rPr>
          <w:color w:val="000000" w:themeColor="text1"/>
        </w:rPr>
      </w:pPr>
      <w:r w:rsidRPr="00781112">
        <w:rPr>
          <w:b/>
          <w:color w:val="000000" w:themeColor="text1"/>
        </w:rPr>
        <w:t>Instructions</w:t>
      </w:r>
    </w:p>
    <w:p w14:paraId="0164DF77" w14:textId="77777777" w:rsidR="00704E6A" w:rsidRPr="00781112" w:rsidRDefault="00704E6A" w:rsidP="00286BDF">
      <w:pPr>
        <w:rPr>
          <w:rFonts w:cs="Arial"/>
          <w:i/>
          <w:iCs/>
          <w:color w:val="000000" w:themeColor="text1"/>
          <w:szCs w:val="16"/>
        </w:rPr>
      </w:pPr>
      <w:r w:rsidRPr="00781112">
        <w:rPr>
          <w:rFonts w:cs="Arial"/>
          <w:i/>
          <w:iCs/>
          <w:color w:val="000000" w:themeColor="text1"/>
          <w:szCs w:val="16"/>
        </w:rPr>
        <w:t>If data are from State monitoring, describe the method used to select LEAs for monitoring. If data are from a State database, include data for the entire reporting year.</w:t>
      </w:r>
    </w:p>
    <w:p w14:paraId="15DD8C4F" w14:textId="77777777" w:rsidR="00704E6A" w:rsidRPr="00781112" w:rsidRDefault="00704E6A" w:rsidP="00286BDF">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14:paraId="6F5C6F64" w14:textId="77777777" w:rsidR="001F165D" w:rsidRPr="00781112" w:rsidRDefault="001F165D" w:rsidP="001F165D">
      <w:pPr>
        <w:rPr>
          <w:rFonts w:cs="Arial"/>
          <w:color w:val="000000" w:themeColor="text1"/>
          <w:szCs w:val="16"/>
        </w:rPr>
      </w:pPr>
      <w:r w:rsidRPr="00781112">
        <w:rPr>
          <w:rFonts w:cs="Arial"/>
          <w:color w:val="000000" w:themeColor="text1"/>
          <w:szCs w:val="16"/>
        </w:rPr>
        <w:t>Targets must be 100%.</w:t>
      </w:r>
    </w:p>
    <w:p w14:paraId="482A399D" w14:textId="77777777" w:rsidR="00704E6A" w:rsidRPr="00781112" w:rsidRDefault="00BA70F9" w:rsidP="00286BDF">
      <w:pPr>
        <w:rPr>
          <w:rFonts w:cs="Arial"/>
          <w:color w:val="000000" w:themeColor="text1"/>
          <w:szCs w:val="16"/>
        </w:rPr>
      </w:pPr>
      <w:r w:rsidRPr="00781112">
        <w:rPr>
          <w:rFonts w:cs="Arial"/>
          <w:color w:val="000000" w:themeColor="text1"/>
          <w:szCs w:val="16"/>
        </w:rPr>
        <w:t>Category f is to be used only by States that have an approved policy for providing parents the option of continuing early intervention services beyond the child’s third birthday under 34 CFR §303.211 or a similar State option.</w:t>
      </w:r>
    </w:p>
    <w:p w14:paraId="16F11C05" w14:textId="77777777" w:rsidR="00704E6A" w:rsidRPr="00781112" w:rsidRDefault="00704E6A"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73" w:name="_Hlk150864384"/>
      <w:r w:rsidR="005F55E8" w:rsidRPr="005F55E8">
        <w:rPr>
          <w:rFonts w:cs="Arial"/>
          <w:color w:val="000000" w:themeColor="text1"/>
          <w:szCs w:val="16"/>
        </w:rPr>
        <w:t>child-specific and regulatory/systemic</w:t>
      </w:r>
      <w:r w:rsidR="005F55E8">
        <w:rPr>
          <w:sz w:val="20"/>
          <w:szCs w:val="14"/>
        </w:rPr>
        <w:t xml:space="preserve"> </w:t>
      </w:r>
      <w:bookmarkEnd w:id="73"/>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3ACCB971" w14:textId="77777777" w:rsidR="00704E6A" w:rsidRDefault="003A4027"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2024 SPP/APR, the data for FFY 2023), and the State did not identify any findings of noncompliance, provide an explanation of why the State did not identify any findings of noncompliance.</w:t>
      </w:r>
    </w:p>
    <w:p w14:paraId="5AF304C8" w14:textId="77777777" w:rsidR="00655489" w:rsidRPr="00FE4611" w:rsidRDefault="00AC3C55" w:rsidP="00655489">
      <w:pPr>
        <w:rPr>
          <w:rFonts w:cs="Arial"/>
          <w:szCs w:val="16"/>
        </w:rPr>
      </w:pPr>
      <w:r>
        <w:rPr>
          <w:rFonts w:cs="Arial"/>
          <w:szCs w:val="16"/>
        </w:rPr>
        <w:t>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380B599A" w14:textId="77777777" w:rsidR="00655489" w:rsidRPr="00781112" w:rsidRDefault="00655489" w:rsidP="00286BDF">
      <w:pPr>
        <w:rPr>
          <w:rFonts w:cs="Arial"/>
          <w:color w:val="000000" w:themeColor="text1"/>
          <w:szCs w:val="16"/>
        </w:rPr>
      </w:pPr>
    </w:p>
    <w:p w14:paraId="267946D5" w14:textId="77777777" w:rsidR="00FE7D29" w:rsidRPr="00781112" w:rsidRDefault="00056350" w:rsidP="00123D76">
      <w:pPr>
        <w:pStyle w:val="Heading2"/>
      </w:pPr>
      <w:bookmarkStart w:id="74" w:name="_Toc384383359"/>
      <w:bookmarkStart w:id="75" w:name="_Toc392159327"/>
      <w:bookmarkEnd w:id="71"/>
      <w:bookmarkEnd w:id="72"/>
      <w:r w:rsidRPr="00781112">
        <w:t>12</w:t>
      </w:r>
      <w:r w:rsidR="004838A4" w:rsidRPr="00781112">
        <w:t xml:space="preserve"> </w:t>
      </w:r>
      <w:r w:rsidRPr="00781112">
        <w:t xml:space="preserve">- </w:t>
      </w:r>
      <w:r w:rsidR="00211617" w:rsidRPr="00781112">
        <w:t>Indicator Data</w:t>
      </w:r>
    </w:p>
    <w:p w14:paraId="159F23B6" w14:textId="77777777" w:rsidR="0091098C" w:rsidRPr="00781112" w:rsidRDefault="0091098C" w:rsidP="004369B2">
      <w:pPr>
        <w:rPr>
          <w:color w:val="000000" w:themeColor="text1"/>
        </w:rPr>
      </w:pPr>
      <w:r w:rsidRPr="00781112">
        <w:rPr>
          <w:b/>
          <w:color w:val="000000" w:themeColor="text1"/>
        </w:rPr>
        <w:t>Not Applicable</w:t>
      </w:r>
    </w:p>
    <w:p w14:paraId="1529B7CA" w14:textId="77777777" w:rsidR="00A5601C" w:rsidRPr="00781112" w:rsidRDefault="005D604C">
      <w:pPr>
        <w:rPr>
          <w:b/>
          <w:color w:val="000000" w:themeColor="text1"/>
        </w:rPr>
      </w:pPr>
      <w:r w:rsidRPr="00781112">
        <w:rPr>
          <w:b/>
          <w:color w:val="000000" w:themeColor="text1"/>
        </w:rPr>
        <w:t>Select yes if this indicator is not applicable.</w:t>
      </w:r>
    </w:p>
    <w:p w14:paraId="7C7C7C79" w14:textId="77777777" w:rsidR="00043AC9" w:rsidRPr="00781112" w:rsidRDefault="00043AC9" w:rsidP="004369B2">
      <w:pPr>
        <w:rPr>
          <w:rFonts w:cs="Arial"/>
          <w:color w:val="000000" w:themeColor="text1"/>
          <w:szCs w:val="16"/>
        </w:rPr>
      </w:pPr>
      <w:r w:rsidRPr="00781112">
        <w:rPr>
          <w:rFonts w:cs="Arial"/>
          <w:color w:val="000000" w:themeColor="text1"/>
          <w:szCs w:val="16"/>
        </w:rPr>
        <w:t>NO</w:t>
      </w:r>
    </w:p>
    <w:p w14:paraId="4EC021B8" w14:textId="77777777" w:rsidR="00C50290" w:rsidRPr="00781112" w:rsidRDefault="00C50290" w:rsidP="004369B2">
      <w:pPr>
        <w:rPr>
          <w:color w:val="000000" w:themeColor="text1"/>
        </w:rPr>
      </w:pPr>
    </w:p>
    <w:p w14:paraId="3BDA821C" w14:textId="77777777"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2BASELINEDATA"/>
      </w:tblPr>
      <w:tblGrid>
        <w:gridCol w:w="1797"/>
        <w:gridCol w:w="1798"/>
      </w:tblGrid>
      <w:tr w:rsidR="001875AF" w:rsidRPr="00781112" w14:paraId="266D261F" w14:textId="77777777" w:rsidTr="00123D76">
        <w:trPr>
          <w:trHeight w:val="311"/>
          <w:tblHeader/>
        </w:trPr>
        <w:tc>
          <w:tcPr>
            <w:tcW w:w="1797" w:type="dxa"/>
          </w:tcPr>
          <w:p w14:paraId="48BE4616" w14:textId="77777777" w:rsidR="001875AF" w:rsidRPr="00781112" w:rsidRDefault="001875AF" w:rsidP="00123D76">
            <w:pPr>
              <w:jc w:val="center"/>
              <w:rPr>
                <w:b/>
                <w:color w:val="000000" w:themeColor="text1"/>
              </w:rPr>
            </w:pPr>
            <w:r w:rsidRPr="00781112">
              <w:rPr>
                <w:rFonts w:cs="Arial"/>
                <w:b/>
                <w:color w:val="000000" w:themeColor="text1"/>
                <w:szCs w:val="16"/>
              </w:rPr>
              <w:t>Baseline Year</w:t>
            </w:r>
          </w:p>
        </w:tc>
        <w:tc>
          <w:tcPr>
            <w:tcW w:w="1798" w:type="dxa"/>
          </w:tcPr>
          <w:p w14:paraId="469392A2" w14:textId="77777777" w:rsidR="001875AF" w:rsidRPr="00781112" w:rsidRDefault="001875AF" w:rsidP="00123D76">
            <w:pPr>
              <w:jc w:val="center"/>
              <w:rPr>
                <w:b/>
                <w:color w:val="000000" w:themeColor="text1"/>
              </w:rPr>
            </w:pPr>
            <w:r w:rsidRPr="00781112">
              <w:rPr>
                <w:b/>
                <w:color w:val="000000" w:themeColor="text1"/>
              </w:rPr>
              <w:t>Baseline Data</w:t>
            </w:r>
          </w:p>
        </w:tc>
      </w:tr>
      <w:tr w:rsidR="001875AF" w:rsidRPr="00781112" w14:paraId="125D3CB1" w14:textId="77777777" w:rsidTr="00123D76">
        <w:trPr>
          <w:trHeight w:val="311"/>
        </w:trPr>
        <w:tc>
          <w:tcPr>
            <w:tcW w:w="1797" w:type="dxa"/>
            <w:vAlign w:val="center"/>
          </w:tcPr>
          <w:p w14:paraId="445C41DD" w14:textId="77777777" w:rsidR="001875AF" w:rsidRPr="00781112" w:rsidRDefault="001875AF" w:rsidP="00123D76">
            <w:pPr>
              <w:jc w:val="center"/>
              <w:rPr>
                <w:bCs/>
                <w:color w:val="000000" w:themeColor="text1"/>
              </w:rPr>
            </w:pPr>
            <w:r w:rsidRPr="00781112">
              <w:rPr>
                <w:bCs/>
                <w:color w:val="000000" w:themeColor="text1"/>
              </w:rPr>
              <w:t>2019</w:t>
            </w:r>
          </w:p>
        </w:tc>
        <w:tc>
          <w:tcPr>
            <w:tcW w:w="1798" w:type="dxa"/>
            <w:vAlign w:val="center"/>
          </w:tcPr>
          <w:p w14:paraId="22578385" w14:textId="77777777" w:rsidR="001875AF" w:rsidRPr="00781112" w:rsidRDefault="001875AF" w:rsidP="00123D76">
            <w:pPr>
              <w:jc w:val="center"/>
              <w:rPr>
                <w:bCs/>
                <w:color w:val="000000" w:themeColor="text1"/>
              </w:rPr>
            </w:pPr>
            <w:r w:rsidRPr="00781112">
              <w:rPr>
                <w:bCs/>
                <w:color w:val="000000" w:themeColor="text1"/>
              </w:rPr>
              <w:t>98.16%</w:t>
            </w:r>
          </w:p>
        </w:tc>
      </w:tr>
    </w:tbl>
    <w:p w14:paraId="1DEE0EB2" w14:textId="77777777" w:rsidR="001875AF" w:rsidRPr="00781112" w:rsidRDefault="001875AF"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2HISTDATA"/>
      </w:tblPr>
      <w:tblGrid>
        <w:gridCol w:w="1798"/>
        <w:gridCol w:w="1798"/>
        <w:gridCol w:w="1798"/>
        <w:gridCol w:w="1798"/>
        <w:gridCol w:w="1798"/>
        <w:gridCol w:w="1800"/>
      </w:tblGrid>
      <w:tr w:rsidR="005C29F8" w:rsidRPr="00781112" w14:paraId="45954583" w14:textId="77777777" w:rsidTr="005F2FF9">
        <w:trPr>
          <w:trHeight w:val="350"/>
        </w:trPr>
        <w:tc>
          <w:tcPr>
            <w:tcW w:w="833" w:type="pct"/>
            <w:tcBorders>
              <w:bottom w:val="single" w:sz="4" w:space="0" w:color="auto"/>
            </w:tcBorders>
          </w:tcPr>
          <w:bookmarkEnd w:id="74"/>
          <w:bookmarkEnd w:id="75"/>
          <w:p w14:paraId="50B68593" w14:textId="77777777" w:rsidR="009447A3" w:rsidRPr="00781112" w:rsidRDefault="009447A3" w:rsidP="004369B2">
            <w:pPr>
              <w:jc w:val="center"/>
              <w:rPr>
                <w:rFonts w:cs="Arial"/>
                <w:b/>
                <w:color w:val="000000" w:themeColor="text1"/>
                <w:szCs w:val="16"/>
              </w:rPr>
            </w:pPr>
            <w:r w:rsidRPr="00781112">
              <w:rPr>
                <w:rFonts w:cs="Arial"/>
                <w:b/>
                <w:color w:val="000000" w:themeColor="text1"/>
                <w:szCs w:val="16"/>
              </w:rPr>
              <w:t>FFY</w:t>
            </w:r>
          </w:p>
        </w:tc>
        <w:tc>
          <w:tcPr>
            <w:tcW w:w="833" w:type="pct"/>
          </w:tcPr>
          <w:p w14:paraId="052F3A1D" w14:textId="77777777" w:rsidR="009447A3"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33" w:type="pct"/>
          </w:tcPr>
          <w:p w14:paraId="7FD5189D" w14:textId="77777777" w:rsidR="009447A3"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833" w:type="pct"/>
          </w:tcPr>
          <w:p w14:paraId="2D1E3413" w14:textId="77777777" w:rsidR="009447A3" w:rsidRPr="00781112" w:rsidRDefault="002B7490" w:rsidP="008E31C4">
            <w:pPr>
              <w:jc w:val="center"/>
              <w:rPr>
                <w:rFonts w:cs="Arial"/>
                <w:b/>
                <w:color w:val="000000" w:themeColor="text1"/>
                <w:szCs w:val="16"/>
              </w:rPr>
            </w:pPr>
            <w:r w:rsidRPr="00781112">
              <w:rPr>
                <w:rFonts w:cs="Arial"/>
                <w:b/>
                <w:color w:val="000000" w:themeColor="text1"/>
                <w:szCs w:val="16"/>
              </w:rPr>
              <w:t>2021</w:t>
            </w:r>
          </w:p>
        </w:tc>
        <w:tc>
          <w:tcPr>
            <w:tcW w:w="833" w:type="pct"/>
          </w:tcPr>
          <w:p w14:paraId="7AC08C40" w14:textId="77777777" w:rsidR="009447A3" w:rsidRPr="00781112" w:rsidRDefault="002B7490" w:rsidP="008E31C4">
            <w:pPr>
              <w:jc w:val="center"/>
              <w:rPr>
                <w:rFonts w:cs="Arial"/>
                <w:b/>
                <w:color w:val="000000" w:themeColor="text1"/>
                <w:szCs w:val="16"/>
              </w:rPr>
            </w:pPr>
            <w:r w:rsidRPr="00781112">
              <w:rPr>
                <w:rFonts w:cs="Arial"/>
                <w:b/>
                <w:color w:val="000000" w:themeColor="text1"/>
                <w:szCs w:val="16"/>
              </w:rPr>
              <w:t>2022</w:t>
            </w:r>
          </w:p>
        </w:tc>
        <w:tc>
          <w:tcPr>
            <w:tcW w:w="834" w:type="pct"/>
          </w:tcPr>
          <w:p w14:paraId="47D15ACD" w14:textId="77777777" w:rsidR="009447A3" w:rsidRPr="00781112" w:rsidRDefault="002B7490" w:rsidP="008E31C4">
            <w:pPr>
              <w:jc w:val="center"/>
              <w:rPr>
                <w:rFonts w:cs="Arial"/>
                <w:b/>
                <w:color w:val="000000" w:themeColor="text1"/>
                <w:szCs w:val="16"/>
              </w:rPr>
            </w:pPr>
            <w:r w:rsidRPr="00781112">
              <w:rPr>
                <w:rFonts w:cs="Arial"/>
                <w:b/>
                <w:color w:val="000000" w:themeColor="text1"/>
                <w:szCs w:val="16"/>
              </w:rPr>
              <w:t>2023</w:t>
            </w:r>
          </w:p>
        </w:tc>
      </w:tr>
      <w:tr w:rsidR="005C29F8" w:rsidRPr="00781112" w14:paraId="483E46BD" w14:textId="77777777" w:rsidTr="005F2FF9">
        <w:trPr>
          <w:trHeight w:val="357"/>
        </w:trPr>
        <w:tc>
          <w:tcPr>
            <w:tcW w:w="833" w:type="pct"/>
          </w:tcPr>
          <w:p w14:paraId="0A9880AB" w14:textId="77777777" w:rsidR="009447A3" w:rsidRPr="00781112" w:rsidRDefault="009447A3" w:rsidP="00BA3DBE">
            <w:pPr>
              <w:jc w:val="center"/>
              <w:rPr>
                <w:rFonts w:cs="Arial"/>
                <w:color w:val="000000" w:themeColor="text1"/>
                <w:szCs w:val="16"/>
              </w:rPr>
            </w:pPr>
            <w:r w:rsidRPr="00781112">
              <w:rPr>
                <w:rFonts w:cs="Arial"/>
                <w:color w:val="000000" w:themeColor="text1"/>
                <w:szCs w:val="16"/>
              </w:rPr>
              <w:t>Target</w:t>
            </w:r>
          </w:p>
        </w:tc>
        <w:tc>
          <w:tcPr>
            <w:tcW w:w="833" w:type="pct"/>
          </w:tcPr>
          <w:p w14:paraId="178CDDF1" w14:textId="77777777"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tcPr>
          <w:p w14:paraId="122B1469" w14:textId="77777777"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tcPr>
          <w:p w14:paraId="19BAB9EB" w14:textId="77777777"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tcPr>
          <w:p w14:paraId="2B7B2192" w14:textId="77777777"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4" w:type="pct"/>
          </w:tcPr>
          <w:p w14:paraId="2DC3B688" w14:textId="77777777"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r>
      <w:tr w:rsidR="005C29F8" w:rsidRPr="00781112" w14:paraId="0D6ED4BF" w14:textId="77777777" w:rsidTr="005F2FF9">
        <w:trPr>
          <w:trHeight w:val="85"/>
        </w:trPr>
        <w:tc>
          <w:tcPr>
            <w:tcW w:w="833" w:type="pct"/>
          </w:tcPr>
          <w:p w14:paraId="182C9781" w14:textId="77777777" w:rsidR="009447A3" w:rsidRPr="00781112" w:rsidRDefault="009447A3" w:rsidP="00BA3DBE">
            <w:pPr>
              <w:jc w:val="center"/>
              <w:rPr>
                <w:rFonts w:cs="Arial"/>
                <w:color w:val="000000" w:themeColor="text1"/>
                <w:szCs w:val="16"/>
              </w:rPr>
            </w:pPr>
            <w:r w:rsidRPr="00781112">
              <w:rPr>
                <w:rFonts w:cs="Arial"/>
                <w:color w:val="000000" w:themeColor="text1"/>
                <w:szCs w:val="16"/>
              </w:rPr>
              <w:t>Data</w:t>
            </w:r>
          </w:p>
        </w:tc>
        <w:tc>
          <w:tcPr>
            <w:tcW w:w="833" w:type="pct"/>
          </w:tcPr>
          <w:p w14:paraId="01BCF759" w14:textId="77777777" w:rsidR="009447A3" w:rsidRPr="00781112" w:rsidRDefault="002B7490" w:rsidP="003A4027">
            <w:pPr>
              <w:jc w:val="center"/>
              <w:rPr>
                <w:rFonts w:cs="Arial"/>
                <w:color w:val="000000" w:themeColor="text1"/>
                <w:szCs w:val="16"/>
              </w:rPr>
            </w:pPr>
            <w:r w:rsidRPr="00781112">
              <w:rPr>
                <w:rFonts w:cs="Arial"/>
                <w:color w:val="000000" w:themeColor="text1"/>
                <w:szCs w:val="16"/>
              </w:rPr>
              <w:t>98.16%</w:t>
            </w:r>
          </w:p>
        </w:tc>
        <w:tc>
          <w:tcPr>
            <w:tcW w:w="833" w:type="pct"/>
          </w:tcPr>
          <w:p w14:paraId="4969CFBF" w14:textId="77777777" w:rsidR="009447A3" w:rsidRPr="00781112" w:rsidRDefault="002B7490" w:rsidP="003A4027">
            <w:pPr>
              <w:jc w:val="center"/>
              <w:rPr>
                <w:rFonts w:cs="Arial"/>
                <w:color w:val="000000" w:themeColor="text1"/>
                <w:szCs w:val="16"/>
              </w:rPr>
            </w:pPr>
            <w:r w:rsidRPr="00781112">
              <w:rPr>
                <w:rFonts w:cs="Arial"/>
                <w:color w:val="000000" w:themeColor="text1"/>
                <w:szCs w:val="16"/>
              </w:rPr>
              <w:t>97.86%</w:t>
            </w:r>
          </w:p>
        </w:tc>
        <w:tc>
          <w:tcPr>
            <w:tcW w:w="833" w:type="pct"/>
            <w:tcBorders>
              <w:bottom w:val="single" w:sz="4" w:space="0" w:color="auto"/>
            </w:tcBorders>
            <w:vAlign w:val="center"/>
          </w:tcPr>
          <w:p w14:paraId="7B53B7FD" w14:textId="77777777" w:rsidR="009447A3" w:rsidRPr="00781112" w:rsidRDefault="002B7490" w:rsidP="003A4027">
            <w:pPr>
              <w:jc w:val="center"/>
              <w:rPr>
                <w:rFonts w:cs="Arial"/>
                <w:color w:val="000000" w:themeColor="text1"/>
                <w:szCs w:val="16"/>
              </w:rPr>
            </w:pPr>
            <w:r w:rsidRPr="00781112">
              <w:rPr>
                <w:rFonts w:cs="Arial"/>
                <w:color w:val="000000" w:themeColor="text1"/>
                <w:szCs w:val="16"/>
              </w:rPr>
              <w:t>98.83%</w:t>
            </w:r>
          </w:p>
        </w:tc>
        <w:tc>
          <w:tcPr>
            <w:tcW w:w="833" w:type="pct"/>
            <w:tcBorders>
              <w:bottom w:val="single" w:sz="4" w:space="0" w:color="auto"/>
            </w:tcBorders>
            <w:vAlign w:val="center"/>
          </w:tcPr>
          <w:p w14:paraId="55C66171" w14:textId="77777777" w:rsidR="009447A3" w:rsidRPr="00781112" w:rsidRDefault="002B7490" w:rsidP="003A4027">
            <w:pPr>
              <w:jc w:val="center"/>
              <w:rPr>
                <w:rFonts w:cs="Arial"/>
                <w:color w:val="000000" w:themeColor="text1"/>
                <w:szCs w:val="16"/>
              </w:rPr>
            </w:pPr>
            <w:r w:rsidRPr="00781112">
              <w:rPr>
                <w:rFonts w:cs="Arial"/>
                <w:color w:val="000000" w:themeColor="text1"/>
                <w:szCs w:val="16"/>
              </w:rPr>
              <w:t>98.95%</w:t>
            </w:r>
          </w:p>
        </w:tc>
        <w:tc>
          <w:tcPr>
            <w:tcW w:w="834" w:type="pct"/>
            <w:tcBorders>
              <w:bottom w:val="single" w:sz="4" w:space="0" w:color="auto"/>
            </w:tcBorders>
            <w:vAlign w:val="center"/>
          </w:tcPr>
          <w:p w14:paraId="369501B2" w14:textId="77777777" w:rsidR="009447A3" w:rsidRPr="00781112" w:rsidRDefault="002B7490" w:rsidP="003A4027">
            <w:pPr>
              <w:jc w:val="center"/>
              <w:rPr>
                <w:rFonts w:cs="Arial"/>
                <w:color w:val="000000" w:themeColor="text1"/>
                <w:szCs w:val="16"/>
              </w:rPr>
            </w:pPr>
            <w:r w:rsidRPr="00781112">
              <w:rPr>
                <w:rFonts w:cs="Arial"/>
                <w:color w:val="000000" w:themeColor="text1"/>
                <w:szCs w:val="16"/>
              </w:rPr>
              <w:t>100.00%</w:t>
            </w:r>
          </w:p>
        </w:tc>
      </w:tr>
    </w:tbl>
    <w:p w14:paraId="6FE45702" w14:textId="77777777" w:rsidR="00D82883" w:rsidRPr="00781112" w:rsidRDefault="00D82883" w:rsidP="004369B2">
      <w:pPr>
        <w:rPr>
          <w:color w:val="000000" w:themeColor="text1"/>
        </w:rPr>
      </w:pPr>
    </w:p>
    <w:p w14:paraId="25EAEDB3" w14:textId="77777777" w:rsidR="007A3964" w:rsidRPr="00781112" w:rsidRDefault="007A3964" w:rsidP="004369B2">
      <w:pPr>
        <w:rPr>
          <w:color w:val="000000" w:themeColor="text1"/>
        </w:rPr>
      </w:pPr>
      <w:r w:rsidRPr="00781112">
        <w:rPr>
          <w:b/>
          <w:color w:val="000000" w:themeColor="text1"/>
        </w:rPr>
        <w:t>Targets</w:t>
      </w:r>
    </w:p>
    <w:tbl>
      <w:tblPr>
        <w:tblW w:w="26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2TARGETS"/>
      </w:tblPr>
      <w:tblGrid>
        <w:gridCol w:w="679"/>
        <w:gridCol w:w="2466"/>
        <w:gridCol w:w="2645"/>
      </w:tblGrid>
      <w:tr w:rsidR="008B52D3" w:rsidRPr="00781112" w14:paraId="5B8D316A" w14:textId="77777777" w:rsidTr="00924AD9">
        <w:trPr>
          <w:trHeight w:val="328"/>
        </w:trPr>
        <w:tc>
          <w:tcPr>
            <w:tcW w:w="586" w:type="pct"/>
            <w:tcBorders>
              <w:bottom w:val="single" w:sz="4" w:space="0" w:color="auto"/>
            </w:tcBorders>
          </w:tcPr>
          <w:p w14:paraId="40ADBD2D" w14:textId="77777777" w:rsidR="008B52D3" w:rsidRPr="00781112" w:rsidRDefault="008B52D3" w:rsidP="00AF574F">
            <w:pPr>
              <w:jc w:val="center"/>
              <w:rPr>
                <w:b/>
                <w:color w:val="000000" w:themeColor="text1"/>
              </w:rPr>
            </w:pPr>
            <w:r w:rsidRPr="00781112">
              <w:rPr>
                <w:b/>
                <w:color w:val="000000" w:themeColor="text1"/>
              </w:rPr>
              <w:t>FFY</w:t>
            </w:r>
          </w:p>
        </w:tc>
        <w:tc>
          <w:tcPr>
            <w:tcW w:w="2130" w:type="pct"/>
          </w:tcPr>
          <w:p w14:paraId="643F3652" w14:textId="77777777" w:rsidR="008B52D3" w:rsidRPr="00781112" w:rsidRDefault="008B52D3" w:rsidP="00AF574F">
            <w:pPr>
              <w:jc w:val="center"/>
              <w:rPr>
                <w:b/>
                <w:color w:val="000000" w:themeColor="text1"/>
              </w:rPr>
            </w:pPr>
            <w:r w:rsidRPr="00781112">
              <w:rPr>
                <w:b/>
                <w:color w:val="000000" w:themeColor="text1"/>
              </w:rPr>
              <w:t>2024</w:t>
            </w:r>
          </w:p>
        </w:tc>
        <w:tc>
          <w:tcPr>
            <w:tcW w:w="2284" w:type="pct"/>
          </w:tcPr>
          <w:p w14:paraId="6813D2DC" w14:textId="77777777" w:rsidR="008B52D3" w:rsidRPr="00781112" w:rsidRDefault="008B52D3" w:rsidP="00AF574F">
            <w:pPr>
              <w:jc w:val="center"/>
              <w:rPr>
                <w:b/>
                <w:color w:val="000000" w:themeColor="text1"/>
              </w:rPr>
            </w:pPr>
            <w:r w:rsidRPr="00781112">
              <w:rPr>
                <w:rFonts w:cs="Arial"/>
                <w:b/>
                <w:color w:val="000000" w:themeColor="text1"/>
                <w:szCs w:val="16"/>
              </w:rPr>
              <w:t>2025</w:t>
            </w:r>
          </w:p>
        </w:tc>
      </w:tr>
      <w:tr w:rsidR="008B52D3" w:rsidRPr="00781112" w14:paraId="42268F89" w14:textId="77777777" w:rsidTr="00924AD9">
        <w:trPr>
          <w:trHeight w:val="335"/>
        </w:trPr>
        <w:tc>
          <w:tcPr>
            <w:tcW w:w="586" w:type="pct"/>
            <w:vAlign w:val="center"/>
          </w:tcPr>
          <w:p w14:paraId="52AD9423" w14:textId="77777777" w:rsidR="008B52D3" w:rsidRPr="00781112" w:rsidRDefault="008B52D3" w:rsidP="00BA3DBE">
            <w:pPr>
              <w:jc w:val="center"/>
              <w:rPr>
                <w:rFonts w:cs="Arial"/>
                <w:color w:val="000000" w:themeColor="text1"/>
                <w:szCs w:val="16"/>
              </w:rPr>
            </w:pPr>
            <w:r w:rsidRPr="00781112">
              <w:rPr>
                <w:rFonts w:cs="Arial"/>
                <w:color w:val="000000" w:themeColor="text1"/>
                <w:szCs w:val="16"/>
              </w:rPr>
              <w:t>Target</w:t>
            </w:r>
          </w:p>
        </w:tc>
        <w:tc>
          <w:tcPr>
            <w:tcW w:w="2130" w:type="pct"/>
            <w:vAlign w:val="center"/>
          </w:tcPr>
          <w:p w14:paraId="6818DA61" w14:textId="77777777" w:rsidR="008B52D3" w:rsidRPr="00781112" w:rsidRDefault="008B52D3" w:rsidP="00AF574F">
            <w:pPr>
              <w:jc w:val="center"/>
              <w:rPr>
                <w:rFonts w:cs="Arial"/>
                <w:color w:val="000000" w:themeColor="text1"/>
                <w:szCs w:val="16"/>
              </w:rPr>
            </w:pPr>
            <w:r w:rsidRPr="00781112">
              <w:rPr>
                <w:rFonts w:cs="Arial"/>
                <w:color w:val="000000" w:themeColor="text1"/>
                <w:szCs w:val="16"/>
              </w:rPr>
              <w:t>100%</w:t>
            </w:r>
          </w:p>
        </w:tc>
        <w:tc>
          <w:tcPr>
            <w:tcW w:w="2284" w:type="pct"/>
          </w:tcPr>
          <w:p w14:paraId="1C7EA903" w14:textId="77777777" w:rsidR="008B52D3" w:rsidRPr="00781112" w:rsidRDefault="008B52D3" w:rsidP="00AF574F">
            <w:pPr>
              <w:jc w:val="center"/>
              <w:rPr>
                <w:rFonts w:cs="Arial"/>
                <w:color w:val="000000" w:themeColor="text1"/>
                <w:szCs w:val="16"/>
              </w:rPr>
            </w:pPr>
            <w:r w:rsidRPr="00781112">
              <w:rPr>
                <w:color w:val="000000" w:themeColor="text1"/>
                <w:szCs w:val="16"/>
              </w:rPr>
              <w:t>100%</w:t>
            </w:r>
          </w:p>
        </w:tc>
      </w:tr>
    </w:tbl>
    <w:p w14:paraId="5C5D647E" w14:textId="77777777" w:rsidR="00D82883" w:rsidRPr="00781112" w:rsidRDefault="00D82883" w:rsidP="004369B2">
      <w:pPr>
        <w:rPr>
          <w:color w:val="000000" w:themeColor="text1"/>
        </w:rPr>
      </w:pPr>
    </w:p>
    <w:p w14:paraId="05E51AEE" w14:textId="77777777" w:rsidR="00634AD8" w:rsidRPr="00781112" w:rsidRDefault="0047313F" w:rsidP="004369B2">
      <w:pPr>
        <w:rPr>
          <w:color w:val="000000" w:themeColor="text1"/>
        </w:rPr>
      </w:pPr>
      <w:r>
        <w:rPr>
          <w:b/>
          <w:color w:val="000000" w:themeColor="text1"/>
        </w:rPr>
        <w:t>FFY 2024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2CFFYAPRDATA"/>
      </w:tblPr>
      <w:tblGrid>
        <w:gridCol w:w="9355"/>
        <w:gridCol w:w="1435"/>
      </w:tblGrid>
      <w:tr w:rsidR="005C29F8" w:rsidRPr="00781112" w14:paraId="1443804A" w14:textId="77777777" w:rsidTr="009D3860">
        <w:trPr>
          <w:trHeight w:val="350"/>
        </w:trPr>
        <w:tc>
          <w:tcPr>
            <w:tcW w:w="4335" w:type="pct"/>
          </w:tcPr>
          <w:p w14:paraId="4146D82E" w14:textId="77777777" w:rsidR="00634AD8" w:rsidRPr="00781112" w:rsidRDefault="00634AD8" w:rsidP="003E65F5">
            <w:pPr>
              <w:rPr>
                <w:rFonts w:cs="Arial"/>
                <w:color w:val="000000" w:themeColor="text1"/>
                <w:szCs w:val="16"/>
              </w:rPr>
            </w:pPr>
            <w:r w:rsidRPr="00781112">
              <w:rPr>
                <w:rFonts w:cs="Arial"/>
                <w:color w:val="000000" w:themeColor="text1"/>
                <w:szCs w:val="16"/>
              </w:rPr>
              <w:lastRenderedPageBreak/>
              <w:t xml:space="preserve">a. Number of children who have been served in Part C and referred to Part B for Part B eligibility determination. </w:t>
            </w:r>
          </w:p>
        </w:tc>
        <w:tc>
          <w:tcPr>
            <w:tcW w:w="665" w:type="pct"/>
            <w:vAlign w:val="center"/>
          </w:tcPr>
          <w:p w14:paraId="55E02DA2" w14:textId="77777777" w:rsidR="00634AD8" w:rsidRPr="00781112" w:rsidRDefault="002B7490" w:rsidP="00A018D4">
            <w:pPr>
              <w:jc w:val="center"/>
              <w:rPr>
                <w:rFonts w:cs="Arial"/>
                <w:color w:val="000000" w:themeColor="text1"/>
                <w:szCs w:val="16"/>
              </w:rPr>
            </w:pPr>
            <w:r w:rsidRPr="00781112">
              <w:rPr>
                <w:rFonts w:cs="Arial"/>
                <w:color w:val="000000" w:themeColor="text1"/>
                <w:szCs w:val="16"/>
              </w:rPr>
              <w:t>2,358</w:t>
            </w:r>
          </w:p>
        </w:tc>
      </w:tr>
      <w:tr w:rsidR="005C29F8" w:rsidRPr="00781112" w14:paraId="2DAF75FA" w14:textId="77777777" w:rsidTr="009D3860">
        <w:trPr>
          <w:trHeight w:val="357"/>
        </w:trPr>
        <w:tc>
          <w:tcPr>
            <w:tcW w:w="4335" w:type="pct"/>
          </w:tcPr>
          <w:p w14:paraId="7C9D4197"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b. Number of those referred determined to be NOT eligible and whose eligibility was determined prior to third birthday. </w:t>
            </w:r>
          </w:p>
        </w:tc>
        <w:tc>
          <w:tcPr>
            <w:tcW w:w="665" w:type="pct"/>
            <w:vAlign w:val="center"/>
          </w:tcPr>
          <w:p w14:paraId="37EA2C3A" w14:textId="77777777" w:rsidR="00634AD8" w:rsidRPr="00781112" w:rsidRDefault="002B7490" w:rsidP="00A018D4">
            <w:pPr>
              <w:jc w:val="center"/>
              <w:rPr>
                <w:rFonts w:cs="Arial"/>
                <w:color w:val="000000" w:themeColor="text1"/>
                <w:szCs w:val="16"/>
              </w:rPr>
            </w:pPr>
            <w:r w:rsidRPr="00781112">
              <w:rPr>
                <w:rFonts w:cs="Arial"/>
                <w:color w:val="000000" w:themeColor="text1"/>
                <w:szCs w:val="16"/>
              </w:rPr>
              <w:t>283</w:t>
            </w:r>
          </w:p>
        </w:tc>
      </w:tr>
      <w:tr w:rsidR="005C29F8" w:rsidRPr="00781112" w14:paraId="10AD1854" w14:textId="77777777" w:rsidTr="009D3860">
        <w:trPr>
          <w:trHeight w:val="357"/>
        </w:trPr>
        <w:tc>
          <w:tcPr>
            <w:tcW w:w="4335" w:type="pct"/>
          </w:tcPr>
          <w:p w14:paraId="3F4DC78B"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c. Number of those found eligible who have an IEP developed and implemented by their third birthdays. </w:t>
            </w:r>
          </w:p>
        </w:tc>
        <w:tc>
          <w:tcPr>
            <w:tcW w:w="665" w:type="pct"/>
            <w:vAlign w:val="center"/>
          </w:tcPr>
          <w:p w14:paraId="25ED0387" w14:textId="77777777" w:rsidR="00634AD8" w:rsidRPr="00781112" w:rsidRDefault="002B7490" w:rsidP="00A018D4">
            <w:pPr>
              <w:jc w:val="center"/>
              <w:rPr>
                <w:rFonts w:cs="Arial"/>
                <w:color w:val="000000" w:themeColor="text1"/>
                <w:szCs w:val="16"/>
              </w:rPr>
            </w:pPr>
            <w:r w:rsidRPr="00781112">
              <w:rPr>
                <w:rFonts w:cs="Arial"/>
                <w:color w:val="000000" w:themeColor="text1"/>
                <w:szCs w:val="16"/>
              </w:rPr>
              <w:t>833</w:t>
            </w:r>
          </w:p>
        </w:tc>
      </w:tr>
      <w:tr w:rsidR="005C29F8" w:rsidRPr="00781112" w14:paraId="5A4FE217" w14:textId="77777777" w:rsidTr="009D3860">
        <w:trPr>
          <w:trHeight w:val="357"/>
        </w:trPr>
        <w:tc>
          <w:tcPr>
            <w:tcW w:w="4335" w:type="pct"/>
          </w:tcPr>
          <w:p w14:paraId="5B8B1087"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d. Number for whom parent refusals to provide consent caused delays in evaluation or initial services or to whom exceptions under 34 CFR §300.301(d) applied. </w:t>
            </w:r>
          </w:p>
        </w:tc>
        <w:tc>
          <w:tcPr>
            <w:tcW w:w="665" w:type="pct"/>
            <w:vAlign w:val="center"/>
          </w:tcPr>
          <w:p w14:paraId="0105E5DC" w14:textId="77777777" w:rsidR="00634AD8" w:rsidRPr="00781112" w:rsidRDefault="002B7490" w:rsidP="00A018D4">
            <w:pPr>
              <w:jc w:val="center"/>
              <w:rPr>
                <w:rFonts w:cs="Arial"/>
                <w:color w:val="000000" w:themeColor="text1"/>
                <w:szCs w:val="16"/>
              </w:rPr>
            </w:pPr>
            <w:r w:rsidRPr="00781112">
              <w:rPr>
                <w:rFonts w:cs="Arial"/>
                <w:color w:val="000000" w:themeColor="text1"/>
                <w:szCs w:val="16"/>
              </w:rPr>
              <w:t>1,213</w:t>
            </w:r>
          </w:p>
        </w:tc>
      </w:tr>
      <w:tr w:rsidR="005C29F8" w:rsidRPr="00781112" w14:paraId="6A5DD537" w14:textId="77777777" w:rsidTr="009D3860">
        <w:trPr>
          <w:trHeight w:val="357"/>
        </w:trPr>
        <w:tc>
          <w:tcPr>
            <w:tcW w:w="4335" w:type="pct"/>
          </w:tcPr>
          <w:p w14:paraId="45A17CE6"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e. Number of children who were referred to Part C less than 90 days before their third birthdays. </w:t>
            </w:r>
          </w:p>
        </w:tc>
        <w:tc>
          <w:tcPr>
            <w:tcW w:w="665" w:type="pct"/>
            <w:vAlign w:val="center"/>
          </w:tcPr>
          <w:p w14:paraId="5F41621D" w14:textId="77777777" w:rsidR="00634AD8" w:rsidRPr="00781112" w:rsidRDefault="002B7490" w:rsidP="00A018D4">
            <w:pPr>
              <w:jc w:val="center"/>
              <w:rPr>
                <w:rFonts w:cs="Arial"/>
                <w:color w:val="000000" w:themeColor="text1"/>
                <w:szCs w:val="16"/>
              </w:rPr>
            </w:pPr>
            <w:r w:rsidRPr="00781112">
              <w:rPr>
                <w:rFonts w:cs="Arial"/>
                <w:color w:val="000000" w:themeColor="text1"/>
                <w:szCs w:val="16"/>
              </w:rPr>
              <w:t>23</w:t>
            </w:r>
          </w:p>
        </w:tc>
      </w:tr>
      <w:tr w:rsidR="004E67B3" w:rsidRPr="00781112" w14:paraId="29FA3167" w14:textId="77777777" w:rsidTr="009D3860">
        <w:trPr>
          <w:trHeight w:val="357"/>
        </w:trPr>
        <w:tc>
          <w:tcPr>
            <w:tcW w:w="4335" w:type="pct"/>
          </w:tcPr>
          <w:p w14:paraId="2CC9814A" w14:textId="77777777" w:rsidR="004E67B3" w:rsidRPr="00781112" w:rsidRDefault="004E67B3" w:rsidP="003E65F5">
            <w:pPr>
              <w:rPr>
                <w:rFonts w:cs="Arial"/>
                <w:color w:val="000000" w:themeColor="text1"/>
                <w:szCs w:val="16"/>
              </w:rPr>
            </w:pPr>
            <w:r w:rsidRPr="00781112">
              <w:rPr>
                <w:rFonts w:cs="Arial"/>
                <w:color w:val="000000" w:themeColor="text1"/>
                <w:szCs w:val="16"/>
              </w:rPr>
              <w:t>f. Number of children whose parents chose to continue early intervention services beyond the child’s third birthday through a State’s policy under 34 CFR §303.211 or a similar State option.</w:t>
            </w:r>
          </w:p>
        </w:tc>
        <w:tc>
          <w:tcPr>
            <w:tcW w:w="665" w:type="pct"/>
            <w:vAlign w:val="center"/>
          </w:tcPr>
          <w:p w14:paraId="4971B359" w14:textId="77777777" w:rsidR="004E67B3"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7E460E9C" w14:textId="77777777" w:rsidR="00634AD8" w:rsidRPr="00781112" w:rsidRDefault="00634AD8" w:rsidP="00634AD8">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2CFFYAPRDATA1"/>
      </w:tblPr>
      <w:tblGrid>
        <w:gridCol w:w="1794"/>
        <w:gridCol w:w="1285"/>
        <w:gridCol w:w="1285"/>
        <w:gridCol w:w="1285"/>
        <w:gridCol w:w="1285"/>
        <w:gridCol w:w="1285"/>
        <w:gridCol w:w="1285"/>
        <w:gridCol w:w="1286"/>
      </w:tblGrid>
      <w:tr w:rsidR="00B1652C" w:rsidRPr="00781112" w14:paraId="0250EA6A" w14:textId="77777777" w:rsidTr="0010170F">
        <w:trPr>
          <w:trHeight w:val="340"/>
          <w:tblHeader/>
        </w:trPr>
        <w:tc>
          <w:tcPr>
            <w:tcW w:w="831" w:type="pct"/>
          </w:tcPr>
          <w:p w14:paraId="60AB80D7" w14:textId="77777777" w:rsidR="00B1652C" w:rsidRPr="00781112" w:rsidRDefault="00B1652C" w:rsidP="00BA3DBE">
            <w:pPr>
              <w:jc w:val="center"/>
              <w:rPr>
                <w:rFonts w:cs="Arial"/>
                <w:b/>
                <w:bCs/>
                <w:color w:val="000000" w:themeColor="text1"/>
                <w:szCs w:val="16"/>
              </w:rPr>
            </w:pPr>
            <w:r w:rsidRPr="00781112">
              <w:rPr>
                <w:rFonts w:cs="Arial"/>
                <w:b/>
                <w:bCs/>
                <w:color w:val="000000" w:themeColor="text1"/>
                <w:szCs w:val="16"/>
              </w:rPr>
              <w:t>Measure</w:t>
            </w:r>
          </w:p>
        </w:tc>
        <w:tc>
          <w:tcPr>
            <w:tcW w:w="595" w:type="pct"/>
          </w:tcPr>
          <w:p w14:paraId="2E7A8FD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Numerator (c)</w:t>
            </w:r>
          </w:p>
        </w:tc>
        <w:tc>
          <w:tcPr>
            <w:tcW w:w="595" w:type="pct"/>
          </w:tcPr>
          <w:p w14:paraId="2EED4635" w14:textId="77777777" w:rsidR="00B1652C" w:rsidRPr="0075451F" w:rsidRDefault="00B1652C" w:rsidP="00B1652C">
            <w:pPr>
              <w:jc w:val="center"/>
              <w:rPr>
                <w:rFonts w:cs="Arial"/>
                <w:b/>
                <w:color w:val="000000" w:themeColor="text1"/>
                <w:szCs w:val="16"/>
                <w:lang w:val="es-ES"/>
              </w:rPr>
            </w:pPr>
            <w:proofErr w:type="spellStart"/>
            <w:r w:rsidRPr="0075451F">
              <w:rPr>
                <w:rFonts w:cs="Arial"/>
                <w:b/>
                <w:color w:val="000000" w:themeColor="text1"/>
                <w:szCs w:val="16"/>
                <w:lang w:val="es-ES"/>
              </w:rPr>
              <w:t>Denominator</w:t>
            </w:r>
            <w:proofErr w:type="spellEnd"/>
            <w:r w:rsidRPr="0075451F">
              <w:rPr>
                <w:rFonts w:cs="Arial"/>
                <w:b/>
                <w:color w:val="000000" w:themeColor="text1"/>
                <w:szCs w:val="16"/>
                <w:lang w:val="es-ES"/>
              </w:rPr>
              <w:t xml:space="preserve"> (a-b-d-e-f)</w:t>
            </w:r>
          </w:p>
        </w:tc>
        <w:tc>
          <w:tcPr>
            <w:tcW w:w="595" w:type="pct"/>
            <w:vAlign w:val="bottom"/>
          </w:tcPr>
          <w:p w14:paraId="5FAB38F1" w14:textId="77777777" w:rsidR="00B1652C" w:rsidRPr="006D0A52" w:rsidRDefault="00B1652C" w:rsidP="00B1652C">
            <w:pPr>
              <w:jc w:val="center"/>
              <w:rPr>
                <w:rFonts w:cs="Arial"/>
                <w:b/>
                <w:bCs/>
                <w:color w:val="000000" w:themeColor="text1"/>
                <w:szCs w:val="16"/>
              </w:rPr>
            </w:pPr>
            <w:r w:rsidRPr="006D0A52">
              <w:rPr>
                <w:b/>
                <w:bCs/>
              </w:rPr>
              <w:t>FFY 2023 Data</w:t>
            </w:r>
          </w:p>
        </w:tc>
        <w:tc>
          <w:tcPr>
            <w:tcW w:w="595" w:type="pct"/>
            <w:vAlign w:val="bottom"/>
          </w:tcPr>
          <w:p w14:paraId="46B45FA6" w14:textId="77777777" w:rsidR="00B1652C" w:rsidRPr="006D0A52" w:rsidRDefault="00B1652C" w:rsidP="00B1652C">
            <w:pPr>
              <w:jc w:val="center"/>
              <w:rPr>
                <w:rFonts w:cs="Arial"/>
                <w:b/>
                <w:bCs/>
                <w:color w:val="000000" w:themeColor="text1"/>
                <w:szCs w:val="16"/>
              </w:rPr>
            </w:pPr>
            <w:r w:rsidRPr="006D0A52">
              <w:rPr>
                <w:b/>
                <w:bCs/>
              </w:rPr>
              <w:t>FFY 2024 Target</w:t>
            </w:r>
          </w:p>
        </w:tc>
        <w:tc>
          <w:tcPr>
            <w:tcW w:w="595" w:type="pct"/>
            <w:vAlign w:val="bottom"/>
          </w:tcPr>
          <w:p w14:paraId="10C644F1" w14:textId="77777777" w:rsidR="00B1652C" w:rsidRPr="006D0A52" w:rsidRDefault="00B1652C" w:rsidP="00B1652C">
            <w:pPr>
              <w:jc w:val="center"/>
              <w:rPr>
                <w:rFonts w:cs="Arial"/>
                <w:b/>
                <w:bCs/>
                <w:color w:val="000000" w:themeColor="text1"/>
                <w:szCs w:val="16"/>
              </w:rPr>
            </w:pPr>
            <w:r w:rsidRPr="006D0A52">
              <w:rPr>
                <w:b/>
                <w:bCs/>
              </w:rPr>
              <w:t>FFY 2024 Data</w:t>
            </w:r>
          </w:p>
        </w:tc>
        <w:tc>
          <w:tcPr>
            <w:tcW w:w="595" w:type="pct"/>
          </w:tcPr>
          <w:p w14:paraId="214F78AA"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596" w:type="pct"/>
          </w:tcPr>
          <w:p w14:paraId="00D4E48F"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29005F72" w14:textId="77777777" w:rsidTr="005F2FF9">
        <w:trPr>
          <w:trHeight w:val="347"/>
        </w:trPr>
        <w:tc>
          <w:tcPr>
            <w:tcW w:w="831" w:type="pct"/>
          </w:tcPr>
          <w:p w14:paraId="753D9B47" w14:textId="77777777" w:rsidR="009447A3" w:rsidRPr="00781112" w:rsidRDefault="00616BA4" w:rsidP="009447A3">
            <w:pPr>
              <w:rPr>
                <w:rFonts w:cs="Arial"/>
                <w:color w:val="000000" w:themeColor="text1"/>
                <w:szCs w:val="16"/>
              </w:rPr>
            </w:pPr>
            <w:r w:rsidRPr="00781112">
              <w:rPr>
                <w:rFonts w:cs="Arial"/>
                <w:color w:val="000000" w:themeColor="text1"/>
                <w:szCs w:val="16"/>
              </w:rPr>
              <w:t xml:space="preserve">Percent of children </w:t>
            </w:r>
            <w:proofErr w:type="gramStart"/>
            <w:r w:rsidRPr="00781112">
              <w:rPr>
                <w:rFonts w:cs="Arial"/>
                <w:color w:val="000000" w:themeColor="text1"/>
                <w:szCs w:val="16"/>
              </w:rPr>
              <w:t>referred</w:t>
            </w:r>
            <w:proofErr w:type="gramEnd"/>
            <w:r w:rsidRPr="00781112">
              <w:rPr>
                <w:rFonts w:cs="Arial"/>
                <w:color w:val="000000" w:themeColor="text1"/>
                <w:szCs w:val="16"/>
              </w:rPr>
              <w:t xml:space="preserve"> by Part C prior to age </w:t>
            </w:r>
            <w:proofErr w:type="gramStart"/>
            <w:r w:rsidRPr="00781112">
              <w:rPr>
                <w:rFonts w:cs="Arial"/>
                <w:color w:val="000000" w:themeColor="text1"/>
                <w:szCs w:val="16"/>
              </w:rPr>
              <w:t>3 who</w:t>
            </w:r>
            <w:proofErr w:type="gramEnd"/>
            <w:r w:rsidRPr="00781112">
              <w:rPr>
                <w:rFonts w:cs="Arial"/>
                <w:color w:val="000000" w:themeColor="text1"/>
                <w:szCs w:val="16"/>
              </w:rPr>
              <w:t xml:space="preserve"> are found eligible for Part B, and who have an IEP developed and implemented by their third birthdays.</w:t>
            </w:r>
          </w:p>
        </w:tc>
        <w:tc>
          <w:tcPr>
            <w:tcW w:w="595" w:type="pct"/>
            <w:vAlign w:val="center"/>
          </w:tcPr>
          <w:p w14:paraId="577AF607" w14:textId="77777777" w:rsidR="009447A3" w:rsidRPr="00781112" w:rsidRDefault="00FA318E" w:rsidP="004369B2">
            <w:pPr>
              <w:jc w:val="center"/>
              <w:rPr>
                <w:rFonts w:cs="Arial"/>
                <w:color w:val="000000" w:themeColor="text1"/>
                <w:szCs w:val="16"/>
              </w:rPr>
            </w:pPr>
            <w:r w:rsidRPr="00781112">
              <w:rPr>
                <w:rFonts w:cs="Arial"/>
                <w:color w:val="000000" w:themeColor="text1"/>
                <w:szCs w:val="16"/>
              </w:rPr>
              <w:t>833</w:t>
            </w:r>
          </w:p>
        </w:tc>
        <w:tc>
          <w:tcPr>
            <w:tcW w:w="595" w:type="pct"/>
            <w:vAlign w:val="center"/>
          </w:tcPr>
          <w:p w14:paraId="233D462F" w14:textId="77777777" w:rsidR="009447A3" w:rsidRPr="00781112" w:rsidRDefault="00FA318E" w:rsidP="004369B2">
            <w:pPr>
              <w:jc w:val="center"/>
              <w:rPr>
                <w:rFonts w:cs="Arial"/>
                <w:color w:val="000000" w:themeColor="text1"/>
                <w:szCs w:val="16"/>
              </w:rPr>
            </w:pPr>
            <w:r w:rsidRPr="00781112">
              <w:rPr>
                <w:rFonts w:cs="Arial"/>
                <w:color w:val="000000" w:themeColor="text1"/>
                <w:szCs w:val="16"/>
              </w:rPr>
              <w:t>839</w:t>
            </w:r>
          </w:p>
        </w:tc>
        <w:tc>
          <w:tcPr>
            <w:tcW w:w="595" w:type="pct"/>
            <w:vAlign w:val="center"/>
          </w:tcPr>
          <w:p w14:paraId="00BA322C" w14:textId="77777777" w:rsidR="009447A3" w:rsidRPr="00781112" w:rsidRDefault="002B7490" w:rsidP="004369B2">
            <w:pPr>
              <w:jc w:val="center"/>
              <w:rPr>
                <w:rFonts w:cs="Arial"/>
                <w:color w:val="000000" w:themeColor="text1"/>
                <w:szCs w:val="16"/>
              </w:rPr>
            </w:pPr>
            <w:r w:rsidRPr="00781112">
              <w:rPr>
                <w:rFonts w:cs="Arial"/>
                <w:color w:val="000000" w:themeColor="text1"/>
                <w:szCs w:val="16"/>
              </w:rPr>
              <w:t>100.00%</w:t>
            </w:r>
          </w:p>
        </w:tc>
        <w:tc>
          <w:tcPr>
            <w:tcW w:w="595" w:type="pct"/>
            <w:vAlign w:val="center"/>
          </w:tcPr>
          <w:p w14:paraId="02238533" w14:textId="77777777"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95" w:type="pct"/>
            <w:vAlign w:val="center"/>
          </w:tcPr>
          <w:p w14:paraId="27B9A662" w14:textId="77777777" w:rsidR="009447A3" w:rsidRPr="00781112" w:rsidRDefault="002B7490" w:rsidP="004369B2">
            <w:pPr>
              <w:jc w:val="center"/>
              <w:rPr>
                <w:rFonts w:cs="Arial"/>
                <w:color w:val="000000" w:themeColor="text1"/>
                <w:szCs w:val="16"/>
              </w:rPr>
            </w:pPr>
            <w:r w:rsidRPr="00781112">
              <w:rPr>
                <w:rFonts w:cs="Arial"/>
                <w:color w:val="000000" w:themeColor="text1"/>
                <w:szCs w:val="16"/>
              </w:rPr>
              <w:t>99.28%</w:t>
            </w:r>
          </w:p>
        </w:tc>
        <w:tc>
          <w:tcPr>
            <w:tcW w:w="595" w:type="pct"/>
            <w:vAlign w:val="center"/>
          </w:tcPr>
          <w:p w14:paraId="1830CD10" w14:textId="77777777" w:rsidR="009447A3"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596" w:type="pct"/>
            <w:vAlign w:val="center"/>
          </w:tcPr>
          <w:p w14:paraId="2337A6A2" w14:textId="77777777" w:rsidR="009447A3"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0E5A584B" w14:textId="77777777" w:rsidR="00A5601C" w:rsidRPr="00781112" w:rsidRDefault="00A5601C" w:rsidP="007D435F">
      <w:pPr>
        <w:rPr>
          <w:rFonts w:cs="Arial"/>
          <w:b/>
          <w:color w:val="000000" w:themeColor="text1"/>
          <w:szCs w:val="16"/>
        </w:rPr>
      </w:pPr>
      <w:r w:rsidRPr="00781112">
        <w:rPr>
          <w:rFonts w:cs="Arial"/>
          <w:b/>
          <w:color w:val="000000" w:themeColor="text1"/>
          <w:szCs w:val="16"/>
        </w:rPr>
        <w:t>Number of children who served in Part C and referred to Part B for eligibility determination that are not included in b, c, d, e, or f</w:t>
      </w:r>
    </w:p>
    <w:p w14:paraId="3AF9F619" w14:textId="77777777" w:rsidR="00A5601C" w:rsidRPr="00781112" w:rsidRDefault="00A5601C" w:rsidP="007D435F">
      <w:pPr>
        <w:rPr>
          <w:rFonts w:cs="Arial"/>
          <w:color w:val="000000" w:themeColor="text1"/>
          <w:szCs w:val="16"/>
        </w:rPr>
      </w:pPr>
      <w:r w:rsidRPr="00781112">
        <w:rPr>
          <w:rFonts w:cs="Arial"/>
          <w:color w:val="000000" w:themeColor="text1"/>
          <w:szCs w:val="16"/>
        </w:rPr>
        <w:t>6</w:t>
      </w:r>
    </w:p>
    <w:p w14:paraId="2262EBCC" w14:textId="77777777" w:rsidR="00E418E6" w:rsidRPr="00781112" w:rsidRDefault="00326C0B" w:rsidP="006A01BD">
      <w:pPr>
        <w:rPr>
          <w:b/>
          <w:color w:val="000000" w:themeColor="text1"/>
        </w:rPr>
      </w:pPr>
      <w:r w:rsidRPr="00781112">
        <w:rPr>
          <w:b/>
          <w:color w:val="000000" w:themeColor="text1"/>
        </w:rPr>
        <w:t>Account for children included in (a), but not included in b, c, d, e, or f. Indicate the range of days beyond the third birthday when eligibility was determined and the IEP developed, and the reasons for the delays.</w:t>
      </w:r>
    </w:p>
    <w:p w14:paraId="47FCB0A6" w14:textId="77777777" w:rsidR="00326C0B" w:rsidRPr="00781112" w:rsidRDefault="002B7490" w:rsidP="006A01BD">
      <w:pPr>
        <w:rPr>
          <w:bCs/>
          <w:color w:val="000000" w:themeColor="text1"/>
        </w:rPr>
      </w:pPr>
      <w:r w:rsidRPr="00781112">
        <w:rPr>
          <w:bCs/>
          <w:color w:val="000000" w:themeColor="text1"/>
        </w:rPr>
        <w:t>—The range of days beyond the third birthday when eligibility was determined and the IEP developed was 1–64 days.</w:t>
      </w:r>
    </w:p>
    <w:p w14:paraId="4411AB58" w14:textId="77777777" w:rsidR="00CA787A" w:rsidRDefault="003169E9">
      <w:r>
        <w:rPr>
          <w:color w:val="000000"/>
        </w:rPr>
        <w:t>—District error was cited as the reason for the delay for the 6 children included in (a) but not in (b), (c), (d), (e), or (f).</w:t>
      </w:r>
    </w:p>
    <w:p w14:paraId="74E71D0B" w14:textId="77777777" w:rsidR="00CA787A" w:rsidRDefault="00CA787A"/>
    <w:p w14:paraId="6152132C" w14:textId="77777777" w:rsidR="00CA787A" w:rsidRDefault="003169E9">
      <w:r>
        <w:rPr>
          <w:color w:val="000000"/>
        </w:rPr>
        <w:t>Note: West Virginia does not have option (f): "Number of children whose parents chose to continue early intervention services beyond the child's third birthday through a State's policy under 34 CFR §303.211 or a similar State option."</w:t>
      </w:r>
    </w:p>
    <w:p w14:paraId="24B679A5" w14:textId="77777777" w:rsidR="00A5601C" w:rsidRPr="00781112" w:rsidRDefault="00326C0B" w:rsidP="006A01BD">
      <w:pPr>
        <w:rPr>
          <w:b/>
          <w:color w:val="000000" w:themeColor="text1"/>
        </w:rPr>
      </w:pPr>
      <w:r w:rsidRPr="00781112">
        <w:rPr>
          <w:b/>
          <w:color w:val="000000" w:themeColor="text1"/>
        </w:rPr>
        <w:t>Attach PDF table (optional)</w:t>
      </w:r>
    </w:p>
    <w:p w14:paraId="07656FAF" w14:textId="77777777" w:rsidR="00326C0B" w:rsidRPr="00781112" w:rsidRDefault="00326C0B" w:rsidP="006A01BD">
      <w:pPr>
        <w:rPr>
          <w:bCs/>
          <w:color w:val="000000" w:themeColor="text1"/>
        </w:rPr>
      </w:pPr>
      <w:bookmarkStart w:id="76" w:name="_Hlk20318414"/>
      <w:bookmarkEnd w:id="76"/>
    </w:p>
    <w:p w14:paraId="597A3DA7" w14:textId="77777777" w:rsidR="00A5601C" w:rsidRPr="00781112" w:rsidRDefault="009447A3">
      <w:pPr>
        <w:rPr>
          <w:b/>
          <w:color w:val="000000" w:themeColor="text1"/>
        </w:rPr>
      </w:pPr>
      <w:r w:rsidRPr="00781112">
        <w:rPr>
          <w:b/>
          <w:color w:val="000000" w:themeColor="text1"/>
        </w:rPr>
        <w:t>What is the source of the data provided for this indicator?</w:t>
      </w:r>
    </w:p>
    <w:p w14:paraId="419C0888" w14:textId="77777777" w:rsidR="009447A3" w:rsidRPr="00781112" w:rsidRDefault="002B7490" w:rsidP="004369B2">
      <w:pPr>
        <w:rPr>
          <w:color w:val="000000" w:themeColor="text1"/>
        </w:rPr>
      </w:pPr>
      <w:r w:rsidRPr="00781112">
        <w:rPr>
          <w:color w:val="000000" w:themeColor="text1"/>
        </w:rPr>
        <w:t>State database that includes data for the entire reporting year</w:t>
      </w:r>
    </w:p>
    <w:p w14:paraId="1A003395" w14:textId="77777777" w:rsidR="009447A3" w:rsidRPr="00781112" w:rsidRDefault="009447A3"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14C79D5E" w14:textId="77777777" w:rsidR="00326C0B" w:rsidRPr="00781112" w:rsidRDefault="002B7490" w:rsidP="008E31C4">
      <w:pPr>
        <w:rPr>
          <w:rFonts w:cs="Arial"/>
          <w:color w:val="000000" w:themeColor="text1"/>
          <w:szCs w:val="16"/>
        </w:rPr>
      </w:pPr>
      <w:r w:rsidRPr="00781112">
        <w:rPr>
          <w:rFonts w:cs="Arial"/>
          <w:color w:val="000000" w:themeColor="text1"/>
          <w:szCs w:val="16"/>
        </w:rPr>
        <w:t xml:space="preserve">The lead agency for Part C, West Virginia Birth to Three (WVBTT), is part of the West Virginia Department of Health and maintains a separate data system from WVDE. WVDE/OSE continues to require LEAs to maintain referral dates, referral sources, eligibility status, exceptionality, eligibility dates, and IEP dates for all students within the WVEIS electronic student record system. LEAs are contacted individually to verify and complete missing information as needed. Data are </w:t>
      </w:r>
      <w:proofErr w:type="gramStart"/>
      <w:r w:rsidRPr="00781112">
        <w:rPr>
          <w:rFonts w:cs="Arial"/>
          <w:color w:val="000000" w:themeColor="text1"/>
          <w:szCs w:val="16"/>
        </w:rPr>
        <w:t>extracted at least</w:t>
      </w:r>
      <w:proofErr w:type="gramEnd"/>
      <w:r w:rsidRPr="00781112">
        <w:rPr>
          <w:rFonts w:cs="Arial"/>
          <w:color w:val="000000" w:themeColor="text1"/>
          <w:szCs w:val="16"/>
        </w:rPr>
        <w:t xml:space="preserve"> annually and analyzed to verify compliance with Part C to Part B transition requirements.</w:t>
      </w:r>
    </w:p>
    <w:p w14:paraId="48ECE881" w14:textId="77777777" w:rsidR="00CA787A" w:rsidRDefault="00CA787A"/>
    <w:p w14:paraId="43A07009" w14:textId="77777777" w:rsidR="00CA787A" w:rsidRDefault="003169E9">
      <w:r>
        <w:rPr>
          <w:color w:val="000000"/>
        </w:rPr>
        <w:t>WVBTT enters each child's data into a WVEIS application, which allows the initial Child Notification demographic information to be uploaded and sent directly to the SEA and the responsible LEA by each Regional Administrative Unit (RAU) provider. For children whose initial WVBTT eligibility occurs more than 150 days prior to the third birthday, the WVBTT state office sends initial notifications for each student through the mail and electronically each month, which includes all children turning three in the following three-to-six-month period. For children whose initial WVBTT eligibility occurs within 150 days of the third birthday, the RAUs are responsible for mailing paper copies of the initial notifications to each LEA. This initial form also indicates if the notification is less than 45 days prior to the child's third birthday, which would then fall under Indicator 11 for evaluation timelines.</w:t>
      </w:r>
    </w:p>
    <w:p w14:paraId="7CF6D492" w14:textId="77777777" w:rsidR="00CA787A" w:rsidRDefault="00CA787A"/>
    <w:p w14:paraId="2445D3EF" w14:textId="77777777" w:rsidR="00CA787A" w:rsidRDefault="003169E9">
      <w:r>
        <w:rPr>
          <w:color w:val="000000"/>
        </w:rPr>
        <w:t xml:space="preserve">Procedures require the LEA representative to contact the family to discuss potential services, and if an IEP is determined to be needed, it must be implemented prior to the child turning three. If the student is found ineligible or if the student has their IEP implemented and all information is entered </w:t>
      </w:r>
      <w:proofErr w:type="gramStart"/>
      <w:r>
        <w:rPr>
          <w:color w:val="000000"/>
        </w:rPr>
        <w:t>in</w:t>
      </w:r>
      <w:proofErr w:type="gramEnd"/>
      <w:r>
        <w:rPr>
          <w:color w:val="000000"/>
        </w:rPr>
        <w:t xml:space="preserve"> WVEIS, the LEA does not need to take further action. If the LEA did not complete eligibility or if the IEP was not implemented by the time the child turned three, an LEA representative must then complete a Child Notification Form to provide the reason for the delay. The WVDE then verifies that information is entered for each child and follows up with the LEA on any noncompliance.</w:t>
      </w:r>
    </w:p>
    <w:p w14:paraId="25E04B12" w14:textId="77777777" w:rsidR="00CA787A" w:rsidRDefault="00CA787A"/>
    <w:p w14:paraId="28ACC3D0" w14:textId="77777777" w:rsidR="00CA787A" w:rsidRDefault="003169E9">
      <w:r>
        <w:rPr>
          <w:color w:val="000000"/>
        </w:rPr>
        <w:t>In SY 2024-25, WVBTT and WVDE collaborated to create an online version of the Child Notification Form, which allows LEAs to enter student outcomes that are then transmitted directly to WVDE. The new online form also notifies the new LEA and state WVBTT office if a child is incorrectly placed or moves to another school district. It also notifies WVBTT if the reason given for a delay is due to not receiving the initial notification. A new dashboard was also created so LEAs are more easily able to track their progress to ensure all children referred by WVBTT received appropriate transition to the LEA and timely Part B eligibility determinations and, as appropriate, IEP development and implementation. These changes were designed to better assist LEAs in tracking families and children who may be eligible for transition from Part C services to Part B.</w:t>
      </w:r>
    </w:p>
    <w:p w14:paraId="06E0C6FA" w14:textId="77777777" w:rsidR="00CA787A" w:rsidRDefault="00CA787A"/>
    <w:p w14:paraId="783E1213" w14:textId="77777777" w:rsidR="00CA787A" w:rsidRDefault="003169E9">
      <w:r>
        <w:rPr>
          <w:color w:val="000000"/>
        </w:rPr>
        <w:t xml:space="preserve">The Revised Transition Procedures from Part C to Part B were implemented in 2020 and are reviewed annually. The procedures, which were revised in August 2025, are posted on the WVBTT website [http://www.wvdhhr.org/birth23/trans_proc/Transition_Procedures_C_B.pdf ]. </w:t>
      </w:r>
    </w:p>
    <w:p w14:paraId="00485805" w14:textId="77777777" w:rsidR="00CA787A" w:rsidRDefault="00CA787A"/>
    <w:p w14:paraId="726567B1" w14:textId="77777777" w:rsidR="00CA787A" w:rsidRDefault="003169E9">
      <w:r>
        <w:rPr>
          <w:color w:val="000000"/>
        </w:rPr>
        <w:lastRenderedPageBreak/>
        <w:t>The Question-and-Answer document was distributed regarding the Child Find Notification process. The document was distributed to WVBTT and LEA special education directors to clarify responsibilities regarding this process. As part of the WVBTT Interagency Advisory Committee (ICC), the transition committee completed a transition guidance booklet for families. The guidance booklet is available for distribution to families and professionals [http://www.wvdhhr.org/birth23/wvbtt_trans_flip/#p=1].</w:t>
      </w:r>
    </w:p>
    <w:p w14:paraId="3747F421" w14:textId="77777777" w:rsidR="00E46206" w:rsidRPr="00781112" w:rsidRDefault="00E46206" w:rsidP="00E46206">
      <w:pPr>
        <w:rPr>
          <w:rFonts w:cs="Arial"/>
          <w:b/>
          <w:color w:val="000000" w:themeColor="text1"/>
          <w:szCs w:val="16"/>
        </w:rPr>
      </w:pPr>
      <w:r w:rsidRPr="00781112">
        <w:rPr>
          <w:rFonts w:cs="Arial"/>
          <w:b/>
          <w:color w:val="000000" w:themeColor="text1"/>
          <w:szCs w:val="16"/>
        </w:rPr>
        <w:t>Provide additional information about this indicator (optional)</w:t>
      </w:r>
    </w:p>
    <w:p w14:paraId="5E6D5D65" w14:textId="77777777" w:rsidR="00326C0B" w:rsidRPr="00781112" w:rsidRDefault="002B7490" w:rsidP="007D435F">
      <w:pPr>
        <w:rPr>
          <w:rFonts w:cs="Arial"/>
          <w:color w:val="000000" w:themeColor="text1"/>
          <w:szCs w:val="16"/>
        </w:rPr>
      </w:pPr>
      <w:r w:rsidRPr="00781112">
        <w:rPr>
          <w:rFonts w:cs="Arial"/>
          <w:color w:val="000000" w:themeColor="text1"/>
          <w:szCs w:val="16"/>
        </w:rPr>
        <w:t>The 6 individual cases of identified noncompliance occurred across 4 LEAs.</w:t>
      </w:r>
    </w:p>
    <w:p w14:paraId="24A4C981" w14:textId="77777777" w:rsidR="009C5AE7" w:rsidRPr="00781112" w:rsidRDefault="009C5AE7" w:rsidP="004369B2">
      <w:pPr>
        <w:rPr>
          <w:color w:val="000000" w:themeColor="text1"/>
        </w:rPr>
      </w:pPr>
    </w:p>
    <w:p w14:paraId="60D31D39" w14:textId="77777777" w:rsidR="009A755E" w:rsidRPr="00781112" w:rsidRDefault="00450F98" w:rsidP="004369B2">
      <w:pPr>
        <w:rPr>
          <w:color w:val="000000" w:themeColor="text1"/>
        </w:rPr>
      </w:pPr>
      <w:r>
        <w:rPr>
          <w:b/>
          <w:color w:val="000000" w:themeColor="text1"/>
        </w:rPr>
        <w:t>Correction of Findings of Noncompliance Identified in FFY 2023</w:t>
      </w:r>
    </w:p>
    <w:tbl>
      <w:tblPr>
        <w:tblStyle w:val="TableGrid"/>
        <w:tblW w:w="5000" w:type="pct"/>
        <w:tblLook w:val="04A0" w:firstRow="1" w:lastRow="0" w:firstColumn="1" w:lastColumn="0" w:noHBand="0" w:noVBand="1"/>
        <w:tblCaption w:val="B12PFFYNCFINDINGS"/>
      </w:tblPr>
      <w:tblGrid>
        <w:gridCol w:w="2650"/>
        <w:gridCol w:w="2780"/>
        <w:gridCol w:w="2656"/>
        <w:gridCol w:w="2704"/>
      </w:tblGrid>
      <w:tr w:rsidR="005C29F8" w:rsidRPr="00781112" w14:paraId="1B5C9AB7" w14:textId="77777777" w:rsidTr="00455889">
        <w:trPr>
          <w:trHeight w:val="389"/>
          <w:tblHeader/>
        </w:trPr>
        <w:tc>
          <w:tcPr>
            <w:tcW w:w="1228" w:type="pct"/>
            <w:vAlign w:val="bottom"/>
          </w:tcPr>
          <w:p w14:paraId="1E14F8DD"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vAlign w:val="bottom"/>
          </w:tcPr>
          <w:p w14:paraId="259BF201"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vAlign w:val="bottom"/>
          </w:tcPr>
          <w:p w14:paraId="6A9FE14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vAlign w:val="bottom"/>
          </w:tcPr>
          <w:p w14:paraId="12928DF5"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7C0B0DD2" w14:textId="77777777" w:rsidTr="00455889">
        <w:tc>
          <w:tcPr>
            <w:tcW w:w="1228" w:type="pct"/>
          </w:tcPr>
          <w:p w14:paraId="4AA8267C" w14:textId="77777777"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88" w:type="pct"/>
          </w:tcPr>
          <w:p w14:paraId="2FD9523E" w14:textId="77777777"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31" w:type="pct"/>
          </w:tcPr>
          <w:p w14:paraId="3F34DD47" w14:textId="77777777"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54" w:type="pct"/>
          </w:tcPr>
          <w:p w14:paraId="6A19D4F1" w14:textId="77777777"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4F1E1D2F" w14:textId="77777777" w:rsidR="00541D9E" w:rsidRPr="002E2B1D" w:rsidRDefault="00541D9E" w:rsidP="00541D9E">
      <w:pPr>
        <w:keepNext/>
        <w:spacing w:after="0"/>
        <w:rPr>
          <w:rFonts w:eastAsia="Times New Roman" w:cs="Arial"/>
          <w:b/>
          <w:szCs w:val="16"/>
        </w:rPr>
      </w:pPr>
      <w:r w:rsidRPr="002E2B1D">
        <w:rPr>
          <w:rFonts w:eastAsia="Times New Roman" w:cs="Arial"/>
          <w:b/>
          <w:szCs w:val="16"/>
        </w:rPr>
        <w:t xml:space="preserve">If procedures have been adopted that permit LEAs to correct noncompliance prior to the State’s issuance of a finding (i.e., pre-finding correction), describe how, for instances of noncompliance discovered in FFY 2023, the State verified: (1) that the source of noncompliance is correctly implementing the regulatory requirements; </w:t>
      </w:r>
      <w:proofErr w:type="gramStart"/>
      <w:r w:rsidRPr="002E2B1D">
        <w:rPr>
          <w:rFonts w:eastAsia="Times New Roman" w:cs="Arial"/>
          <w:b/>
          <w:szCs w:val="16"/>
        </w:rPr>
        <w:t>and,</w:t>
      </w:r>
      <w:proofErr w:type="gramEnd"/>
      <w:r w:rsidRPr="002E2B1D">
        <w:rPr>
          <w:rFonts w:eastAsia="Times New Roman" w:cs="Arial"/>
          <w:b/>
          <w:szCs w:val="16"/>
        </w:rPr>
        <w:t xml:space="preserve"> (2) each individual case of noncompliance was corrected. </w:t>
      </w:r>
    </w:p>
    <w:p w14:paraId="5152837E" w14:textId="77777777" w:rsidR="00541D9E" w:rsidRPr="008C215C" w:rsidRDefault="00541D9E" w:rsidP="00541D9E">
      <w:r w:rsidRPr="008C215C">
        <w:t>WVDE/OSE has not adopted procedures that permit LEAs to correct identified noncompliance prior to the issuance of a finding.</w:t>
      </w:r>
    </w:p>
    <w:p w14:paraId="658B566F" w14:textId="77777777" w:rsidR="009A755E" w:rsidRPr="00781112" w:rsidRDefault="00450F98" w:rsidP="004369B2">
      <w:pPr>
        <w:rPr>
          <w:color w:val="000000" w:themeColor="text1"/>
        </w:rPr>
      </w:pPr>
      <w:r>
        <w:rPr>
          <w:b/>
          <w:color w:val="000000" w:themeColor="text1"/>
        </w:rPr>
        <w:t>Correction of Findings of Noncompliance Identified Prior to FFY 2023</w:t>
      </w:r>
    </w:p>
    <w:tbl>
      <w:tblPr>
        <w:tblStyle w:val="TableGrid"/>
        <w:tblW w:w="5000" w:type="pct"/>
        <w:tblLook w:val="04A0" w:firstRow="1" w:lastRow="0" w:firstColumn="1" w:lastColumn="0" w:noHBand="0" w:noVBand="1"/>
        <w:tblCaption w:val="B12PPFFYNCFINDINGS"/>
      </w:tblPr>
      <w:tblGrid>
        <w:gridCol w:w="2192"/>
        <w:gridCol w:w="2935"/>
        <w:gridCol w:w="2924"/>
        <w:gridCol w:w="2739"/>
      </w:tblGrid>
      <w:tr w:rsidR="005C29F8" w:rsidRPr="00781112" w14:paraId="20181095" w14:textId="77777777" w:rsidTr="00AB0D6A">
        <w:trPr>
          <w:tblHeader/>
        </w:trPr>
        <w:tc>
          <w:tcPr>
            <w:tcW w:w="1016" w:type="pct"/>
            <w:vAlign w:val="bottom"/>
          </w:tcPr>
          <w:p w14:paraId="2D7FBC1D" w14:textId="77777777"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60" w:type="pct"/>
            <w:vAlign w:val="bottom"/>
          </w:tcPr>
          <w:p w14:paraId="18606B92" w14:textId="77777777"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2023 APR</w:t>
            </w:r>
          </w:p>
        </w:tc>
        <w:tc>
          <w:tcPr>
            <w:tcW w:w="1355" w:type="pct"/>
            <w:vAlign w:val="bottom"/>
          </w:tcPr>
          <w:p w14:paraId="460B7B02"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69" w:type="pct"/>
            <w:vAlign w:val="bottom"/>
          </w:tcPr>
          <w:p w14:paraId="417AD3B1"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59A5EF9E" w14:textId="77777777" w:rsidTr="00AB0D6A">
        <w:tc>
          <w:tcPr>
            <w:tcW w:w="1016" w:type="pct"/>
          </w:tcPr>
          <w:p w14:paraId="5640F174" w14:textId="77777777" w:rsidR="009A755E" w:rsidRPr="00781112" w:rsidRDefault="009A755E" w:rsidP="00A018D4">
            <w:pPr>
              <w:jc w:val="center"/>
              <w:rPr>
                <w:rFonts w:cs="Arial"/>
                <w:color w:val="000000" w:themeColor="text1"/>
                <w:szCs w:val="16"/>
              </w:rPr>
            </w:pPr>
          </w:p>
        </w:tc>
        <w:tc>
          <w:tcPr>
            <w:tcW w:w="1360" w:type="pct"/>
          </w:tcPr>
          <w:p w14:paraId="147BDA5E" w14:textId="77777777" w:rsidR="009A755E" w:rsidRPr="00781112" w:rsidRDefault="009A755E">
            <w:pPr>
              <w:jc w:val="center"/>
              <w:rPr>
                <w:rFonts w:cs="Arial"/>
                <w:noProof/>
                <w:color w:val="000000" w:themeColor="text1"/>
                <w:szCs w:val="16"/>
              </w:rPr>
            </w:pPr>
          </w:p>
        </w:tc>
        <w:tc>
          <w:tcPr>
            <w:tcW w:w="1355" w:type="pct"/>
          </w:tcPr>
          <w:p w14:paraId="6E74F8D9" w14:textId="77777777" w:rsidR="009A755E" w:rsidRPr="00781112" w:rsidRDefault="009A755E">
            <w:pPr>
              <w:jc w:val="center"/>
              <w:rPr>
                <w:rFonts w:cs="Arial"/>
                <w:noProof/>
                <w:color w:val="000000" w:themeColor="text1"/>
                <w:szCs w:val="16"/>
              </w:rPr>
            </w:pPr>
          </w:p>
        </w:tc>
        <w:tc>
          <w:tcPr>
            <w:tcW w:w="1269" w:type="pct"/>
          </w:tcPr>
          <w:p w14:paraId="187B9F96" w14:textId="77777777" w:rsidR="009A755E" w:rsidRPr="00781112" w:rsidRDefault="009A755E">
            <w:pPr>
              <w:jc w:val="center"/>
              <w:rPr>
                <w:rFonts w:cs="Arial"/>
                <w:noProof/>
                <w:color w:val="000000" w:themeColor="text1"/>
                <w:szCs w:val="16"/>
              </w:rPr>
            </w:pPr>
          </w:p>
        </w:tc>
      </w:tr>
      <w:tr w:rsidR="005C29F8" w:rsidRPr="00781112" w14:paraId="62517648" w14:textId="77777777" w:rsidTr="00AB0D6A">
        <w:tc>
          <w:tcPr>
            <w:tcW w:w="1016" w:type="pct"/>
          </w:tcPr>
          <w:p w14:paraId="4DE66E18" w14:textId="77777777" w:rsidR="009A755E" w:rsidRPr="00781112" w:rsidRDefault="009A755E" w:rsidP="00A018D4">
            <w:pPr>
              <w:jc w:val="center"/>
              <w:rPr>
                <w:rFonts w:cs="Arial"/>
                <w:color w:val="000000" w:themeColor="text1"/>
                <w:szCs w:val="16"/>
              </w:rPr>
            </w:pPr>
          </w:p>
        </w:tc>
        <w:tc>
          <w:tcPr>
            <w:tcW w:w="1360" w:type="pct"/>
          </w:tcPr>
          <w:p w14:paraId="1C1A6590" w14:textId="77777777" w:rsidR="009A755E" w:rsidRPr="00781112" w:rsidRDefault="009A755E">
            <w:pPr>
              <w:jc w:val="center"/>
              <w:rPr>
                <w:rFonts w:cs="Arial"/>
                <w:noProof/>
                <w:color w:val="000000" w:themeColor="text1"/>
                <w:szCs w:val="16"/>
              </w:rPr>
            </w:pPr>
          </w:p>
        </w:tc>
        <w:tc>
          <w:tcPr>
            <w:tcW w:w="1355" w:type="pct"/>
          </w:tcPr>
          <w:p w14:paraId="3BB70CCB" w14:textId="77777777" w:rsidR="009A755E" w:rsidRPr="00781112" w:rsidRDefault="009A755E">
            <w:pPr>
              <w:jc w:val="center"/>
              <w:rPr>
                <w:rFonts w:cs="Arial"/>
                <w:noProof/>
                <w:color w:val="000000" w:themeColor="text1"/>
                <w:szCs w:val="16"/>
              </w:rPr>
            </w:pPr>
          </w:p>
        </w:tc>
        <w:tc>
          <w:tcPr>
            <w:tcW w:w="1269" w:type="pct"/>
          </w:tcPr>
          <w:p w14:paraId="7872AC86" w14:textId="77777777" w:rsidR="009A755E" w:rsidRPr="00781112" w:rsidRDefault="009A755E">
            <w:pPr>
              <w:jc w:val="center"/>
              <w:rPr>
                <w:rFonts w:cs="Arial"/>
                <w:noProof/>
                <w:color w:val="000000" w:themeColor="text1"/>
                <w:szCs w:val="16"/>
              </w:rPr>
            </w:pPr>
          </w:p>
        </w:tc>
      </w:tr>
      <w:tr w:rsidR="005C29F8" w:rsidRPr="00781112" w14:paraId="3F124672" w14:textId="77777777" w:rsidTr="00AB0D6A">
        <w:tc>
          <w:tcPr>
            <w:tcW w:w="1016" w:type="pct"/>
          </w:tcPr>
          <w:p w14:paraId="6A338DAF" w14:textId="77777777" w:rsidR="009A755E" w:rsidRPr="00781112" w:rsidRDefault="009A755E" w:rsidP="00A018D4">
            <w:pPr>
              <w:jc w:val="center"/>
              <w:rPr>
                <w:rFonts w:cs="Arial"/>
                <w:color w:val="000000" w:themeColor="text1"/>
                <w:szCs w:val="16"/>
              </w:rPr>
            </w:pPr>
          </w:p>
        </w:tc>
        <w:tc>
          <w:tcPr>
            <w:tcW w:w="1360" w:type="pct"/>
          </w:tcPr>
          <w:p w14:paraId="56CF5122" w14:textId="77777777" w:rsidR="009A755E" w:rsidRPr="00781112" w:rsidRDefault="009A755E">
            <w:pPr>
              <w:jc w:val="center"/>
              <w:rPr>
                <w:rFonts w:cs="Arial"/>
                <w:noProof/>
                <w:color w:val="000000" w:themeColor="text1"/>
                <w:szCs w:val="16"/>
              </w:rPr>
            </w:pPr>
          </w:p>
        </w:tc>
        <w:tc>
          <w:tcPr>
            <w:tcW w:w="1355" w:type="pct"/>
          </w:tcPr>
          <w:p w14:paraId="6A686808" w14:textId="77777777" w:rsidR="009A755E" w:rsidRPr="00781112" w:rsidRDefault="009A755E">
            <w:pPr>
              <w:jc w:val="center"/>
              <w:rPr>
                <w:rFonts w:cs="Arial"/>
                <w:noProof/>
                <w:color w:val="000000" w:themeColor="text1"/>
                <w:szCs w:val="16"/>
              </w:rPr>
            </w:pPr>
          </w:p>
        </w:tc>
        <w:tc>
          <w:tcPr>
            <w:tcW w:w="1269" w:type="pct"/>
          </w:tcPr>
          <w:p w14:paraId="426BDD36" w14:textId="77777777" w:rsidR="009A755E" w:rsidRPr="00781112" w:rsidRDefault="009A755E">
            <w:pPr>
              <w:jc w:val="center"/>
              <w:rPr>
                <w:rFonts w:cs="Arial"/>
                <w:noProof/>
                <w:color w:val="000000" w:themeColor="text1"/>
                <w:szCs w:val="16"/>
              </w:rPr>
            </w:pPr>
          </w:p>
        </w:tc>
      </w:tr>
      <w:tr w:rsidR="00427654" w:rsidRPr="00781112" w14:paraId="5499D05A" w14:textId="77777777" w:rsidTr="00AB0D6A">
        <w:tc>
          <w:tcPr>
            <w:tcW w:w="1016" w:type="pct"/>
          </w:tcPr>
          <w:p w14:paraId="3B25577C" w14:textId="77777777" w:rsidR="00427654" w:rsidRPr="00781112" w:rsidRDefault="00427654" w:rsidP="00427654">
            <w:pPr>
              <w:jc w:val="center"/>
              <w:rPr>
                <w:rFonts w:cs="Arial"/>
                <w:color w:val="000000" w:themeColor="text1"/>
                <w:szCs w:val="16"/>
              </w:rPr>
            </w:pPr>
          </w:p>
        </w:tc>
        <w:tc>
          <w:tcPr>
            <w:tcW w:w="1360" w:type="pct"/>
          </w:tcPr>
          <w:p w14:paraId="229A023F" w14:textId="77777777" w:rsidR="00427654" w:rsidRPr="00781112" w:rsidRDefault="00427654" w:rsidP="00427654">
            <w:pPr>
              <w:jc w:val="center"/>
              <w:rPr>
                <w:rFonts w:cs="Arial"/>
                <w:color w:val="000000" w:themeColor="text1"/>
                <w:szCs w:val="16"/>
              </w:rPr>
            </w:pPr>
          </w:p>
        </w:tc>
        <w:tc>
          <w:tcPr>
            <w:tcW w:w="1355" w:type="pct"/>
          </w:tcPr>
          <w:p w14:paraId="0954E855" w14:textId="77777777" w:rsidR="00427654" w:rsidRPr="00781112" w:rsidRDefault="00427654" w:rsidP="00427654">
            <w:pPr>
              <w:jc w:val="center"/>
              <w:rPr>
                <w:rFonts w:cs="Arial"/>
                <w:color w:val="000000" w:themeColor="text1"/>
                <w:szCs w:val="16"/>
              </w:rPr>
            </w:pPr>
          </w:p>
        </w:tc>
        <w:tc>
          <w:tcPr>
            <w:tcW w:w="1269" w:type="pct"/>
          </w:tcPr>
          <w:p w14:paraId="1961B642" w14:textId="77777777" w:rsidR="00427654" w:rsidRPr="00781112" w:rsidRDefault="00427654" w:rsidP="00427654">
            <w:pPr>
              <w:jc w:val="center"/>
              <w:rPr>
                <w:rFonts w:cs="Arial"/>
                <w:color w:val="000000" w:themeColor="text1"/>
                <w:szCs w:val="16"/>
              </w:rPr>
            </w:pPr>
          </w:p>
        </w:tc>
      </w:tr>
      <w:tr w:rsidR="00427654" w:rsidRPr="00781112" w14:paraId="6129F4CE" w14:textId="77777777" w:rsidTr="00AB0D6A">
        <w:tc>
          <w:tcPr>
            <w:tcW w:w="1016" w:type="pct"/>
          </w:tcPr>
          <w:p w14:paraId="2BDAE663" w14:textId="77777777" w:rsidR="00427654" w:rsidRPr="00781112" w:rsidRDefault="00427654" w:rsidP="00427654">
            <w:pPr>
              <w:jc w:val="center"/>
              <w:rPr>
                <w:rFonts w:cs="Arial"/>
                <w:color w:val="000000" w:themeColor="text1"/>
                <w:szCs w:val="16"/>
              </w:rPr>
            </w:pPr>
          </w:p>
        </w:tc>
        <w:tc>
          <w:tcPr>
            <w:tcW w:w="1360" w:type="pct"/>
          </w:tcPr>
          <w:p w14:paraId="07C527B4" w14:textId="77777777" w:rsidR="00427654" w:rsidRPr="00781112" w:rsidRDefault="00427654" w:rsidP="00427654">
            <w:pPr>
              <w:jc w:val="center"/>
              <w:rPr>
                <w:rFonts w:cs="Arial"/>
                <w:color w:val="000000" w:themeColor="text1"/>
                <w:szCs w:val="16"/>
              </w:rPr>
            </w:pPr>
          </w:p>
        </w:tc>
        <w:tc>
          <w:tcPr>
            <w:tcW w:w="1355" w:type="pct"/>
          </w:tcPr>
          <w:p w14:paraId="3190DFA9" w14:textId="77777777" w:rsidR="00427654" w:rsidRPr="00781112" w:rsidRDefault="00427654" w:rsidP="00427654">
            <w:pPr>
              <w:jc w:val="center"/>
              <w:rPr>
                <w:rFonts w:cs="Arial"/>
                <w:color w:val="000000" w:themeColor="text1"/>
                <w:szCs w:val="16"/>
              </w:rPr>
            </w:pPr>
          </w:p>
        </w:tc>
        <w:tc>
          <w:tcPr>
            <w:tcW w:w="1269" w:type="pct"/>
          </w:tcPr>
          <w:p w14:paraId="1DE123DF" w14:textId="77777777" w:rsidR="00427654" w:rsidRPr="00781112" w:rsidRDefault="00427654" w:rsidP="00427654">
            <w:pPr>
              <w:jc w:val="center"/>
              <w:rPr>
                <w:rFonts w:cs="Arial"/>
                <w:color w:val="000000" w:themeColor="text1"/>
                <w:szCs w:val="16"/>
              </w:rPr>
            </w:pPr>
          </w:p>
        </w:tc>
      </w:tr>
    </w:tbl>
    <w:p w14:paraId="21A17807" w14:textId="77777777" w:rsidR="00427654" w:rsidRPr="00781112" w:rsidRDefault="00427654" w:rsidP="00455889">
      <w:pPr>
        <w:rPr>
          <w:rFonts w:cs="Arial"/>
          <w:color w:val="000000" w:themeColor="text1"/>
          <w:szCs w:val="16"/>
        </w:rPr>
      </w:pPr>
    </w:p>
    <w:p w14:paraId="4A865B51" w14:textId="77777777" w:rsidR="004E2151" w:rsidRPr="00781112" w:rsidRDefault="00056350" w:rsidP="00123D76">
      <w:pPr>
        <w:pStyle w:val="Heading2"/>
      </w:pPr>
      <w:r w:rsidRPr="00781112">
        <w:t>12</w:t>
      </w:r>
      <w:r w:rsidR="004838A4" w:rsidRPr="00781112">
        <w:t xml:space="preserve"> </w:t>
      </w:r>
      <w:r w:rsidRPr="00781112">
        <w:t xml:space="preserve">- </w:t>
      </w:r>
      <w:r w:rsidR="004E2151" w:rsidRPr="00781112">
        <w:t>Prior FFY Required Actions</w:t>
      </w:r>
    </w:p>
    <w:p w14:paraId="1F6A03CD" w14:textId="77777777" w:rsidR="009F69E7" w:rsidRPr="00781112" w:rsidRDefault="002B7490" w:rsidP="004E2151">
      <w:pPr>
        <w:rPr>
          <w:rFonts w:cs="Arial"/>
          <w:color w:val="000000" w:themeColor="text1"/>
          <w:szCs w:val="16"/>
        </w:rPr>
      </w:pPr>
      <w:r w:rsidRPr="00781112">
        <w:rPr>
          <w:rFonts w:cs="Arial"/>
          <w:color w:val="000000" w:themeColor="text1"/>
          <w:szCs w:val="16"/>
        </w:rPr>
        <w:t>None</w:t>
      </w:r>
    </w:p>
    <w:p w14:paraId="41208CFD" w14:textId="77777777" w:rsidR="007F5071" w:rsidRPr="00781112" w:rsidRDefault="00056350" w:rsidP="00123D76">
      <w:pPr>
        <w:pStyle w:val="Heading2"/>
      </w:pPr>
      <w:r w:rsidRPr="00781112">
        <w:t>12 - OSEP Response</w:t>
      </w:r>
    </w:p>
    <w:p w14:paraId="18CDA49F" w14:textId="77777777" w:rsidR="00326C0B" w:rsidRPr="00781112" w:rsidRDefault="00326C0B" w:rsidP="00212954">
      <w:pPr>
        <w:rPr>
          <w:rFonts w:cs="Arial"/>
          <w:color w:val="000000" w:themeColor="text1"/>
          <w:szCs w:val="16"/>
        </w:rPr>
      </w:pPr>
    </w:p>
    <w:p w14:paraId="24313205" w14:textId="77777777" w:rsidR="007F5071" w:rsidRPr="00781112" w:rsidRDefault="00056350" w:rsidP="00123D76">
      <w:pPr>
        <w:pStyle w:val="Heading2"/>
      </w:pPr>
      <w:r w:rsidRPr="00781112">
        <w:t>12 - Required Actions</w:t>
      </w:r>
    </w:p>
    <w:p w14:paraId="0E589D85" w14:textId="77777777" w:rsidR="00326C0B" w:rsidRPr="00781112" w:rsidRDefault="002B7490" w:rsidP="00212954">
      <w:pPr>
        <w:rPr>
          <w:rFonts w:cs="Arial"/>
          <w:color w:val="000000" w:themeColor="text1"/>
          <w:szCs w:val="16"/>
        </w:rPr>
      </w:pPr>
      <w:r w:rsidRPr="00781112">
        <w:rPr>
          <w:rFonts w:cs="Arial"/>
          <w:color w:val="000000" w:themeColor="text1"/>
          <w:szCs w:val="16"/>
        </w:rPr>
        <w:t>Because the State reported less than 100% compliance for FFY 2024, the State must report on the status of correction of noncompliance identified in FFY 2024 for this indicator. When reporting on the correction of noncompliance, the State must report, in the FFY 2025 SPP/APR, that it has verified that each LEA with noncompliance identified in FFY 2024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and no outstanding corrective action exists under a State complaint or due process hearing decision for the child, consistent with OSEP QA 23-01. In the FFY 2025 SPP/APR, the State must describe the specific actions that were taken to verify the correction. If the State did not identify any findings of noncompliance in FFY 2024, although its FFY 2024 data reflect less than 100% compliance, provide an explanation of why the State did not identify any findings. If the State did not issue any findings because it has adopted procedures that permit its LEAs to correct noncompliance prior to the State's issuance of a finding, the explanation must include how the State verified, prior to issuing a finding, that the LEA has corrected each individual case of child-specific noncompliance and is correctly implementing the specific regulatory requirements.</w:t>
      </w:r>
    </w:p>
    <w:p w14:paraId="789FB787"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2250A96F" w14:textId="77777777" w:rsidR="00D03701" w:rsidRPr="00781112" w:rsidRDefault="00D03701" w:rsidP="000444E2">
      <w:pPr>
        <w:pStyle w:val="Heading1"/>
        <w:rPr>
          <w:color w:val="000000" w:themeColor="text1"/>
          <w:sz w:val="22"/>
        </w:rPr>
      </w:pPr>
      <w:r w:rsidRPr="00781112">
        <w:rPr>
          <w:color w:val="000000" w:themeColor="text1"/>
          <w:sz w:val="22"/>
        </w:rPr>
        <w:lastRenderedPageBreak/>
        <w:t>Indicator 13: Secondary Transition</w:t>
      </w:r>
    </w:p>
    <w:p w14:paraId="0B80D6AD" w14:textId="77777777" w:rsidR="00D04044" w:rsidRPr="002C274F" w:rsidRDefault="00D04044" w:rsidP="002C274F">
      <w:pPr>
        <w:rPr>
          <w:b/>
          <w:bCs/>
          <w:sz w:val="20"/>
          <w:szCs w:val="20"/>
        </w:rPr>
      </w:pPr>
      <w:bookmarkStart w:id="77" w:name="_Toc384383363"/>
      <w:bookmarkStart w:id="78" w:name="_Toc392159331"/>
      <w:r w:rsidRPr="002C274F">
        <w:rPr>
          <w:b/>
          <w:bCs/>
          <w:sz w:val="20"/>
          <w:szCs w:val="20"/>
        </w:rPr>
        <w:t>Instructions and Measurement</w:t>
      </w:r>
    </w:p>
    <w:p w14:paraId="68B86C08" w14:textId="77777777" w:rsidR="001F3A65" w:rsidRPr="00781112" w:rsidRDefault="001F3A65" w:rsidP="009447A3">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Effective Transition</w:t>
      </w:r>
    </w:p>
    <w:p w14:paraId="06157029" w14:textId="77777777" w:rsidR="0096257C" w:rsidRPr="00781112" w:rsidRDefault="001F3A65" w:rsidP="009447A3">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youth with IEPs aged 16 and above with an IEP that includes appropriate measurable postsecondary goals that are annually updated and based upon an </w:t>
      </w:r>
      <w:proofErr w:type="gramStart"/>
      <w:r w:rsidRPr="00781112">
        <w:rPr>
          <w:rFonts w:cs="Arial"/>
          <w:color w:val="000000" w:themeColor="text1"/>
          <w:szCs w:val="16"/>
        </w:rPr>
        <w:t>age appropriate</w:t>
      </w:r>
      <w:proofErr w:type="gramEnd"/>
      <w:r w:rsidRPr="00781112">
        <w:rPr>
          <w:rFonts w:cs="Arial"/>
          <w:color w:val="000000" w:themeColor="text1"/>
          <w:szCs w:val="16"/>
        </w:rPr>
        <w:t xml:space="preserve"> transition assessment, transition services including courses of study that will reasonably enable the student to meet those postsecondary goals, and annual IEP goals related to the student’s transition </w:t>
      </w:r>
      <w:proofErr w:type="spellStart"/>
      <w:r w:rsidRPr="00781112">
        <w:rPr>
          <w:rFonts w:cs="Arial"/>
          <w:color w:val="000000" w:themeColor="text1"/>
          <w:szCs w:val="16"/>
        </w:rPr>
        <w:t>services</w:t>
      </w:r>
      <w:proofErr w:type="spellEnd"/>
      <w:r w:rsidRPr="00781112">
        <w:rPr>
          <w:rFonts w:cs="Arial"/>
          <w:color w:val="000000" w:themeColor="text1"/>
          <w:szCs w:val="16"/>
        </w:rPr>
        <w:t xml:space="preserve"> needs. There also must be evidence that the student was invited to the IEP Team meeting where transition services are to be discussed and evidence that, if appropriate, a representative of any participating agency </w:t>
      </w:r>
      <w:r w:rsidR="00C973D4" w:rsidRPr="00781112">
        <w:rPr>
          <w:rFonts w:cs="Arial"/>
          <w:szCs w:val="16"/>
        </w:rPr>
        <w:t xml:space="preserve">that is likely to be responsible for providing or paying for transition services, including, if appropriate, pre-employment transition services, </w:t>
      </w:r>
      <w:r w:rsidRPr="00781112">
        <w:rPr>
          <w:rFonts w:cs="Arial"/>
          <w:color w:val="000000" w:themeColor="text1"/>
          <w:szCs w:val="16"/>
        </w:rPr>
        <w:t>was invited to the IEP Team meeting with the prior consent of the parent or student who has reached the age of majority.</w:t>
      </w:r>
    </w:p>
    <w:p w14:paraId="7F7C9508" w14:textId="77777777" w:rsidR="001F3A65" w:rsidRPr="00781112" w:rsidRDefault="001F3A65" w:rsidP="009447A3">
      <w:pPr>
        <w:rPr>
          <w:rFonts w:cs="Arial"/>
          <w:color w:val="000000" w:themeColor="text1"/>
          <w:szCs w:val="16"/>
        </w:rPr>
      </w:pPr>
      <w:r w:rsidRPr="00781112">
        <w:rPr>
          <w:rFonts w:cs="Arial"/>
          <w:color w:val="000000" w:themeColor="text1"/>
          <w:szCs w:val="16"/>
        </w:rPr>
        <w:t xml:space="preserve"> (20 U.S.C. 1416(a)(3)(B))</w:t>
      </w:r>
    </w:p>
    <w:p w14:paraId="696E4053" w14:textId="77777777" w:rsidR="0096257C" w:rsidRPr="00781112" w:rsidRDefault="0096257C" w:rsidP="004369B2">
      <w:pPr>
        <w:rPr>
          <w:color w:val="000000" w:themeColor="text1"/>
        </w:rPr>
      </w:pPr>
      <w:r w:rsidRPr="00781112">
        <w:rPr>
          <w:b/>
          <w:color w:val="000000" w:themeColor="text1"/>
        </w:rPr>
        <w:t>Data Source</w:t>
      </w:r>
    </w:p>
    <w:p w14:paraId="45A6AA10" w14:textId="77777777" w:rsidR="0096257C" w:rsidRPr="00781112" w:rsidRDefault="0096257C"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w:t>
      </w:r>
    </w:p>
    <w:p w14:paraId="25D6EF99" w14:textId="77777777" w:rsidR="0096257C" w:rsidRPr="00781112" w:rsidRDefault="0096257C" w:rsidP="004369B2">
      <w:pPr>
        <w:rPr>
          <w:color w:val="000000" w:themeColor="text1"/>
        </w:rPr>
      </w:pPr>
      <w:r w:rsidRPr="00781112">
        <w:rPr>
          <w:b/>
          <w:color w:val="000000" w:themeColor="text1"/>
        </w:rPr>
        <w:t>Measurement</w:t>
      </w:r>
    </w:p>
    <w:p w14:paraId="41B27482" w14:textId="77777777" w:rsidR="00B67038" w:rsidRPr="00781112" w:rsidRDefault="00B67038" w:rsidP="00286BDF">
      <w:pPr>
        <w:rPr>
          <w:rFonts w:cs="Arial"/>
          <w:color w:val="000000" w:themeColor="text1"/>
          <w:szCs w:val="16"/>
        </w:rPr>
      </w:pPr>
      <w:r w:rsidRPr="00781112">
        <w:rPr>
          <w:rFonts w:cs="Arial"/>
          <w:color w:val="000000" w:themeColor="text1"/>
          <w:szCs w:val="16"/>
        </w:rPr>
        <w:t xml:space="preserve">Percent = [(# of youth with IEPs aged 16 and above with an IEP that includes appropriate measurable postsecondary goals that are annually updated and based upon an </w:t>
      </w:r>
      <w:proofErr w:type="gramStart"/>
      <w:r w:rsidRPr="00781112">
        <w:rPr>
          <w:rFonts w:cs="Arial"/>
          <w:color w:val="000000" w:themeColor="text1"/>
          <w:szCs w:val="16"/>
        </w:rPr>
        <w:t>age appropriate</w:t>
      </w:r>
      <w:proofErr w:type="gramEnd"/>
      <w:r w:rsidRPr="00781112">
        <w:rPr>
          <w:rFonts w:cs="Arial"/>
          <w:color w:val="000000" w:themeColor="text1"/>
          <w:szCs w:val="16"/>
        </w:rPr>
        <w:t xml:space="preserve"> transition assessment, transition services including courses of study that will reasonably enable the student to meet those postsecondary goals, and annual IEP goals related to the student’s transition </w:t>
      </w:r>
      <w:proofErr w:type="spellStart"/>
      <w:r w:rsidRPr="00781112">
        <w:rPr>
          <w:rFonts w:cs="Arial"/>
          <w:color w:val="000000" w:themeColor="text1"/>
          <w:szCs w:val="16"/>
        </w:rPr>
        <w:t>services</w:t>
      </w:r>
      <w:proofErr w:type="spellEnd"/>
      <w:r w:rsidRPr="00781112">
        <w:rPr>
          <w:rFonts w:cs="Arial"/>
          <w:color w:val="000000" w:themeColor="text1"/>
          <w:szCs w:val="16"/>
        </w:rPr>
        <w:t xml:space="preserve"> needs. There also must be evidence that the student was invited to the IEP Team meeting where transition services are to be discussed and evidence that, if appropriate, a representative of any participating agency </w:t>
      </w:r>
      <w:r w:rsidR="006D650D" w:rsidRPr="00781112">
        <w:rPr>
          <w:rFonts w:cs="Arial"/>
          <w:szCs w:val="16"/>
        </w:rPr>
        <w:t xml:space="preserve">that is likely to be responsible for providing or paying for transition services, including, if appropriate, pre-employment transition services, </w:t>
      </w:r>
      <w:r w:rsidRPr="00781112">
        <w:rPr>
          <w:rFonts w:cs="Arial"/>
          <w:color w:val="000000" w:themeColor="text1"/>
          <w:szCs w:val="16"/>
        </w:rPr>
        <w:t>was invited to the IEP Team meeting with the prior consent of the parent or student who has reached the age of majority) divided by the (# of youth with an IEP age 16 and above)] times 100.</w:t>
      </w:r>
    </w:p>
    <w:p w14:paraId="762C7458" w14:textId="77777777" w:rsidR="00B67038" w:rsidRPr="00781112" w:rsidRDefault="00B67038" w:rsidP="00286BDF">
      <w:pPr>
        <w:rPr>
          <w:rFonts w:cs="Arial"/>
          <w:color w:val="000000" w:themeColor="text1"/>
          <w:szCs w:val="16"/>
        </w:rPr>
      </w:pPr>
      <w:r w:rsidRPr="00781112">
        <w:rPr>
          <w:rFonts w:cs="Arial"/>
          <w:color w:val="000000" w:themeColor="text1"/>
          <w:szCs w:val="16"/>
        </w:rPr>
        <w:t>If a State’s policies and procedures provide that public agencies must meet these requirements at an age younger than 16, the State may, but is not required to, choose to include youth beginning at that younger age in its data for this indicator. If a State chooses to do this, it must state this clearly in its SPP/APR and ensure that its baseline data are based on youth beginning at that younger age.</w:t>
      </w:r>
    </w:p>
    <w:p w14:paraId="22783AFF" w14:textId="77777777" w:rsidR="0096257C" w:rsidRPr="00781112" w:rsidRDefault="0096257C" w:rsidP="004369B2">
      <w:pPr>
        <w:rPr>
          <w:color w:val="000000" w:themeColor="text1"/>
        </w:rPr>
      </w:pPr>
      <w:r w:rsidRPr="00781112">
        <w:rPr>
          <w:b/>
          <w:color w:val="000000" w:themeColor="text1"/>
        </w:rPr>
        <w:t>Instructions</w:t>
      </w:r>
    </w:p>
    <w:p w14:paraId="797C192E" w14:textId="77777777" w:rsidR="00B67038" w:rsidRPr="00781112" w:rsidRDefault="00B67038" w:rsidP="00286BDF">
      <w:pPr>
        <w:rPr>
          <w:rFonts w:cs="Arial"/>
          <w:i/>
          <w:iCs/>
          <w:color w:val="000000" w:themeColor="text1"/>
          <w:szCs w:val="16"/>
        </w:rPr>
      </w:pPr>
      <w:r w:rsidRPr="00781112">
        <w:rPr>
          <w:rFonts w:cs="Arial"/>
          <w:i/>
          <w:iCs/>
          <w:color w:val="000000" w:themeColor="text1"/>
          <w:szCs w:val="16"/>
        </w:rPr>
        <w:t>If data are from State monitoring, describe the method used to select LEAs for monitoring. If data are from a State database, include data for the entire reporting year.</w:t>
      </w:r>
    </w:p>
    <w:p w14:paraId="28DF0408" w14:textId="77777777" w:rsidR="00B67038" w:rsidRPr="00781112" w:rsidRDefault="00B67038" w:rsidP="00286BDF">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14:paraId="0EAA6660" w14:textId="77777777" w:rsidR="00B67038" w:rsidRPr="00781112" w:rsidRDefault="00B67038" w:rsidP="00286BDF">
      <w:pPr>
        <w:rPr>
          <w:rFonts w:cs="Arial"/>
          <w:color w:val="000000" w:themeColor="text1"/>
          <w:szCs w:val="16"/>
        </w:rPr>
      </w:pPr>
      <w:r w:rsidRPr="00781112">
        <w:rPr>
          <w:rFonts w:cs="Arial"/>
          <w:color w:val="000000" w:themeColor="text1"/>
          <w:szCs w:val="16"/>
        </w:rPr>
        <w:t>Targets must be 100%.</w:t>
      </w:r>
    </w:p>
    <w:p w14:paraId="3A261E95" w14:textId="77777777" w:rsidR="00B67038" w:rsidRPr="00781112" w:rsidRDefault="00B67038"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79" w:name="_Hlk150864402"/>
      <w:r w:rsidR="00F047EF" w:rsidRPr="00F047EF">
        <w:rPr>
          <w:rFonts w:cs="Arial"/>
          <w:color w:val="000000" w:themeColor="text1"/>
          <w:szCs w:val="16"/>
        </w:rPr>
        <w:t>child-specific and regulatory/systemic</w:t>
      </w:r>
      <w:r w:rsidR="00F047EF">
        <w:rPr>
          <w:sz w:val="20"/>
        </w:rPr>
        <w:t xml:space="preserve"> </w:t>
      </w:r>
      <w:bookmarkEnd w:id="79"/>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63700C53" w14:textId="77777777" w:rsidR="00B67038" w:rsidRDefault="003A4027"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2024 SPP/APR, the data for FFY 2023), and the State did not identify any findings of noncompliance, provide an explanation of why the State did not identify any findings of noncompliance.</w:t>
      </w:r>
    </w:p>
    <w:p w14:paraId="5C95AFF5" w14:textId="77777777" w:rsidR="00655489" w:rsidRPr="00FE4611" w:rsidRDefault="00AC3C55" w:rsidP="00655489">
      <w:pPr>
        <w:rPr>
          <w:rFonts w:cs="Arial"/>
          <w:szCs w:val="16"/>
        </w:rPr>
      </w:pPr>
      <w:r>
        <w:rPr>
          <w:rFonts w:cs="Arial"/>
          <w:szCs w:val="16"/>
        </w:rPr>
        <w:t>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758C21BE" w14:textId="77777777" w:rsidR="00655489" w:rsidRPr="00781112" w:rsidRDefault="00655489" w:rsidP="00286BDF">
      <w:pPr>
        <w:rPr>
          <w:rFonts w:cs="Arial"/>
          <w:color w:val="000000" w:themeColor="text1"/>
          <w:szCs w:val="16"/>
        </w:rPr>
      </w:pPr>
    </w:p>
    <w:p w14:paraId="1BF76AC4" w14:textId="77777777" w:rsidR="00D04044" w:rsidRPr="00781112" w:rsidRDefault="00056350" w:rsidP="00123D76">
      <w:pPr>
        <w:pStyle w:val="Heading2"/>
      </w:pPr>
      <w:bookmarkStart w:id="80" w:name="_Toc384383364"/>
      <w:bookmarkStart w:id="81" w:name="_Toc392159332"/>
      <w:bookmarkEnd w:id="77"/>
      <w:bookmarkEnd w:id="78"/>
      <w:r w:rsidRPr="00781112">
        <w:t>13</w:t>
      </w:r>
      <w:r w:rsidR="004838A4" w:rsidRPr="00781112">
        <w:t xml:space="preserve"> </w:t>
      </w:r>
      <w:r w:rsidRPr="00781112">
        <w:t xml:space="preserve">- </w:t>
      </w:r>
      <w:r w:rsidR="00D04044" w:rsidRPr="00781112">
        <w:t>Indicator Data</w:t>
      </w:r>
    </w:p>
    <w:p w14:paraId="7DC794AD" w14:textId="77777777" w:rsidR="009447A3" w:rsidRPr="00781112" w:rsidRDefault="009447A3"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3BASELINEDATA"/>
      </w:tblPr>
      <w:tblGrid>
        <w:gridCol w:w="1797"/>
        <w:gridCol w:w="1798"/>
      </w:tblGrid>
      <w:tr w:rsidR="00694A39" w:rsidRPr="00781112" w14:paraId="6AAAD2D0" w14:textId="77777777" w:rsidTr="00123D76">
        <w:trPr>
          <w:trHeight w:val="311"/>
          <w:tblHeader/>
        </w:trPr>
        <w:tc>
          <w:tcPr>
            <w:tcW w:w="1797" w:type="dxa"/>
          </w:tcPr>
          <w:p w14:paraId="6C9FA8E1" w14:textId="77777777" w:rsidR="00694A39" w:rsidRPr="00781112" w:rsidRDefault="00694A39" w:rsidP="00123D76">
            <w:pPr>
              <w:jc w:val="center"/>
              <w:rPr>
                <w:b/>
                <w:color w:val="000000" w:themeColor="text1"/>
              </w:rPr>
            </w:pPr>
            <w:r w:rsidRPr="00781112">
              <w:rPr>
                <w:rFonts w:cs="Arial"/>
                <w:b/>
                <w:color w:val="000000" w:themeColor="text1"/>
                <w:szCs w:val="16"/>
              </w:rPr>
              <w:t>Baseline Year</w:t>
            </w:r>
          </w:p>
        </w:tc>
        <w:tc>
          <w:tcPr>
            <w:tcW w:w="1798" w:type="dxa"/>
          </w:tcPr>
          <w:p w14:paraId="441EBFA4" w14:textId="77777777" w:rsidR="00694A39" w:rsidRPr="00781112" w:rsidRDefault="00694A39" w:rsidP="00123D76">
            <w:pPr>
              <w:jc w:val="center"/>
              <w:rPr>
                <w:b/>
                <w:color w:val="000000" w:themeColor="text1"/>
              </w:rPr>
            </w:pPr>
            <w:r w:rsidRPr="00781112">
              <w:rPr>
                <w:b/>
                <w:color w:val="000000" w:themeColor="text1"/>
              </w:rPr>
              <w:t>Baseline Data</w:t>
            </w:r>
          </w:p>
        </w:tc>
      </w:tr>
      <w:tr w:rsidR="00694A39" w:rsidRPr="00781112" w14:paraId="1411EC2E" w14:textId="77777777" w:rsidTr="00123D76">
        <w:trPr>
          <w:trHeight w:val="311"/>
        </w:trPr>
        <w:tc>
          <w:tcPr>
            <w:tcW w:w="1797" w:type="dxa"/>
            <w:vAlign w:val="center"/>
          </w:tcPr>
          <w:p w14:paraId="36666668" w14:textId="77777777" w:rsidR="00694A39" w:rsidRPr="00781112" w:rsidRDefault="00694A39" w:rsidP="00123D76">
            <w:pPr>
              <w:jc w:val="center"/>
              <w:rPr>
                <w:bCs/>
                <w:color w:val="000000" w:themeColor="text1"/>
              </w:rPr>
            </w:pPr>
            <w:r w:rsidRPr="00781112">
              <w:rPr>
                <w:bCs/>
                <w:color w:val="000000" w:themeColor="text1"/>
              </w:rPr>
              <w:t>2024</w:t>
            </w:r>
          </w:p>
        </w:tc>
        <w:tc>
          <w:tcPr>
            <w:tcW w:w="1798" w:type="dxa"/>
            <w:vAlign w:val="center"/>
          </w:tcPr>
          <w:p w14:paraId="11736C64" w14:textId="77777777" w:rsidR="00694A39" w:rsidRPr="00781112" w:rsidRDefault="00694A39" w:rsidP="00123D76">
            <w:pPr>
              <w:jc w:val="center"/>
              <w:rPr>
                <w:bCs/>
                <w:color w:val="000000" w:themeColor="text1"/>
              </w:rPr>
            </w:pPr>
            <w:r w:rsidRPr="00781112">
              <w:rPr>
                <w:bCs/>
                <w:color w:val="000000" w:themeColor="text1"/>
              </w:rPr>
              <w:t>80.52%</w:t>
            </w:r>
          </w:p>
        </w:tc>
      </w:tr>
    </w:tbl>
    <w:p w14:paraId="0E9E6EDD" w14:textId="77777777" w:rsidR="00694A39" w:rsidRPr="00781112" w:rsidRDefault="00694A39"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3HISTDATA"/>
      </w:tblPr>
      <w:tblGrid>
        <w:gridCol w:w="1798"/>
        <w:gridCol w:w="1798"/>
        <w:gridCol w:w="1798"/>
        <w:gridCol w:w="1798"/>
        <w:gridCol w:w="1798"/>
        <w:gridCol w:w="1800"/>
      </w:tblGrid>
      <w:tr w:rsidR="005C29F8" w:rsidRPr="00781112" w14:paraId="19553557" w14:textId="77777777" w:rsidTr="00943314">
        <w:trPr>
          <w:trHeight w:val="350"/>
        </w:trPr>
        <w:tc>
          <w:tcPr>
            <w:tcW w:w="833" w:type="pct"/>
            <w:tcBorders>
              <w:bottom w:val="single" w:sz="4" w:space="0" w:color="auto"/>
            </w:tcBorders>
          </w:tcPr>
          <w:p w14:paraId="6F0FD911" w14:textId="77777777" w:rsidR="009447A3" w:rsidRPr="00781112" w:rsidRDefault="009447A3" w:rsidP="004369B2">
            <w:pPr>
              <w:jc w:val="center"/>
              <w:rPr>
                <w:rFonts w:cs="Arial"/>
                <w:b/>
                <w:color w:val="000000" w:themeColor="text1"/>
                <w:szCs w:val="16"/>
              </w:rPr>
            </w:pPr>
            <w:r w:rsidRPr="00781112">
              <w:rPr>
                <w:rFonts w:cs="Arial"/>
                <w:b/>
                <w:color w:val="000000" w:themeColor="text1"/>
                <w:szCs w:val="16"/>
              </w:rPr>
              <w:t>FFY</w:t>
            </w:r>
          </w:p>
        </w:tc>
        <w:tc>
          <w:tcPr>
            <w:tcW w:w="833" w:type="pct"/>
          </w:tcPr>
          <w:p w14:paraId="4E0757A3" w14:textId="77777777" w:rsidR="009447A3"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33" w:type="pct"/>
          </w:tcPr>
          <w:p w14:paraId="0AB9E8CD" w14:textId="77777777" w:rsidR="009447A3"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833" w:type="pct"/>
          </w:tcPr>
          <w:p w14:paraId="1924B91F" w14:textId="77777777" w:rsidR="009447A3" w:rsidRPr="00781112" w:rsidRDefault="002B7490" w:rsidP="008E31C4">
            <w:pPr>
              <w:jc w:val="center"/>
              <w:rPr>
                <w:rFonts w:cs="Arial"/>
                <w:b/>
                <w:color w:val="000000" w:themeColor="text1"/>
                <w:szCs w:val="16"/>
              </w:rPr>
            </w:pPr>
            <w:r w:rsidRPr="00781112">
              <w:rPr>
                <w:rFonts w:cs="Arial"/>
                <w:b/>
                <w:color w:val="000000" w:themeColor="text1"/>
                <w:szCs w:val="16"/>
              </w:rPr>
              <w:t>2021</w:t>
            </w:r>
          </w:p>
        </w:tc>
        <w:tc>
          <w:tcPr>
            <w:tcW w:w="833" w:type="pct"/>
          </w:tcPr>
          <w:p w14:paraId="30DE9A07" w14:textId="77777777" w:rsidR="009447A3" w:rsidRPr="00781112" w:rsidRDefault="002B7490" w:rsidP="008E31C4">
            <w:pPr>
              <w:jc w:val="center"/>
              <w:rPr>
                <w:rFonts w:cs="Arial"/>
                <w:b/>
                <w:color w:val="000000" w:themeColor="text1"/>
                <w:szCs w:val="16"/>
              </w:rPr>
            </w:pPr>
            <w:r w:rsidRPr="00781112">
              <w:rPr>
                <w:rFonts w:cs="Arial"/>
                <w:b/>
                <w:color w:val="000000" w:themeColor="text1"/>
                <w:szCs w:val="16"/>
              </w:rPr>
              <w:t>2022</w:t>
            </w:r>
          </w:p>
        </w:tc>
        <w:tc>
          <w:tcPr>
            <w:tcW w:w="834" w:type="pct"/>
          </w:tcPr>
          <w:p w14:paraId="66C7C81F" w14:textId="77777777" w:rsidR="009447A3" w:rsidRPr="00781112" w:rsidRDefault="002B7490" w:rsidP="008E31C4">
            <w:pPr>
              <w:jc w:val="center"/>
              <w:rPr>
                <w:rFonts w:cs="Arial"/>
                <w:b/>
                <w:color w:val="000000" w:themeColor="text1"/>
                <w:szCs w:val="16"/>
              </w:rPr>
            </w:pPr>
            <w:r w:rsidRPr="00781112">
              <w:rPr>
                <w:rFonts w:cs="Arial"/>
                <w:b/>
                <w:color w:val="000000" w:themeColor="text1"/>
                <w:szCs w:val="16"/>
              </w:rPr>
              <w:t>2023</w:t>
            </w:r>
          </w:p>
        </w:tc>
      </w:tr>
      <w:tr w:rsidR="005C29F8" w:rsidRPr="00781112" w14:paraId="2840974D" w14:textId="77777777" w:rsidTr="00943314">
        <w:trPr>
          <w:trHeight w:val="357"/>
        </w:trPr>
        <w:tc>
          <w:tcPr>
            <w:tcW w:w="833" w:type="pct"/>
          </w:tcPr>
          <w:p w14:paraId="74EC098B" w14:textId="77777777" w:rsidR="009447A3" w:rsidRPr="00781112" w:rsidRDefault="009447A3" w:rsidP="00BA3DBE">
            <w:pPr>
              <w:jc w:val="center"/>
              <w:rPr>
                <w:rFonts w:cs="Arial"/>
                <w:color w:val="000000" w:themeColor="text1"/>
                <w:szCs w:val="16"/>
              </w:rPr>
            </w:pPr>
            <w:r w:rsidRPr="00781112">
              <w:rPr>
                <w:rFonts w:cs="Arial"/>
                <w:color w:val="000000" w:themeColor="text1"/>
                <w:szCs w:val="16"/>
              </w:rPr>
              <w:t>Target</w:t>
            </w:r>
          </w:p>
        </w:tc>
        <w:tc>
          <w:tcPr>
            <w:tcW w:w="833" w:type="pct"/>
          </w:tcPr>
          <w:p w14:paraId="1E370984" w14:textId="77777777"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tcPr>
          <w:p w14:paraId="4074D5B5" w14:textId="77777777"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tcPr>
          <w:p w14:paraId="5D3768E7" w14:textId="77777777"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tcPr>
          <w:p w14:paraId="31C05231" w14:textId="77777777"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4" w:type="pct"/>
          </w:tcPr>
          <w:p w14:paraId="3A1DE756" w14:textId="77777777"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r>
      <w:tr w:rsidR="005C29F8" w:rsidRPr="00781112" w14:paraId="54E5235A" w14:textId="77777777" w:rsidTr="00943314">
        <w:trPr>
          <w:trHeight w:val="85"/>
        </w:trPr>
        <w:tc>
          <w:tcPr>
            <w:tcW w:w="833" w:type="pct"/>
          </w:tcPr>
          <w:p w14:paraId="50F91C45" w14:textId="77777777" w:rsidR="009447A3" w:rsidRPr="00781112" w:rsidRDefault="009447A3" w:rsidP="00BA3DBE">
            <w:pPr>
              <w:jc w:val="center"/>
              <w:rPr>
                <w:rFonts w:cs="Arial"/>
                <w:color w:val="000000" w:themeColor="text1"/>
                <w:szCs w:val="16"/>
              </w:rPr>
            </w:pPr>
            <w:r w:rsidRPr="00781112">
              <w:rPr>
                <w:rFonts w:cs="Arial"/>
                <w:color w:val="000000" w:themeColor="text1"/>
                <w:szCs w:val="16"/>
              </w:rPr>
              <w:t>Data</w:t>
            </w:r>
          </w:p>
        </w:tc>
        <w:tc>
          <w:tcPr>
            <w:tcW w:w="833" w:type="pct"/>
          </w:tcPr>
          <w:p w14:paraId="7FBE5EDA" w14:textId="77777777" w:rsidR="009447A3" w:rsidRPr="00781112" w:rsidRDefault="002B7490" w:rsidP="004369B2">
            <w:pPr>
              <w:jc w:val="center"/>
              <w:rPr>
                <w:rFonts w:cs="Arial"/>
                <w:color w:val="000000" w:themeColor="text1"/>
                <w:szCs w:val="16"/>
              </w:rPr>
            </w:pPr>
            <w:r w:rsidRPr="00781112">
              <w:rPr>
                <w:rFonts w:cs="Arial"/>
                <w:color w:val="000000" w:themeColor="text1"/>
                <w:szCs w:val="16"/>
              </w:rPr>
              <w:t>99.84%</w:t>
            </w:r>
          </w:p>
        </w:tc>
        <w:tc>
          <w:tcPr>
            <w:tcW w:w="833" w:type="pct"/>
          </w:tcPr>
          <w:p w14:paraId="4549BE97" w14:textId="77777777" w:rsidR="009447A3" w:rsidRPr="00781112" w:rsidRDefault="002B7490" w:rsidP="004369B2">
            <w:pPr>
              <w:jc w:val="center"/>
              <w:rPr>
                <w:rFonts w:cs="Arial"/>
                <w:color w:val="000000" w:themeColor="text1"/>
                <w:szCs w:val="16"/>
              </w:rPr>
            </w:pPr>
            <w:r w:rsidRPr="00781112">
              <w:rPr>
                <w:rFonts w:cs="Arial"/>
                <w:color w:val="000000" w:themeColor="text1"/>
                <w:szCs w:val="16"/>
              </w:rPr>
              <w:t>99.84%</w:t>
            </w:r>
          </w:p>
        </w:tc>
        <w:tc>
          <w:tcPr>
            <w:tcW w:w="833" w:type="pct"/>
            <w:tcBorders>
              <w:bottom w:val="single" w:sz="4" w:space="0" w:color="auto"/>
            </w:tcBorders>
            <w:vAlign w:val="center"/>
          </w:tcPr>
          <w:p w14:paraId="39218830" w14:textId="77777777" w:rsidR="009447A3" w:rsidRPr="00781112" w:rsidRDefault="002B7490" w:rsidP="004369B2">
            <w:pPr>
              <w:jc w:val="center"/>
              <w:rPr>
                <w:rFonts w:cs="Arial"/>
                <w:color w:val="000000" w:themeColor="text1"/>
                <w:szCs w:val="16"/>
              </w:rPr>
            </w:pPr>
            <w:r w:rsidRPr="00781112">
              <w:rPr>
                <w:rFonts w:cs="Arial"/>
                <w:color w:val="000000" w:themeColor="text1"/>
                <w:szCs w:val="16"/>
              </w:rPr>
              <w:t>71.99%</w:t>
            </w:r>
          </w:p>
        </w:tc>
        <w:tc>
          <w:tcPr>
            <w:tcW w:w="833" w:type="pct"/>
            <w:tcBorders>
              <w:bottom w:val="single" w:sz="4" w:space="0" w:color="auto"/>
            </w:tcBorders>
            <w:vAlign w:val="center"/>
          </w:tcPr>
          <w:p w14:paraId="56727167" w14:textId="77777777" w:rsidR="009447A3" w:rsidRPr="00781112" w:rsidRDefault="002B7490" w:rsidP="004369B2">
            <w:pPr>
              <w:jc w:val="center"/>
              <w:rPr>
                <w:rFonts w:cs="Arial"/>
                <w:color w:val="000000" w:themeColor="text1"/>
                <w:szCs w:val="16"/>
              </w:rPr>
            </w:pPr>
            <w:r w:rsidRPr="00781112">
              <w:rPr>
                <w:rFonts w:cs="Arial"/>
                <w:color w:val="000000" w:themeColor="text1"/>
                <w:szCs w:val="16"/>
              </w:rPr>
              <w:t>71.38%</w:t>
            </w:r>
          </w:p>
        </w:tc>
        <w:tc>
          <w:tcPr>
            <w:tcW w:w="834" w:type="pct"/>
            <w:tcBorders>
              <w:bottom w:val="single" w:sz="4" w:space="0" w:color="auto"/>
            </w:tcBorders>
            <w:vAlign w:val="center"/>
          </w:tcPr>
          <w:p w14:paraId="7F755FB2" w14:textId="77777777" w:rsidR="009447A3" w:rsidRPr="00781112" w:rsidRDefault="002B7490" w:rsidP="004369B2">
            <w:pPr>
              <w:jc w:val="center"/>
              <w:rPr>
                <w:rFonts w:cs="Arial"/>
                <w:color w:val="000000" w:themeColor="text1"/>
                <w:szCs w:val="16"/>
              </w:rPr>
            </w:pPr>
            <w:r w:rsidRPr="00781112">
              <w:rPr>
                <w:rFonts w:cs="Arial"/>
                <w:color w:val="000000" w:themeColor="text1"/>
                <w:szCs w:val="16"/>
              </w:rPr>
              <w:t>76.19%</w:t>
            </w:r>
          </w:p>
        </w:tc>
      </w:tr>
    </w:tbl>
    <w:p w14:paraId="758A1EEA" w14:textId="77777777" w:rsidR="00AF12E4" w:rsidRPr="00781112" w:rsidRDefault="00AF12E4" w:rsidP="004369B2">
      <w:pPr>
        <w:rPr>
          <w:color w:val="000000" w:themeColor="text1"/>
        </w:rPr>
      </w:pPr>
    </w:p>
    <w:p w14:paraId="4ED0F470" w14:textId="77777777" w:rsidR="007A3964" w:rsidRPr="00781112" w:rsidRDefault="007A3964" w:rsidP="004369B2">
      <w:pPr>
        <w:rPr>
          <w:color w:val="000000" w:themeColor="text1"/>
        </w:rPr>
      </w:pPr>
      <w:r w:rsidRPr="00781112">
        <w:rPr>
          <w:b/>
          <w:color w:val="000000" w:themeColor="text1"/>
        </w:rPr>
        <w:t>Targets</w:t>
      </w:r>
    </w:p>
    <w:tbl>
      <w:tblPr>
        <w:tblW w:w="1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3TARGETS"/>
      </w:tblPr>
      <w:tblGrid>
        <w:gridCol w:w="714"/>
        <w:gridCol w:w="1682"/>
        <w:gridCol w:w="1678"/>
      </w:tblGrid>
      <w:tr w:rsidR="008B52D3" w:rsidRPr="00781112" w14:paraId="2F7E5B8A" w14:textId="77777777" w:rsidTr="00924AD9">
        <w:trPr>
          <w:trHeight w:val="281"/>
        </w:trPr>
        <w:tc>
          <w:tcPr>
            <w:tcW w:w="877" w:type="pct"/>
            <w:tcBorders>
              <w:bottom w:val="single" w:sz="4" w:space="0" w:color="auto"/>
            </w:tcBorders>
          </w:tcPr>
          <w:p w14:paraId="413E4939" w14:textId="77777777" w:rsidR="008B52D3" w:rsidRPr="00781112" w:rsidRDefault="008B52D3" w:rsidP="00AF574F">
            <w:pPr>
              <w:jc w:val="center"/>
              <w:rPr>
                <w:b/>
                <w:color w:val="000000" w:themeColor="text1"/>
              </w:rPr>
            </w:pPr>
            <w:r w:rsidRPr="00781112">
              <w:rPr>
                <w:b/>
                <w:color w:val="000000" w:themeColor="text1"/>
              </w:rPr>
              <w:t>FFY</w:t>
            </w:r>
          </w:p>
        </w:tc>
        <w:tc>
          <w:tcPr>
            <w:tcW w:w="2064" w:type="pct"/>
            <w:vAlign w:val="center"/>
          </w:tcPr>
          <w:p w14:paraId="0D8BF610" w14:textId="77777777" w:rsidR="008B52D3" w:rsidRPr="00781112" w:rsidRDefault="008B52D3" w:rsidP="00AF574F">
            <w:pPr>
              <w:jc w:val="center"/>
              <w:rPr>
                <w:b/>
                <w:color w:val="000000" w:themeColor="text1"/>
              </w:rPr>
            </w:pPr>
            <w:r w:rsidRPr="00781112">
              <w:rPr>
                <w:b/>
                <w:color w:val="000000" w:themeColor="text1"/>
              </w:rPr>
              <w:t>2024</w:t>
            </w:r>
          </w:p>
        </w:tc>
        <w:tc>
          <w:tcPr>
            <w:tcW w:w="2059" w:type="pct"/>
          </w:tcPr>
          <w:p w14:paraId="4D6B7BEF" w14:textId="77777777" w:rsidR="008B52D3" w:rsidRPr="00781112" w:rsidRDefault="008B52D3" w:rsidP="00AF574F">
            <w:pPr>
              <w:jc w:val="center"/>
              <w:rPr>
                <w:b/>
                <w:color w:val="000000" w:themeColor="text1"/>
              </w:rPr>
            </w:pPr>
            <w:r w:rsidRPr="00781112">
              <w:rPr>
                <w:rFonts w:cs="Arial"/>
                <w:b/>
                <w:color w:val="000000" w:themeColor="text1"/>
                <w:szCs w:val="16"/>
              </w:rPr>
              <w:t>2025</w:t>
            </w:r>
          </w:p>
        </w:tc>
      </w:tr>
      <w:tr w:rsidR="008B52D3" w:rsidRPr="00781112" w14:paraId="5C83F0B6" w14:textId="77777777" w:rsidTr="00924AD9">
        <w:trPr>
          <w:trHeight w:val="287"/>
        </w:trPr>
        <w:tc>
          <w:tcPr>
            <w:tcW w:w="877" w:type="pct"/>
            <w:vAlign w:val="center"/>
          </w:tcPr>
          <w:p w14:paraId="1D8A7D33" w14:textId="77777777" w:rsidR="008B52D3" w:rsidRPr="00781112" w:rsidRDefault="008B52D3" w:rsidP="00BA3DBE">
            <w:pPr>
              <w:jc w:val="center"/>
              <w:rPr>
                <w:rFonts w:cs="Arial"/>
                <w:color w:val="000000" w:themeColor="text1"/>
                <w:szCs w:val="16"/>
              </w:rPr>
            </w:pPr>
            <w:r w:rsidRPr="00781112">
              <w:rPr>
                <w:rFonts w:cs="Arial"/>
                <w:color w:val="000000" w:themeColor="text1"/>
                <w:szCs w:val="16"/>
              </w:rPr>
              <w:t>Target</w:t>
            </w:r>
          </w:p>
        </w:tc>
        <w:tc>
          <w:tcPr>
            <w:tcW w:w="2064" w:type="pct"/>
            <w:vAlign w:val="center"/>
          </w:tcPr>
          <w:p w14:paraId="64F1CC9D" w14:textId="77777777" w:rsidR="008B52D3" w:rsidRPr="00781112" w:rsidRDefault="008B52D3" w:rsidP="00AF574F">
            <w:pPr>
              <w:jc w:val="center"/>
              <w:rPr>
                <w:rFonts w:cs="Arial"/>
                <w:color w:val="000000" w:themeColor="text1"/>
                <w:szCs w:val="16"/>
              </w:rPr>
            </w:pPr>
            <w:r w:rsidRPr="00781112">
              <w:rPr>
                <w:rFonts w:cs="Arial"/>
                <w:color w:val="000000" w:themeColor="text1"/>
                <w:szCs w:val="16"/>
              </w:rPr>
              <w:t>100%</w:t>
            </w:r>
          </w:p>
        </w:tc>
        <w:tc>
          <w:tcPr>
            <w:tcW w:w="2059" w:type="pct"/>
          </w:tcPr>
          <w:p w14:paraId="2B43A0FE" w14:textId="77777777" w:rsidR="008B52D3" w:rsidRPr="00781112" w:rsidRDefault="008B52D3" w:rsidP="00AF574F">
            <w:pPr>
              <w:jc w:val="center"/>
              <w:rPr>
                <w:rFonts w:cs="Arial"/>
                <w:color w:val="000000" w:themeColor="text1"/>
                <w:szCs w:val="16"/>
              </w:rPr>
            </w:pPr>
            <w:r w:rsidRPr="00781112">
              <w:rPr>
                <w:color w:val="000000" w:themeColor="text1"/>
                <w:szCs w:val="16"/>
              </w:rPr>
              <w:t>100%</w:t>
            </w:r>
          </w:p>
        </w:tc>
      </w:tr>
    </w:tbl>
    <w:p w14:paraId="4CB6580C" w14:textId="77777777" w:rsidR="00AF12E4" w:rsidRPr="00781112" w:rsidRDefault="00AF12E4" w:rsidP="004369B2">
      <w:pPr>
        <w:rPr>
          <w:color w:val="000000" w:themeColor="text1"/>
        </w:rPr>
      </w:pPr>
    </w:p>
    <w:bookmarkEnd w:id="80"/>
    <w:bookmarkEnd w:id="81"/>
    <w:p w14:paraId="0A5CADB6" w14:textId="77777777" w:rsidR="00D03701" w:rsidRPr="00781112" w:rsidRDefault="0047313F" w:rsidP="004369B2">
      <w:pPr>
        <w:rPr>
          <w:color w:val="000000" w:themeColor="text1"/>
        </w:rPr>
      </w:pPr>
      <w:r>
        <w:rPr>
          <w:b/>
          <w:color w:val="000000" w:themeColor="text1"/>
        </w:rPr>
        <w:t>FFY 2024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3CFFYAPRDATA"/>
      </w:tblPr>
      <w:tblGrid>
        <w:gridCol w:w="1533"/>
        <w:gridCol w:w="1498"/>
        <w:gridCol w:w="1372"/>
        <w:gridCol w:w="2067"/>
        <w:gridCol w:w="1232"/>
        <w:gridCol w:w="1571"/>
        <w:gridCol w:w="1517"/>
      </w:tblGrid>
      <w:tr w:rsidR="00B1652C" w:rsidRPr="00781112" w14:paraId="779E1AA5" w14:textId="77777777" w:rsidTr="00A947D9">
        <w:trPr>
          <w:trHeight w:val="354"/>
          <w:tblHeader/>
        </w:trPr>
        <w:tc>
          <w:tcPr>
            <w:tcW w:w="710" w:type="pct"/>
            <w:vAlign w:val="bottom"/>
          </w:tcPr>
          <w:p w14:paraId="2080E16E"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lastRenderedPageBreak/>
              <w:t>Number of youth aged 16 and above with IEPs that contain each of the required components for secondary transition</w:t>
            </w:r>
          </w:p>
        </w:tc>
        <w:tc>
          <w:tcPr>
            <w:tcW w:w="694" w:type="pct"/>
            <w:vAlign w:val="bottom"/>
          </w:tcPr>
          <w:p w14:paraId="0B55094A"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Number of youth with IEPs aged 16 and above</w:t>
            </w:r>
          </w:p>
        </w:tc>
        <w:tc>
          <w:tcPr>
            <w:tcW w:w="636" w:type="pct"/>
            <w:vAlign w:val="bottom"/>
          </w:tcPr>
          <w:p w14:paraId="58520491" w14:textId="77777777" w:rsidR="00B1652C" w:rsidRPr="006D0A52" w:rsidRDefault="00B1652C" w:rsidP="00B1652C">
            <w:pPr>
              <w:jc w:val="center"/>
              <w:rPr>
                <w:rFonts w:cs="Arial"/>
                <w:b/>
                <w:bCs/>
                <w:color w:val="000000" w:themeColor="text1"/>
                <w:szCs w:val="16"/>
              </w:rPr>
            </w:pPr>
            <w:r w:rsidRPr="006D0A52">
              <w:rPr>
                <w:b/>
                <w:bCs/>
              </w:rPr>
              <w:t>FFY 2023 Data</w:t>
            </w:r>
          </w:p>
        </w:tc>
        <w:tc>
          <w:tcPr>
            <w:tcW w:w="958" w:type="pct"/>
            <w:vAlign w:val="bottom"/>
          </w:tcPr>
          <w:p w14:paraId="5D8620B7" w14:textId="77777777" w:rsidR="00B1652C" w:rsidRPr="006D0A52" w:rsidRDefault="00B1652C" w:rsidP="00B1652C">
            <w:pPr>
              <w:jc w:val="center"/>
              <w:rPr>
                <w:rFonts w:cs="Arial"/>
                <w:b/>
                <w:bCs/>
                <w:color w:val="000000" w:themeColor="text1"/>
                <w:szCs w:val="16"/>
              </w:rPr>
            </w:pPr>
            <w:r w:rsidRPr="006D0A52">
              <w:rPr>
                <w:b/>
                <w:bCs/>
              </w:rPr>
              <w:t>FFY 2024 Target</w:t>
            </w:r>
          </w:p>
        </w:tc>
        <w:tc>
          <w:tcPr>
            <w:tcW w:w="571" w:type="pct"/>
            <w:vAlign w:val="bottom"/>
          </w:tcPr>
          <w:p w14:paraId="7DA1F7D9" w14:textId="77777777" w:rsidR="00B1652C" w:rsidRPr="006D0A52" w:rsidRDefault="00B1652C" w:rsidP="00B1652C">
            <w:pPr>
              <w:jc w:val="center"/>
              <w:rPr>
                <w:rFonts w:cs="Arial"/>
                <w:b/>
                <w:bCs/>
                <w:color w:val="000000" w:themeColor="text1"/>
                <w:szCs w:val="16"/>
              </w:rPr>
            </w:pPr>
            <w:r w:rsidRPr="006D0A52">
              <w:rPr>
                <w:b/>
                <w:bCs/>
              </w:rPr>
              <w:t>FFY 2024 Data</w:t>
            </w:r>
          </w:p>
        </w:tc>
        <w:tc>
          <w:tcPr>
            <w:tcW w:w="728" w:type="pct"/>
            <w:vAlign w:val="bottom"/>
          </w:tcPr>
          <w:p w14:paraId="49AE4B33"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704" w:type="pct"/>
            <w:vAlign w:val="bottom"/>
          </w:tcPr>
          <w:p w14:paraId="3E87B7AC"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2DC661B1" w14:textId="77777777" w:rsidTr="00A947D9">
        <w:trPr>
          <w:trHeight w:val="361"/>
        </w:trPr>
        <w:tc>
          <w:tcPr>
            <w:tcW w:w="710" w:type="pct"/>
            <w:vAlign w:val="center"/>
          </w:tcPr>
          <w:p w14:paraId="077131FE" w14:textId="77777777" w:rsidR="00070D9E" w:rsidRPr="00781112" w:rsidRDefault="002B7490" w:rsidP="004369B2">
            <w:pPr>
              <w:jc w:val="center"/>
              <w:rPr>
                <w:rFonts w:cs="Arial"/>
                <w:color w:val="000000" w:themeColor="text1"/>
                <w:szCs w:val="16"/>
              </w:rPr>
            </w:pPr>
            <w:r w:rsidRPr="00781112">
              <w:rPr>
                <w:rFonts w:cs="Arial"/>
                <w:color w:val="000000" w:themeColor="text1"/>
                <w:szCs w:val="16"/>
              </w:rPr>
              <w:t>62</w:t>
            </w:r>
          </w:p>
        </w:tc>
        <w:tc>
          <w:tcPr>
            <w:tcW w:w="694" w:type="pct"/>
            <w:vAlign w:val="center"/>
          </w:tcPr>
          <w:p w14:paraId="1C978F1A" w14:textId="77777777" w:rsidR="00070D9E" w:rsidRPr="00781112" w:rsidRDefault="002B7490" w:rsidP="004369B2">
            <w:pPr>
              <w:jc w:val="center"/>
              <w:rPr>
                <w:rFonts w:cs="Arial"/>
                <w:color w:val="000000" w:themeColor="text1"/>
                <w:szCs w:val="16"/>
              </w:rPr>
            </w:pPr>
            <w:r w:rsidRPr="00781112">
              <w:rPr>
                <w:rFonts w:cs="Arial"/>
                <w:color w:val="000000" w:themeColor="text1"/>
                <w:szCs w:val="16"/>
              </w:rPr>
              <w:t>77</w:t>
            </w:r>
          </w:p>
        </w:tc>
        <w:tc>
          <w:tcPr>
            <w:tcW w:w="636" w:type="pct"/>
            <w:vAlign w:val="center"/>
          </w:tcPr>
          <w:p w14:paraId="7D59AA43" w14:textId="77777777" w:rsidR="00070D9E" w:rsidRPr="00781112" w:rsidRDefault="002B7490" w:rsidP="004369B2">
            <w:pPr>
              <w:jc w:val="center"/>
              <w:rPr>
                <w:rFonts w:cs="Arial"/>
                <w:color w:val="000000" w:themeColor="text1"/>
                <w:szCs w:val="16"/>
              </w:rPr>
            </w:pPr>
            <w:r w:rsidRPr="00781112">
              <w:rPr>
                <w:rFonts w:cs="Arial"/>
                <w:color w:val="000000" w:themeColor="text1"/>
                <w:szCs w:val="16"/>
              </w:rPr>
              <w:t>76.19%</w:t>
            </w:r>
          </w:p>
        </w:tc>
        <w:tc>
          <w:tcPr>
            <w:tcW w:w="958" w:type="pct"/>
            <w:vAlign w:val="center"/>
          </w:tcPr>
          <w:p w14:paraId="73E5DA07" w14:textId="77777777" w:rsidR="00070D9E"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71" w:type="pct"/>
            <w:vAlign w:val="center"/>
          </w:tcPr>
          <w:p w14:paraId="53EA2AF7" w14:textId="77777777" w:rsidR="00070D9E" w:rsidRPr="00781112" w:rsidRDefault="002B7490" w:rsidP="004369B2">
            <w:pPr>
              <w:jc w:val="center"/>
              <w:rPr>
                <w:rFonts w:cs="Arial"/>
                <w:color w:val="000000" w:themeColor="text1"/>
                <w:szCs w:val="16"/>
              </w:rPr>
            </w:pPr>
            <w:r w:rsidRPr="00781112">
              <w:rPr>
                <w:rFonts w:cs="Arial"/>
                <w:color w:val="000000" w:themeColor="text1"/>
                <w:szCs w:val="16"/>
              </w:rPr>
              <w:t>80.52%</w:t>
            </w:r>
          </w:p>
        </w:tc>
        <w:tc>
          <w:tcPr>
            <w:tcW w:w="728" w:type="pct"/>
            <w:vAlign w:val="center"/>
          </w:tcPr>
          <w:p w14:paraId="597F1946" w14:textId="77777777" w:rsidR="00070D9E" w:rsidRPr="00781112" w:rsidRDefault="002B7490" w:rsidP="004369B2">
            <w:pPr>
              <w:jc w:val="center"/>
              <w:rPr>
                <w:rFonts w:cs="Arial"/>
                <w:color w:val="000000" w:themeColor="text1"/>
                <w:szCs w:val="16"/>
              </w:rPr>
            </w:pPr>
            <w:r w:rsidRPr="00781112">
              <w:rPr>
                <w:rFonts w:cs="Arial"/>
                <w:color w:val="000000" w:themeColor="text1"/>
                <w:szCs w:val="16"/>
              </w:rPr>
              <w:t>N/A</w:t>
            </w:r>
          </w:p>
        </w:tc>
        <w:tc>
          <w:tcPr>
            <w:tcW w:w="704" w:type="pct"/>
            <w:vAlign w:val="center"/>
          </w:tcPr>
          <w:p w14:paraId="7BF98092" w14:textId="77777777" w:rsidR="00070D9E" w:rsidRPr="00781112" w:rsidRDefault="002B7490" w:rsidP="004369B2">
            <w:pPr>
              <w:jc w:val="center"/>
              <w:rPr>
                <w:rFonts w:cs="Arial"/>
                <w:color w:val="000000" w:themeColor="text1"/>
                <w:szCs w:val="16"/>
              </w:rPr>
            </w:pPr>
            <w:r w:rsidRPr="00781112">
              <w:rPr>
                <w:rFonts w:cs="Arial"/>
                <w:color w:val="000000" w:themeColor="text1"/>
                <w:szCs w:val="16"/>
              </w:rPr>
              <w:t>N/A</w:t>
            </w:r>
          </w:p>
        </w:tc>
      </w:tr>
    </w:tbl>
    <w:p w14:paraId="2E9E987F" w14:textId="77777777" w:rsidR="00A5601C" w:rsidRPr="00781112" w:rsidRDefault="00070D9E">
      <w:pPr>
        <w:rPr>
          <w:b/>
          <w:color w:val="000000" w:themeColor="text1"/>
        </w:rPr>
      </w:pPr>
      <w:r w:rsidRPr="00781112">
        <w:rPr>
          <w:b/>
          <w:color w:val="000000" w:themeColor="text1"/>
        </w:rPr>
        <w:t xml:space="preserve">What is the source of the data provided for this indicator? </w:t>
      </w:r>
    </w:p>
    <w:p w14:paraId="154D07C5" w14:textId="77777777" w:rsidR="00070D9E" w:rsidRPr="00781112" w:rsidRDefault="002B7490" w:rsidP="004369B2">
      <w:pPr>
        <w:rPr>
          <w:iCs/>
          <w:color w:val="000000" w:themeColor="text1"/>
        </w:rPr>
      </w:pPr>
      <w:r w:rsidRPr="00781112">
        <w:rPr>
          <w:iCs/>
          <w:color w:val="000000" w:themeColor="text1"/>
        </w:rPr>
        <w:t>State monitoring</w:t>
      </w:r>
    </w:p>
    <w:p w14:paraId="472FDCEB" w14:textId="77777777" w:rsidR="00070D9E" w:rsidRPr="00781112" w:rsidRDefault="00070D9E"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123B00BC" w14:textId="77777777" w:rsidR="00326C0B" w:rsidRPr="00781112" w:rsidRDefault="002B7490" w:rsidP="008E31C4">
      <w:pPr>
        <w:rPr>
          <w:rFonts w:cs="Arial"/>
          <w:color w:val="000000" w:themeColor="text1"/>
          <w:szCs w:val="16"/>
        </w:rPr>
      </w:pPr>
      <w:r w:rsidRPr="00781112">
        <w:rPr>
          <w:rFonts w:cs="Arial"/>
          <w:color w:val="000000" w:themeColor="text1"/>
          <w:szCs w:val="16"/>
        </w:rPr>
        <w:t>WVDE/OSE collects data as described in the Secondary Transition Plan: Indicator 13 Monitoring Process [https://wvde.us/sites/default/files/2025-08/38815%20WVGtG%20Indicator%2013%20Monitoring%20Process-v2.pdf] which includes implementation of a tiered system of accountability and support to ensure all LEAs meet the requirements of IDEA. In addition to this state monitoring process, LEAs may also be identified for noncompliance through the general supervision system.</w:t>
      </w:r>
    </w:p>
    <w:p w14:paraId="7C97EC35" w14:textId="77777777" w:rsidR="00CA787A" w:rsidRDefault="00CA787A"/>
    <w:p w14:paraId="6B4DAB22" w14:textId="77777777" w:rsidR="00CA787A" w:rsidRDefault="003169E9">
      <w:r>
        <w:rPr>
          <w:color w:val="000000"/>
        </w:rPr>
        <w:t>OVERVIEW</w:t>
      </w:r>
    </w:p>
    <w:p w14:paraId="1DAB1730" w14:textId="77777777" w:rsidR="00CA787A" w:rsidRDefault="003169E9">
      <w:r>
        <w:rPr>
          <w:color w:val="000000"/>
        </w:rPr>
        <w:t>I13 monitoring is an independent activity within the state monitoring system described above. LEAs are chosen in cohorts of 14-18 LEAs/year and are typically the same ones identified for cyclical monitoring (every LEA receives an on-site visit every 4 years). However, if credible allegations require more immediate action, LEAs may be subjected to an earlier review to ensure all LEAs meet the regulatory requirements related to secondary transition plans for students with IEPs ages 14-21. The results from the Indicator 13 Data Pull become the LEA’s score for Indicator 13 (I13) as one of the required components in annual LEA Determinations; timely correction of noncompliance is also reflected annually.</w:t>
      </w:r>
    </w:p>
    <w:p w14:paraId="47A54C34" w14:textId="77777777" w:rsidR="00CA787A" w:rsidRDefault="00CA787A"/>
    <w:p w14:paraId="2B693079" w14:textId="77777777" w:rsidR="00CA787A" w:rsidRDefault="003169E9">
      <w:r>
        <w:rPr>
          <w:color w:val="000000"/>
        </w:rPr>
        <w:t>KEY PHASES &amp; TIMELINES</w:t>
      </w:r>
    </w:p>
    <w:p w14:paraId="7D7553AA" w14:textId="77777777" w:rsidR="00CA787A" w:rsidRDefault="003169E9">
      <w:r>
        <w:rPr>
          <w:color w:val="000000"/>
        </w:rPr>
        <w:t>1. Technical Assistance &amp; Professional Development (July–January) – related to I13</w:t>
      </w:r>
    </w:p>
    <w:p w14:paraId="1917AC6D" w14:textId="77777777" w:rsidR="00CA787A" w:rsidRDefault="003169E9">
      <w:r>
        <w:rPr>
          <w:color w:val="000000"/>
        </w:rPr>
        <w:t>Approximately 6 months prior to the annual I13 Data Pull, LEAs have many opportunities to engage in technical assistance and support to ensure they are 100% compliant on their initial data pull. This includes the option for LEAs to complete a virtual course developed by WVDE/OSE called “Writing High Quality Secondary Transition Plans”, participate in bi-monthly office hours focused on secondary transition planning processes, utilize resources on the WV Guideposts to Graduation (WVGtG) website [https://wvde.us/academics/special-education/wv-guideposts-graduation], and engage in targeted or intensive support. In addition, LEAs may conduct internal monitoring of their own secondary transition plans, using the same tools and resources used during the official monitoring review. Following completion of the internal review, the LEA should correct any identified areas of noncompliance through a full or targeted IEP meeting, or by appropriately amending the IEP. Regularly self-monitoring allows LEAs to have better compliance results during the annual I13 Data Pull.</w:t>
      </w:r>
    </w:p>
    <w:p w14:paraId="3C3E9B41" w14:textId="77777777" w:rsidR="00CA787A" w:rsidRDefault="00CA787A"/>
    <w:p w14:paraId="48D6D54B" w14:textId="77777777" w:rsidR="00CA787A" w:rsidRDefault="003169E9">
      <w:r>
        <w:rPr>
          <w:color w:val="000000"/>
        </w:rPr>
        <w:t>2. I13 Data Pull (February–April)</w:t>
      </w:r>
    </w:p>
    <w:p w14:paraId="74C17F6D" w14:textId="77777777" w:rsidR="00CA787A" w:rsidRDefault="003169E9">
      <w:r>
        <w:rPr>
          <w:color w:val="000000"/>
        </w:rPr>
        <w:t>The WVDE/OSE requires all LEAs to use a statewide online IEP system (WVEIS). WVEIS provides access to data from the current school year with a minimum of 5 and a maximum of 10 secondary transition plans randomly pulled for each LEA in the cohort and reviewed by WVDE OSE staff. The number of files reviewed is based on the previous year’s December 1 child count and is based upon the total population of transition age students for each cohort. Beginning in FFY2024, a sample size calculator was used to ensure statistical validity and reliability between monitoring cohorts. This change in methodology also constituted a need to change the baseline data. The review tools used for the initial I13 Data Pull are publicly available on the WVGtG website and contain comprehensive information on the specific criteria and documentation/evidence required to determine compliance. [https://wvde.us/academics/special-education/wv-guideposts-graduation#secondary-transition] If the LEA achieves 100% compliance for this initial data review, no further action is required until the next monitoring event. If the LEA achieves less than 100% compliance, written notification of noncompliance is issued and the process for correction of noncompliance begins.</w:t>
      </w:r>
    </w:p>
    <w:p w14:paraId="3E4268FE" w14:textId="77777777" w:rsidR="00CA787A" w:rsidRDefault="00CA787A"/>
    <w:p w14:paraId="14C29D6F" w14:textId="77777777" w:rsidR="00CA787A" w:rsidRDefault="003169E9">
      <w:r>
        <w:rPr>
          <w:color w:val="000000"/>
        </w:rPr>
        <w:t>3. Written Notification of Noncompliance (June–July)</w:t>
      </w:r>
    </w:p>
    <w:p w14:paraId="091E77E8" w14:textId="77777777" w:rsidR="00CA787A" w:rsidRDefault="003169E9">
      <w:r>
        <w:rPr>
          <w:color w:val="000000"/>
        </w:rPr>
        <w:t>Written notifications are issued within 90 days from when WVDE/OSE staff confirms findings of noncompliance related to I13 requirements. If the LEA is determined to be non-compliant in any single area of the required components, the entire secondary transition plan is marked as non-compliant. Notification includes details specific to the areas of noncompliance identified in each student file reviewed, as well as the required corrective actions and best practices for preventing future noncompliance. Per OSEP QA 23-01, LEAs are notified of their findings along with a timeline that requires the correction of all instances of noncompliance as soon as possible, but no later than one year from written notification. Until the LEA is cleared for individual and systemic issues of non-compliance, they may be subject to additional monitoring activities to ensure they are meeting the requirements of IDEA.</w:t>
      </w:r>
    </w:p>
    <w:p w14:paraId="70EAA4D1" w14:textId="77777777" w:rsidR="00CA787A" w:rsidRDefault="00CA787A"/>
    <w:p w14:paraId="74C1E633" w14:textId="77777777" w:rsidR="00CA787A" w:rsidRDefault="003169E9">
      <w:r>
        <w:rPr>
          <w:color w:val="000000"/>
        </w:rPr>
        <w:t>4. Correcting Noncompliance (during the following school year)</w:t>
      </w:r>
    </w:p>
    <w:p w14:paraId="4DA93188" w14:textId="77777777" w:rsidR="00CA787A" w:rsidRDefault="003169E9">
      <w:r>
        <w:rPr>
          <w:color w:val="000000"/>
        </w:rPr>
        <w:t xml:space="preserve">Correcting Findings of Individual Noncompliance (as soon as possible) </w:t>
      </w:r>
    </w:p>
    <w:p w14:paraId="6EDE03BF" w14:textId="77777777" w:rsidR="00CA787A" w:rsidRDefault="003169E9">
      <w:r>
        <w:rPr>
          <w:color w:val="000000"/>
        </w:rPr>
        <w:t>To correct individual student-level noncompliance, each student’s transition plan is reviewed by the LEA and corrected to 100% compliance within 60 days of written notification unless the student was no longer in the jurisdiction of the LEA. After the 60-day timeline, WVDE/OSE staff uses WVEIS data to verify corrections for each individual case of previously identified noncompliance. If corrections of noncompliance are not corrected within the 60-day timeline, WVDE/OSE works with the LEA to ensure that all corrections of individual noncompliance are corrected as soon as possible through a targeted or full IEP meeting, or by appropriately amending the IEP (see Policy 2419 Ch. 5 §3.B). Evidence of any discussions regarding the potential need for compensatory services must be documented in WVEIS on the prior written notice (PWN). WVDE/OSE verifies of correction for individual student files in WVEIS as soon as possible after the 60-day timeline to ensure students receive FAPE from the LEA.</w:t>
      </w:r>
    </w:p>
    <w:p w14:paraId="5642B251" w14:textId="77777777" w:rsidR="00CA787A" w:rsidRDefault="00CA787A"/>
    <w:p w14:paraId="57BFB80C" w14:textId="77777777" w:rsidR="00CA787A" w:rsidRDefault="003169E9">
      <w:r>
        <w:rPr>
          <w:color w:val="000000"/>
        </w:rPr>
        <w:t xml:space="preserve">Correcting Findings of Systemic Noncompliance (July – December) </w:t>
      </w:r>
    </w:p>
    <w:p w14:paraId="71049067" w14:textId="77777777" w:rsidR="00CA787A" w:rsidRDefault="003169E9">
      <w:r>
        <w:rPr>
          <w:color w:val="000000"/>
        </w:rPr>
        <w:lastRenderedPageBreak/>
        <w:t>All corrections of systemic noncompliance should begin as soon as possible and must be completed within 6 months of written notification. This allows WVDE/OSE staff time to verify within the required one-year timeframe that the LEA’s correction of noncompliance addresses the extent and root cause of the identified noncompliance and systemic corrections have been completed (OSEP QA 23-01, B-14). The WVDE/OSE has established a tiered methodology for identification and correction of systemic noncompliance related to secondary transition plans reported in I13. This tiered approach is based on scores reported on the LEA Determinations and allows WVDE/OSE staff to determine whether the noncompliance was an isolated incident or a longstanding issue that has been the subject of repeated corrective action plans (OSEP QA 23-01, B-14). The following summarizes these tiers and required corrective actions:</w:t>
      </w:r>
    </w:p>
    <w:p w14:paraId="5724BCC6" w14:textId="77777777" w:rsidR="00CA787A" w:rsidRDefault="003169E9">
      <w:r>
        <w:rPr>
          <w:color w:val="000000"/>
        </w:rPr>
        <w:t>Universal (80–99%): Correct individual findings.</w:t>
      </w:r>
    </w:p>
    <w:p w14:paraId="376ACD6C" w14:textId="77777777" w:rsidR="00CA787A" w:rsidRDefault="003169E9">
      <w:r>
        <w:rPr>
          <w:color w:val="000000"/>
        </w:rPr>
        <w:t>Targeted (70–79%): Universal + staff complete WVDE virtual course/pass quiz with 80% or greater</w:t>
      </w:r>
    </w:p>
    <w:p w14:paraId="17578BBE" w14:textId="77777777" w:rsidR="00CA787A" w:rsidRDefault="003169E9">
      <w:r>
        <w:rPr>
          <w:color w:val="000000"/>
        </w:rPr>
        <w:t>Intensive (0–69%): Targeted + required internal monitoring of 5 plans (WVDE reviews same files to determine LEA process knowledge)</w:t>
      </w:r>
    </w:p>
    <w:p w14:paraId="1498B3E5" w14:textId="77777777" w:rsidR="00CA787A" w:rsidRDefault="003169E9">
      <w:r>
        <w:rPr>
          <w:color w:val="000000"/>
        </w:rPr>
        <w:t>Longstanding: Intensive + policies/procedures/practices review + root cause analysis + action plan to address root cause</w:t>
      </w:r>
    </w:p>
    <w:p w14:paraId="413A10B0" w14:textId="77777777" w:rsidR="00CA787A" w:rsidRDefault="00CA787A"/>
    <w:p w14:paraId="6B9F0820" w14:textId="77777777" w:rsidR="00CA787A" w:rsidRDefault="003169E9">
      <w:r>
        <w:rPr>
          <w:color w:val="000000"/>
        </w:rPr>
        <w:t>If 100% compliance is not achieved, additional WVDE/OSE data pulls are conducted prior to clearing noncompliance. LEAs may not be considered cleared for systemic noncompliance if at any time they have individual cases of noncompliance not corrected or have not completed corrective activities specified in written notification of noncompliance. Regardless of the level of systemic noncompliance, WVDE/OSE staff will also review updated data prior to clearing corrections of noncompliance. This process verifies that the LEA is correctly implementing the regulatory requirements and has achieved 100% compliance within regulatory timelines.</w:t>
      </w:r>
    </w:p>
    <w:p w14:paraId="4F07ABCF" w14:textId="77777777" w:rsidR="00CA787A" w:rsidRDefault="00CA787A"/>
    <w:p w14:paraId="74570B86" w14:textId="77777777" w:rsidR="00CA787A" w:rsidRDefault="003169E9">
      <w:r>
        <w:rPr>
          <w:color w:val="000000"/>
        </w:rPr>
        <w:t xml:space="preserve">Percent Compliance = [(total number of student transition plans reviewed and deemed compliant) divided by (total number of student transition plans reviewed during the school year)] x 100. </w:t>
      </w:r>
    </w:p>
    <w:tbl>
      <w:tblPr>
        <w:tblStyle w:val="TableGrid"/>
        <w:tblW w:w="5000" w:type="pct"/>
        <w:tblLook w:val="04A0" w:firstRow="1" w:lastRow="0" w:firstColumn="1" w:lastColumn="0" w:noHBand="0" w:noVBand="1"/>
        <w:tblCaption w:val="B13CFFYCOLLECT"/>
      </w:tblPr>
      <w:tblGrid>
        <w:gridCol w:w="8503"/>
        <w:gridCol w:w="2287"/>
      </w:tblGrid>
      <w:tr w:rsidR="005C29F8" w:rsidRPr="00781112" w14:paraId="3E442609" w14:textId="77777777" w:rsidTr="0033429D">
        <w:trPr>
          <w:tblHeader/>
        </w:trPr>
        <w:tc>
          <w:tcPr>
            <w:tcW w:w="3940" w:type="pct"/>
          </w:tcPr>
          <w:p w14:paraId="4A620007" w14:textId="77777777" w:rsidR="006B4D98" w:rsidRPr="00781112" w:rsidRDefault="00694A39" w:rsidP="005F442C">
            <w:pPr>
              <w:rPr>
                <w:rFonts w:cs="Arial"/>
                <w:b/>
                <w:bCs/>
                <w:color w:val="000000" w:themeColor="text1"/>
                <w:szCs w:val="16"/>
              </w:rPr>
            </w:pPr>
            <w:r w:rsidRPr="00781112">
              <w:rPr>
                <w:rFonts w:cs="Arial"/>
                <w:b/>
                <w:bCs/>
                <w:color w:val="000000" w:themeColor="text1"/>
                <w:szCs w:val="16"/>
              </w:rPr>
              <w:t>Question</w:t>
            </w:r>
          </w:p>
        </w:tc>
        <w:tc>
          <w:tcPr>
            <w:tcW w:w="1060" w:type="pct"/>
          </w:tcPr>
          <w:p w14:paraId="2CA7D932" w14:textId="77777777" w:rsidR="006B4D98" w:rsidRPr="00781112" w:rsidRDefault="006B4D98"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41C4C1C3" w14:textId="77777777" w:rsidTr="00A947D9">
        <w:tc>
          <w:tcPr>
            <w:tcW w:w="3940" w:type="pct"/>
          </w:tcPr>
          <w:p w14:paraId="5773FD10" w14:textId="77777777" w:rsidR="006B4D98" w:rsidRPr="00781112" w:rsidRDefault="006B4D98" w:rsidP="005F442C">
            <w:pPr>
              <w:rPr>
                <w:rFonts w:cs="Arial"/>
                <w:color w:val="000000" w:themeColor="text1"/>
                <w:szCs w:val="16"/>
              </w:rPr>
            </w:pPr>
            <w:r w:rsidRPr="00781112">
              <w:rPr>
                <w:rFonts w:cs="Arial"/>
                <w:color w:val="000000" w:themeColor="text1"/>
                <w:szCs w:val="16"/>
              </w:rPr>
              <w:t xml:space="preserve">Do the State’s policies and procedures provide that public agencies must meet these requirements at an age younger than 16? </w:t>
            </w:r>
          </w:p>
        </w:tc>
        <w:tc>
          <w:tcPr>
            <w:tcW w:w="1060" w:type="pct"/>
          </w:tcPr>
          <w:p w14:paraId="17C027D5" w14:textId="77777777" w:rsidR="006B4D98"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1C076EFB" w14:textId="77777777" w:rsidTr="00A947D9">
        <w:tc>
          <w:tcPr>
            <w:tcW w:w="3940" w:type="pct"/>
          </w:tcPr>
          <w:p w14:paraId="344A3633" w14:textId="77777777" w:rsidR="006B4D98" w:rsidRPr="00781112" w:rsidRDefault="00AF30E8">
            <w:pPr>
              <w:rPr>
                <w:rFonts w:cs="Arial"/>
                <w:color w:val="000000" w:themeColor="text1"/>
                <w:szCs w:val="16"/>
              </w:rPr>
            </w:pPr>
            <w:r w:rsidRPr="00781112">
              <w:rPr>
                <w:rFonts w:cs="Arial"/>
                <w:color w:val="000000" w:themeColor="text1"/>
                <w:szCs w:val="16"/>
              </w:rPr>
              <w:t>If yes, did the State choose to include youth at an age younger than 16 in its data for this indicator and ensure that its baseline data are based on youth beginning at that younger age?</w:t>
            </w:r>
          </w:p>
        </w:tc>
        <w:tc>
          <w:tcPr>
            <w:tcW w:w="1060" w:type="pct"/>
          </w:tcPr>
          <w:p w14:paraId="1E0E0CA2" w14:textId="77777777" w:rsidR="006B4D98"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72129DF3" w14:textId="77777777" w:rsidTr="0033429D">
        <w:tc>
          <w:tcPr>
            <w:tcW w:w="3940" w:type="pct"/>
          </w:tcPr>
          <w:p w14:paraId="64395BA3" w14:textId="77777777" w:rsidR="00212954" w:rsidRPr="00781112" w:rsidRDefault="00212954">
            <w:pPr>
              <w:rPr>
                <w:rFonts w:cs="Arial"/>
                <w:color w:val="000000" w:themeColor="text1"/>
                <w:szCs w:val="16"/>
              </w:rPr>
            </w:pPr>
            <w:r w:rsidRPr="00781112">
              <w:rPr>
                <w:rFonts w:cs="Arial"/>
                <w:color w:val="000000" w:themeColor="text1"/>
                <w:szCs w:val="16"/>
              </w:rPr>
              <w:t>If yes, at what age are youth included in the data for this indicator</w:t>
            </w:r>
          </w:p>
        </w:tc>
        <w:tc>
          <w:tcPr>
            <w:tcW w:w="1060" w:type="pct"/>
          </w:tcPr>
          <w:p w14:paraId="077D6EDC" w14:textId="77777777" w:rsidR="00212954" w:rsidRPr="00781112" w:rsidRDefault="002B7490" w:rsidP="00A018D4">
            <w:pPr>
              <w:jc w:val="center"/>
              <w:rPr>
                <w:rFonts w:cs="Arial"/>
                <w:color w:val="000000" w:themeColor="text1"/>
                <w:szCs w:val="16"/>
              </w:rPr>
            </w:pPr>
            <w:r w:rsidRPr="00781112">
              <w:rPr>
                <w:rFonts w:cs="Arial"/>
                <w:color w:val="000000" w:themeColor="text1"/>
                <w:szCs w:val="16"/>
              </w:rPr>
              <w:t>14</w:t>
            </w:r>
          </w:p>
        </w:tc>
      </w:tr>
    </w:tbl>
    <w:p w14:paraId="4F425DAD" w14:textId="77777777" w:rsidR="00644AC8" w:rsidRPr="00781112" w:rsidRDefault="00644AC8" w:rsidP="005F442C">
      <w:pPr>
        <w:rPr>
          <w:rFonts w:cs="Arial"/>
          <w:b/>
          <w:color w:val="000000" w:themeColor="text1"/>
          <w:szCs w:val="16"/>
        </w:rPr>
      </w:pPr>
      <w:bookmarkStart w:id="82" w:name="_Toc392159335"/>
      <w:r w:rsidRPr="00781112">
        <w:rPr>
          <w:rFonts w:cs="Arial"/>
          <w:b/>
          <w:color w:val="000000" w:themeColor="text1"/>
          <w:szCs w:val="16"/>
        </w:rPr>
        <w:t>Provide additional information about this indicator (optional)</w:t>
      </w:r>
    </w:p>
    <w:p w14:paraId="40108CFD" w14:textId="77777777" w:rsidR="00326C0B" w:rsidRPr="00781112" w:rsidRDefault="002B7490" w:rsidP="007D435F">
      <w:pPr>
        <w:rPr>
          <w:rFonts w:cs="Arial"/>
          <w:color w:val="000000" w:themeColor="text1"/>
          <w:szCs w:val="16"/>
        </w:rPr>
      </w:pPr>
      <w:r w:rsidRPr="00781112">
        <w:rPr>
          <w:rFonts w:cs="Arial"/>
          <w:color w:val="000000" w:themeColor="text1"/>
          <w:szCs w:val="16"/>
        </w:rPr>
        <w:t xml:space="preserve">WVDE/OSE provides LEAs with focused professional development, technical assistance, and support to improve results for secondary transition planning and student outcomes for postschool opportunities. </w:t>
      </w:r>
    </w:p>
    <w:p w14:paraId="55FDA944" w14:textId="77777777" w:rsidR="00CA787A" w:rsidRDefault="00CA787A"/>
    <w:p w14:paraId="7F5369FE" w14:textId="77777777" w:rsidR="00CA787A" w:rsidRDefault="003169E9">
      <w:r>
        <w:rPr>
          <w:color w:val="000000"/>
        </w:rPr>
        <w:t>TECHNICAL ASSISTANCE and SUPPORT</w:t>
      </w:r>
    </w:p>
    <w:p w14:paraId="3E1642BD" w14:textId="77777777" w:rsidR="00CA787A" w:rsidRDefault="003169E9">
      <w:r>
        <w:rPr>
          <w:color w:val="000000"/>
        </w:rPr>
        <w:t>WVDE/OSE uses an evidence-based self-paced course called "Writing High-Quality Secondary Transition Plans" purchased from an OSEP-funded TA center. This self-paced course is available to anyone with a WVDE email address and is housed on the state's CANVAS platform. The WVDE/OSE secondary transition coordinator is the course “instructor” with access to enrollment and grade information. To promote public transparency of the course contents, companion resources have been developed from the materials within this course and made available in the secondary transition section of the WV Guideposts to Graduation (WVGtG) website [link: https://wvde.us/special-education/wv-guideposts-to-graduation/]. This course includes content in the following topics: Federal Regulations and Transition Services; Required components of the Transition Plan, Conducting Transition Assessments and Organizing the Data; Present Levels of Performance Requirements; Employability Skills; Writing Measurable Postsecondary Goals; Transition Services and Courses of Study; and Writing Annual Transition Goals. This course is available to all LEA staff as universal TA but is required when an LEA has been identified as not meeting IDEA requirements for secondary transition planning. WVDE/OSE also conducts 1:1 TA with LEAs via phone, Teams meetings, bi-monthly virtual office hours scheduled 1st Thurs/3rd Wed to accommodate classroom teacher availability, and in-person professional development sessions. General WVEIS data entry help is also available through the IEP 2.0 Help Desk request form [https://forms.office.com/Pages/ResponsePage.aspx?id=S7AZ4AwzekaLrgn7FzdNam0WL3tV-cJEo65AfqKcvWpUN0FBOUhYNE9GTTVLMVdLVUFLSTlRUlZZSS4u]</w:t>
      </w:r>
    </w:p>
    <w:p w14:paraId="770B2419" w14:textId="77777777" w:rsidR="00CA787A" w:rsidRDefault="00CA787A"/>
    <w:p w14:paraId="0174D250" w14:textId="77777777" w:rsidR="00CA787A" w:rsidRDefault="003169E9">
      <w:r>
        <w:rPr>
          <w:color w:val="000000"/>
        </w:rPr>
        <w:t>ALIGNMENT WITH SSIP</w:t>
      </w:r>
    </w:p>
    <w:p w14:paraId="79B50B05" w14:textId="77777777" w:rsidR="00CA787A" w:rsidRDefault="003169E9">
      <w:r>
        <w:rPr>
          <w:color w:val="000000"/>
        </w:rPr>
        <w:t>WVGtG/SSIP monthly Community of Practice focuses on improving graduation outcomes for students with disabilities. This includes resources and support on implementation of evidence-based practices (EBPs) related to secondary transition planning, work-based learning, and systems improvements to build LEA capacity for data analysis and inclusive practices. Participation in the CoP is mandatory for all LEAs who do not meet the compliance requirements for I13. This will ensure that all LEAs in West Virginia have the same foundations and support for writing high quality secondary transition plans.</w:t>
      </w:r>
    </w:p>
    <w:p w14:paraId="3174B55B" w14:textId="77777777" w:rsidR="00CA787A" w:rsidRDefault="00CA787A"/>
    <w:p w14:paraId="655E30B5" w14:textId="77777777" w:rsidR="00CA787A" w:rsidRDefault="003169E9">
      <w:r>
        <w:rPr>
          <w:color w:val="000000"/>
        </w:rPr>
        <w:t>WEBSITE RESOURCES [https://wvde.us/special-education/wv-guideposts-to-graduation/]</w:t>
      </w:r>
    </w:p>
    <w:p w14:paraId="697F88FC" w14:textId="77777777" w:rsidR="00CA787A" w:rsidRDefault="003169E9">
      <w:r>
        <w:rPr>
          <w:color w:val="000000"/>
        </w:rPr>
        <w:t xml:space="preserve">WVDE/OSE provides resources for secondary transition on its WVGtG website to enable school </w:t>
      </w:r>
      <w:proofErr w:type="gramStart"/>
      <w:r>
        <w:rPr>
          <w:color w:val="000000"/>
        </w:rPr>
        <w:t>staff</w:t>
      </w:r>
      <w:proofErr w:type="gramEnd"/>
      <w:r>
        <w:rPr>
          <w:color w:val="000000"/>
        </w:rPr>
        <w:t xml:space="preserve"> easier access to the most current information on secondary transition requirements. These resources include a list of statewide partnerships for LEAs to consider when determining appropriate outside agencies to be invited to IEP transition meetings and a list of state parks that are willing to support work-based learning opportunities for students with disabilities (SWD). WVDE/OSE will continue to seek stakeholder input on the effectiveness of these resources and the need for development of additional tools through use of the website feedback form (form is publicly posted in the 2nd paragraph on the website link above).</w:t>
      </w:r>
    </w:p>
    <w:p w14:paraId="5CB727B4" w14:textId="77777777" w:rsidR="00CA787A" w:rsidRDefault="00CA787A"/>
    <w:p w14:paraId="797AFD67" w14:textId="77777777" w:rsidR="00CA787A" w:rsidRDefault="003169E9">
      <w:r>
        <w:rPr>
          <w:color w:val="000000"/>
        </w:rPr>
        <w:t>OSEP-FUNDED TA CENTERS</w:t>
      </w:r>
    </w:p>
    <w:p w14:paraId="7E585086" w14:textId="77777777" w:rsidR="00CA787A" w:rsidRDefault="003169E9">
      <w:r>
        <w:rPr>
          <w:color w:val="000000"/>
        </w:rPr>
        <w:t xml:space="preserve">WVDE/OSE continues to work with NTACT:C to identify resources that will align transition services (including pre-ETS) for improved SEA support for school staff and families as they navigate the transition planning process. NTACT:C also facilitates monthly virtual meetings between WVDE and the WV Division of Rehabilitation Services (DRS) to collaborate on secondary transition service delivery and the development of common training opportunities for LEAs. NTACT:C has also begun working with WVDE/OSE to develop an interagency team with representation from the state’s parent center (PTI), juvenile corrections (WVSDT), and LEAs. Group representation was finalized at the very end of SY2023-2024 and became the Interagency Collaboration Team (IC Team) which will continue to coalesce around a common mission/vision during SY2024-2025. WVDE/OSE continues to work </w:t>
      </w:r>
      <w:r>
        <w:rPr>
          <w:color w:val="000000"/>
        </w:rPr>
        <w:lastRenderedPageBreak/>
        <w:t>with IDC/</w:t>
      </w:r>
      <w:proofErr w:type="spellStart"/>
      <w:r>
        <w:rPr>
          <w:color w:val="000000"/>
        </w:rPr>
        <w:t>Westat</w:t>
      </w:r>
      <w:proofErr w:type="spellEnd"/>
      <w:r>
        <w:rPr>
          <w:color w:val="000000"/>
        </w:rPr>
        <w:t xml:space="preserve"> and NCSI/WestEd to review its procedures for more efficient data collection and analysis intended to improve compliance for this indicator at the local level. The 4.81% gain in compliance for this reporting period indicates that WVDE/OSE’s efforts are making a difference. </w:t>
      </w:r>
    </w:p>
    <w:p w14:paraId="1D162B7A" w14:textId="77777777" w:rsidR="00CA787A" w:rsidRDefault="00CA787A"/>
    <w:p w14:paraId="768EB877" w14:textId="77777777" w:rsidR="00CA787A" w:rsidRDefault="003169E9">
      <w:r>
        <w:rPr>
          <w:color w:val="000000"/>
        </w:rPr>
        <w:t>STATEWIDE SECONDARY TRANSITION CONFERENCE</w:t>
      </w:r>
    </w:p>
    <w:p w14:paraId="5C47A291" w14:textId="77777777" w:rsidR="00CA787A" w:rsidRDefault="003169E9">
      <w:r>
        <w:rPr>
          <w:color w:val="000000"/>
        </w:rPr>
        <w:t>This conference was an interagency collaboration between WVDE/OSE, Mountain State Educational Services Cooperative, WV Developmental Disabilities Council, and WV Division of Rehabilitation Services. This conference, held in June 2024, provided training and resources to families and school staff on secondary transition planning and services to ensure that SWDs are well-prepared for post-secondary education, employment, and independent living. Total attendance at this all expenses paid conference reached the maximum of 250 for the venue. Feedback from participants included very positive comments such as “this conference was beyond my expectations”, “most enjoyable informative conference I’ve attended.”, “no improvements needed. Sessions and time management were excellent, facility was clean and food delicious, and vendors were great”, and “I would love to attend again if another conference is held next year! Great info for parents!!” The least positive comments included requests for a more information on fiscal topics such as waivers and setting up trusts, and a request for a future 2-day conference to allow participants to attend more sessions.</w:t>
      </w:r>
    </w:p>
    <w:p w14:paraId="43347FE6" w14:textId="77777777" w:rsidR="00CA787A" w:rsidRDefault="00CA787A"/>
    <w:p w14:paraId="501B719F" w14:textId="77777777" w:rsidR="00CA787A" w:rsidRDefault="003169E9">
      <w:r>
        <w:rPr>
          <w:color w:val="000000"/>
        </w:rPr>
        <w:t>METHODOLOGY CHANGE</w:t>
      </w:r>
    </w:p>
    <w:p w14:paraId="47E2BD26" w14:textId="77777777" w:rsidR="00CA787A" w:rsidRDefault="003169E9">
      <w:r>
        <w:rPr>
          <w:color w:val="000000"/>
        </w:rPr>
        <w:t>Prior to using a sample size calculator, data had been analyzed without taking into consideration unequal population sizes between cohorts and increased the potential for over/under sampling in any given data collection. When cohorts included very small rural LEAs, it was difficult to compare data between cohorts and the potential for sampling bias increased. Changing the methodology to include a sample size calculator provided better representation, more accurate comparisons, and ensured that each cohort’s sample was statistically valid. With the change in methodology, WVDE/OSE also needed to revise the baseline for this indicator to ensure that comparisons are accurate and meaningful. For I13, the baseline for FFY 2024 was set at 80.52%, based on the use of a sample size calculation to ensure that there were statistical validity and reliability of data between cohorts. As a compliance indicator, the targets for FFY 2024 through FFY 2025 remained set at 100%. Stakeholders were engaged in this process to ensure the methodology change was fair to both large and small LEAs in the state.</w:t>
      </w:r>
    </w:p>
    <w:p w14:paraId="607F3338" w14:textId="77777777" w:rsidR="00AF12E4" w:rsidRPr="00781112" w:rsidRDefault="00AF12E4" w:rsidP="004369B2">
      <w:pPr>
        <w:rPr>
          <w:color w:val="000000" w:themeColor="text1"/>
        </w:rPr>
      </w:pPr>
    </w:p>
    <w:p w14:paraId="0ADCD213" w14:textId="77777777" w:rsidR="009A755E" w:rsidRPr="00781112" w:rsidRDefault="00450F98" w:rsidP="004369B2">
      <w:pPr>
        <w:rPr>
          <w:color w:val="000000" w:themeColor="text1"/>
        </w:rPr>
      </w:pPr>
      <w:r>
        <w:rPr>
          <w:b/>
          <w:color w:val="000000" w:themeColor="text1"/>
        </w:rPr>
        <w:t>Correction of Findings of Noncompliance Identified in FFY 2023</w:t>
      </w:r>
    </w:p>
    <w:tbl>
      <w:tblPr>
        <w:tblStyle w:val="TableGrid"/>
        <w:tblW w:w="5000" w:type="pct"/>
        <w:tblLook w:val="04A0" w:firstRow="1" w:lastRow="0" w:firstColumn="1" w:lastColumn="0" w:noHBand="0" w:noVBand="1"/>
        <w:tblCaption w:val="B13PFFYNCFINDINGS"/>
      </w:tblPr>
      <w:tblGrid>
        <w:gridCol w:w="2650"/>
        <w:gridCol w:w="2780"/>
        <w:gridCol w:w="2656"/>
        <w:gridCol w:w="2704"/>
      </w:tblGrid>
      <w:tr w:rsidR="005C29F8" w:rsidRPr="00781112" w14:paraId="2633F980" w14:textId="77777777" w:rsidTr="00A947D9">
        <w:trPr>
          <w:trHeight w:val="389"/>
          <w:tblHeader/>
        </w:trPr>
        <w:tc>
          <w:tcPr>
            <w:tcW w:w="1228" w:type="pct"/>
            <w:vAlign w:val="bottom"/>
          </w:tcPr>
          <w:p w14:paraId="5473D780"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vAlign w:val="bottom"/>
          </w:tcPr>
          <w:p w14:paraId="7B1F36F8"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vAlign w:val="bottom"/>
          </w:tcPr>
          <w:p w14:paraId="778CB064"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vAlign w:val="bottom"/>
          </w:tcPr>
          <w:p w14:paraId="6B57E68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32CAAF72" w14:textId="77777777" w:rsidTr="00A947D9">
        <w:tc>
          <w:tcPr>
            <w:tcW w:w="1228" w:type="pct"/>
          </w:tcPr>
          <w:p w14:paraId="32F77459" w14:textId="77777777" w:rsidR="009A755E" w:rsidRPr="00781112" w:rsidRDefault="002B7490" w:rsidP="004369B2">
            <w:pPr>
              <w:jc w:val="center"/>
              <w:rPr>
                <w:rFonts w:cs="Arial"/>
                <w:color w:val="000000" w:themeColor="text1"/>
                <w:szCs w:val="16"/>
              </w:rPr>
            </w:pPr>
            <w:r w:rsidRPr="00781112">
              <w:rPr>
                <w:rFonts w:cs="Arial"/>
                <w:color w:val="000000" w:themeColor="text1"/>
                <w:szCs w:val="16"/>
              </w:rPr>
              <w:t>18</w:t>
            </w:r>
          </w:p>
        </w:tc>
        <w:tc>
          <w:tcPr>
            <w:tcW w:w="1288" w:type="pct"/>
          </w:tcPr>
          <w:p w14:paraId="5A3753CC" w14:textId="77777777" w:rsidR="009A755E" w:rsidRPr="00781112" w:rsidRDefault="002B7490" w:rsidP="004369B2">
            <w:pPr>
              <w:jc w:val="center"/>
              <w:rPr>
                <w:rFonts w:cs="Arial"/>
                <w:color w:val="000000" w:themeColor="text1"/>
                <w:szCs w:val="16"/>
              </w:rPr>
            </w:pPr>
            <w:r w:rsidRPr="00781112">
              <w:rPr>
                <w:rFonts w:cs="Arial"/>
                <w:color w:val="000000" w:themeColor="text1"/>
                <w:szCs w:val="16"/>
              </w:rPr>
              <w:t>18</w:t>
            </w:r>
          </w:p>
        </w:tc>
        <w:tc>
          <w:tcPr>
            <w:tcW w:w="1231" w:type="pct"/>
          </w:tcPr>
          <w:p w14:paraId="17968E4E" w14:textId="77777777"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54" w:type="pct"/>
          </w:tcPr>
          <w:p w14:paraId="05DE0DF9" w14:textId="77777777"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r>
    </w:tbl>
    <w:p w14:paraId="24B985C7" w14:textId="77777777" w:rsidR="009A755E" w:rsidRPr="00781112" w:rsidRDefault="00450F98" w:rsidP="004369B2">
      <w:pPr>
        <w:rPr>
          <w:color w:val="000000" w:themeColor="text1"/>
        </w:rPr>
      </w:pPr>
      <w:r>
        <w:rPr>
          <w:b/>
          <w:color w:val="000000" w:themeColor="text1"/>
        </w:rPr>
        <w:t>FFY 2023 Findings of Noncompliance Verified as Corrected</w:t>
      </w:r>
    </w:p>
    <w:p w14:paraId="7C4DE334" w14:textId="77777777"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53123FC5" w14:textId="77777777" w:rsidR="00326C0B" w:rsidRPr="00781112" w:rsidRDefault="002B7490" w:rsidP="009A755E">
      <w:pPr>
        <w:rPr>
          <w:rFonts w:cs="Arial"/>
          <w:color w:val="000000" w:themeColor="text1"/>
          <w:szCs w:val="16"/>
        </w:rPr>
      </w:pPr>
      <w:r w:rsidRPr="00781112">
        <w:rPr>
          <w:rFonts w:cs="Arial"/>
          <w:color w:val="000000" w:themeColor="text1"/>
          <w:szCs w:val="16"/>
        </w:rPr>
        <w:t>Consistent with OSEP QA 23-01, each of the eighteen (18) LEAs identified in FFY 2023 as noncompliant corrected each individual instance of noncompliance, and the subsequent review of updated data showed that each LEA is implementing secondary transition requirements with 100% compliance. Subsequent updated data was obtained through WVEIS (the state’s data system) and integrated monitoring activities (e.g., additional file reviews, past performance in this indicator, and timely completion of any corrective action plans). LEAs may not be considered cleared for systemic noncompliance if at any time they have individual cases of noncompliance not corrected within one year or have not completed corrective activities specified in written notification of noncompliance. Based upon the updated reviews, WVDE/OSE verified that each LEA with noncompliance is now correctly implementing the specific regulatory requirement(s) (i.e., achieved 100% compliance).</w:t>
      </w:r>
    </w:p>
    <w:p w14:paraId="7E254865" w14:textId="77777777"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7757571B" w14:textId="77777777" w:rsidR="00326C0B" w:rsidRPr="00781112" w:rsidRDefault="002B7490" w:rsidP="009A755E">
      <w:pPr>
        <w:rPr>
          <w:rFonts w:cs="Arial"/>
          <w:color w:val="000000" w:themeColor="text1"/>
          <w:szCs w:val="16"/>
        </w:rPr>
      </w:pPr>
      <w:r w:rsidRPr="00781112">
        <w:rPr>
          <w:rFonts w:cs="Arial"/>
          <w:color w:val="000000" w:themeColor="text1"/>
          <w:szCs w:val="16"/>
        </w:rPr>
        <w:t>Consistent with OSEP QA 23-01, WVDE/OSE verified 100% compliance through subsequent file reviews for each of the 155 individual student files identified in FFY 2023 as noncompliant for secondary transition plans. Individual cases of noncompliance were reviewed for each of the required components of transition planning, unless the student was no longer in the jurisdiction of the noncompliant LEA. WVDE/OSE verified that each student file was corrected through a review of updated data obtained from the WV statewide online IEP system (WVEIS), uploaded evidence to a secure SharePoint folder, or during an on-site visit to the LEA and that each of the 18 LEAs is now implementing student transition plans with 100% compliance.</w:t>
      </w:r>
    </w:p>
    <w:p w14:paraId="6CB58FEE" w14:textId="77777777" w:rsidR="00541D9E" w:rsidRPr="002E2B1D" w:rsidRDefault="00541D9E" w:rsidP="00541D9E">
      <w:pPr>
        <w:keepNext/>
        <w:spacing w:after="0"/>
        <w:rPr>
          <w:rFonts w:eastAsia="Times New Roman" w:cs="Arial"/>
          <w:b/>
          <w:szCs w:val="16"/>
        </w:rPr>
      </w:pPr>
      <w:r w:rsidRPr="002E2B1D">
        <w:rPr>
          <w:rFonts w:eastAsia="Times New Roman" w:cs="Arial"/>
          <w:b/>
          <w:szCs w:val="16"/>
        </w:rPr>
        <w:t xml:space="preserve">If procedures have been adopted that permit LEAs to correct noncompliance prior to the State’s issuance of a finding (i.e., pre-finding correction), describe how, for instances of noncompliance discovered in FFY 2023, the State verified: (1) that the source of noncompliance is correctly implementing the regulatory requirements; </w:t>
      </w:r>
      <w:proofErr w:type="gramStart"/>
      <w:r w:rsidRPr="002E2B1D">
        <w:rPr>
          <w:rFonts w:eastAsia="Times New Roman" w:cs="Arial"/>
          <w:b/>
          <w:szCs w:val="16"/>
        </w:rPr>
        <w:t>and,</w:t>
      </w:r>
      <w:proofErr w:type="gramEnd"/>
      <w:r w:rsidRPr="002E2B1D">
        <w:rPr>
          <w:rFonts w:eastAsia="Times New Roman" w:cs="Arial"/>
          <w:b/>
          <w:szCs w:val="16"/>
        </w:rPr>
        <w:t xml:space="preserve"> (2) each individual case of noncompliance was corrected. </w:t>
      </w:r>
    </w:p>
    <w:p w14:paraId="0C5F97AC" w14:textId="77777777" w:rsidR="00541D9E" w:rsidRPr="008C215C" w:rsidRDefault="00541D9E" w:rsidP="00541D9E">
      <w:r w:rsidRPr="008C215C">
        <w:t xml:space="preserve">WVDE/OSE has not adopted procedures that permit LEAs to correct identified noncompliance prior to the issuance of a finding. </w:t>
      </w:r>
    </w:p>
    <w:p w14:paraId="4A4A5EDA" w14:textId="77777777" w:rsidR="009A755E" w:rsidRPr="00781112" w:rsidRDefault="00450F98" w:rsidP="004369B2">
      <w:pPr>
        <w:rPr>
          <w:color w:val="000000" w:themeColor="text1"/>
        </w:rPr>
      </w:pPr>
      <w:r>
        <w:rPr>
          <w:b/>
          <w:color w:val="000000" w:themeColor="text1"/>
        </w:rPr>
        <w:t>Correction of Findings of Noncompliance Identified Prior to FFY 2023</w:t>
      </w:r>
    </w:p>
    <w:tbl>
      <w:tblPr>
        <w:tblStyle w:val="TableGrid"/>
        <w:tblW w:w="5000" w:type="pct"/>
        <w:tblLook w:val="04A0" w:firstRow="1" w:lastRow="0" w:firstColumn="1" w:lastColumn="0" w:noHBand="0" w:noVBand="1"/>
        <w:tblCaption w:val="B13PPFFYNCFINDINGS"/>
      </w:tblPr>
      <w:tblGrid>
        <w:gridCol w:w="2132"/>
        <w:gridCol w:w="3153"/>
        <w:gridCol w:w="2842"/>
        <w:gridCol w:w="2663"/>
      </w:tblGrid>
      <w:tr w:rsidR="005C29F8" w:rsidRPr="00781112" w14:paraId="447FC466" w14:textId="77777777" w:rsidTr="00A947D9">
        <w:trPr>
          <w:tblHeader/>
        </w:trPr>
        <w:tc>
          <w:tcPr>
            <w:tcW w:w="988" w:type="pct"/>
            <w:vAlign w:val="bottom"/>
          </w:tcPr>
          <w:p w14:paraId="2225A1F8" w14:textId="77777777"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61" w:type="pct"/>
            <w:vAlign w:val="bottom"/>
          </w:tcPr>
          <w:p w14:paraId="18C37998" w14:textId="77777777"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2023 APR</w:t>
            </w:r>
          </w:p>
        </w:tc>
        <w:tc>
          <w:tcPr>
            <w:tcW w:w="1317" w:type="pct"/>
            <w:vAlign w:val="bottom"/>
          </w:tcPr>
          <w:p w14:paraId="1E1C6F2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34" w:type="pct"/>
            <w:vAlign w:val="bottom"/>
          </w:tcPr>
          <w:p w14:paraId="43E1B23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66526A6A" w14:textId="77777777" w:rsidTr="00A947D9">
        <w:tc>
          <w:tcPr>
            <w:tcW w:w="988" w:type="pct"/>
          </w:tcPr>
          <w:p w14:paraId="749E48A8" w14:textId="77777777" w:rsidR="009A755E" w:rsidRPr="00781112" w:rsidRDefault="009A755E" w:rsidP="00A018D4">
            <w:pPr>
              <w:jc w:val="center"/>
              <w:rPr>
                <w:rFonts w:cs="Arial"/>
                <w:color w:val="000000" w:themeColor="text1"/>
                <w:szCs w:val="16"/>
              </w:rPr>
            </w:pPr>
          </w:p>
        </w:tc>
        <w:tc>
          <w:tcPr>
            <w:tcW w:w="1461" w:type="pct"/>
          </w:tcPr>
          <w:p w14:paraId="7756396F" w14:textId="77777777" w:rsidR="009A755E" w:rsidRPr="00781112" w:rsidRDefault="009A755E">
            <w:pPr>
              <w:jc w:val="center"/>
              <w:rPr>
                <w:rFonts w:cs="Arial"/>
                <w:noProof/>
                <w:color w:val="000000" w:themeColor="text1"/>
                <w:szCs w:val="16"/>
              </w:rPr>
            </w:pPr>
          </w:p>
        </w:tc>
        <w:tc>
          <w:tcPr>
            <w:tcW w:w="1317" w:type="pct"/>
          </w:tcPr>
          <w:p w14:paraId="41E64073" w14:textId="77777777" w:rsidR="009A755E" w:rsidRPr="00781112" w:rsidRDefault="009A755E">
            <w:pPr>
              <w:jc w:val="center"/>
              <w:rPr>
                <w:rFonts w:cs="Arial"/>
                <w:noProof/>
                <w:color w:val="000000" w:themeColor="text1"/>
                <w:szCs w:val="16"/>
              </w:rPr>
            </w:pPr>
          </w:p>
        </w:tc>
        <w:tc>
          <w:tcPr>
            <w:tcW w:w="1234" w:type="pct"/>
          </w:tcPr>
          <w:p w14:paraId="39434F9F" w14:textId="77777777" w:rsidR="009A755E" w:rsidRPr="00781112" w:rsidRDefault="009A755E">
            <w:pPr>
              <w:jc w:val="center"/>
              <w:rPr>
                <w:rFonts w:cs="Arial"/>
                <w:noProof/>
                <w:color w:val="000000" w:themeColor="text1"/>
                <w:szCs w:val="16"/>
              </w:rPr>
            </w:pPr>
          </w:p>
        </w:tc>
      </w:tr>
      <w:tr w:rsidR="005C29F8" w:rsidRPr="00781112" w14:paraId="6902F725" w14:textId="77777777" w:rsidTr="00A947D9">
        <w:tc>
          <w:tcPr>
            <w:tcW w:w="988" w:type="pct"/>
          </w:tcPr>
          <w:p w14:paraId="02C954AE" w14:textId="77777777" w:rsidR="009A755E" w:rsidRPr="00781112" w:rsidRDefault="009A755E" w:rsidP="00A018D4">
            <w:pPr>
              <w:jc w:val="center"/>
              <w:rPr>
                <w:rFonts w:cs="Arial"/>
                <w:color w:val="000000" w:themeColor="text1"/>
                <w:szCs w:val="16"/>
              </w:rPr>
            </w:pPr>
          </w:p>
        </w:tc>
        <w:tc>
          <w:tcPr>
            <w:tcW w:w="1461" w:type="pct"/>
          </w:tcPr>
          <w:p w14:paraId="00C24778" w14:textId="77777777" w:rsidR="009A755E" w:rsidRPr="00781112" w:rsidRDefault="009A755E">
            <w:pPr>
              <w:jc w:val="center"/>
              <w:rPr>
                <w:rFonts w:cs="Arial"/>
                <w:noProof/>
                <w:color w:val="000000" w:themeColor="text1"/>
                <w:szCs w:val="16"/>
              </w:rPr>
            </w:pPr>
          </w:p>
        </w:tc>
        <w:tc>
          <w:tcPr>
            <w:tcW w:w="1317" w:type="pct"/>
          </w:tcPr>
          <w:p w14:paraId="383C792C" w14:textId="77777777" w:rsidR="009A755E" w:rsidRPr="00781112" w:rsidRDefault="009A755E">
            <w:pPr>
              <w:jc w:val="center"/>
              <w:rPr>
                <w:rFonts w:cs="Arial"/>
                <w:noProof/>
                <w:color w:val="000000" w:themeColor="text1"/>
                <w:szCs w:val="16"/>
              </w:rPr>
            </w:pPr>
          </w:p>
        </w:tc>
        <w:tc>
          <w:tcPr>
            <w:tcW w:w="1234" w:type="pct"/>
          </w:tcPr>
          <w:p w14:paraId="03016EC4" w14:textId="77777777" w:rsidR="009A755E" w:rsidRPr="00781112" w:rsidRDefault="009A755E">
            <w:pPr>
              <w:jc w:val="center"/>
              <w:rPr>
                <w:rFonts w:cs="Arial"/>
                <w:noProof/>
                <w:color w:val="000000" w:themeColor="text1"/>
                <w:szCs w:val="16"/>
              </w:rPr>
            </w:pPr>
          </w:p>
        </w:tc>
      </w:tr>
      <w:tr w:rsidR="005C29F8" w:rsidRPr="00781112" w14:paraId="2AD9CC3C" w14:textId="77777777" w:rsidTr="00A947D9">
        <w:tc>
          <w:tcPr>
            <w:tcW w:w="988" w:type="pct"/>
          </w:tcPr>
          <w:p w14:paraId="31D02B26" w14:textId="77777777" w:rsidR="009A755E" w:rsidRPr="00781112" w:rsidRDefault="009A755E" w:rsidP="00A018D4">
            <w:pPr>
              <w:jc w:val="center"/>
              <w:rPr>
                <w:rFonts w:cs="Arial"/>
                <w:color w:val="000000" w:themeColor="text1"/>
                <w:szCs w:val="16"/>
              </w:rPr>
            </w:pPr>
          </w:p>
        </w:tc>
        <w:tc>
          <w:tcPr>
            <w:tcW w:w="1461" w:type="pct"/>
          </w:tcPr>
          <w:p w14:paraId="1A142015" w14:textId="77777777" w:rsidR="009A755E" w:rsidRPr="00781112" w:rsidRDefault="009A755E">
            <w:pPr>
              <w:jc w:val="center"/>
              <w:rPr>
                <w:rFonts w:cs="Arial"/>
                <w:noProof/>
                <w:color w:val="000000" w:themeColor="text1"/>
                <w:szCs w:val="16"/>
              </w:rPr>
            </w:pPr>
          </w:p>
        </w:tc>
        <w:tc>
          <w:tcPr>
            <w:tcW w:w="1317" w:type="pct"/>
          </w:tcPr>
          <w:p w14:paraId="111F7FDA" w14:textId="77777777" w:rsidR="009A755E" w:rsidRPr="00781112" w:rsidRDefault="009A755E">
            <w:pPr>
              <w:jc w:val="center"/>
              <w:rPr>
                <w:rFonts w:cs="Arial"/>
                <w:noProof/>
                <w:color w:val="000000" w:themeColor="text1"/>
                <w:szCs w:val="16"/>
              </w:rPr>
            </w:pPr>
          </w:p>
        </w:tc>
        <w:tc>
          <w:tcPr>
            <w:tcW w:w="1234" w:type="pct"/>
          </w:tcPr>
          <w:p w14:paraId="007886D8" w14:textId="77777777" w:rsidR="009A755E" w:rsidRPr="00781112" w:rsidRDefault="009A755E">
            <w:pPr>
              <w:jc w:val="center"/>
              <w:rPr>
                <w:rFonts w:cs="Arial"/>
                <w:noProof/>
                <w:color w:val="000000" w:themeColor="text1"/>
                <w:szCs w:val="16"/>
              </w:rPr>
            </w:pPr>
          </w:p>
        </w:tc>
      </w:tr>
      <w:tr w:rsidR="00427654" w:rsidRPr="00781112" w14:paraId="77E2901F" w14:textId="77777777" w:rsidTr="00A947D9">
        <w:tc>
          <w:tcPr>
            <w:tcW w:w="988" w:type="pct"/>
          </w:tcPr>
          <w:p w14:paraId="007CE362" w14:textId="77777777" w:rsidR="00427654" w:rsidRPr="00781112" w:rsidRDefault="00427654" w:rsidP="00427654">
            <w:pPr>
              <w:jc w:val="center"/>
              <w:rPr>
                <w:rFonts w:cs="Arial"/>
                <w:color w:val="000000" w:themeColor="text1"/>
                <w:szCs w:val="16"/>
              </w:rPr>
            </w:pPr>
          </w:p>
        </w:tc>
        <w:tc>
          <w:tcPr>
            <w:tcW w:w="1461" w:type="pct"/>
          </w:tcPr>
          <w:p w14:paraId="522BCD73" w14:textId="77777777" w:rsidR="00427654" w:rsidRPr="00781112" w:rsidRDefault="00427654" w:rsidP="00427654">
            <w:pPr>
              <w:jc w:val="center"/>
              <w:rPr>
                <w:rFonts w:cs="Arial"/>
                <w:color w:val="000000" w:themeColor="text1"/>
                <w:szCs w:val="16"/>
              </w:rPr>
            </w:pPr>
          </w:p>
        </w:tc>
        <w:tc>
          <w:tcPr>
            <w:tcW w:w="1317" w:type="pct"/>
          </w:tcPr>
          <w:p w14:paraId="7575A8BA" w14:textId="77777777" w:rsidR="00427654" w:rsidRPr="00781112" w:rsidRDefault="00427654" w:rsidP="00427654">
            <w:pPr>
              <w:jc w:val="center"/>
              <w:rPr>
                <w:rFonts w:cs="Arial"/>
                <w:color w:val="000000" w:themeColor="text1"/>
                <w:szCs w:val="16"/>
              </w:rPr>
            </w:pPr>
          </w:p>
        </w:tc>
        <w:tc>
          <w:tcPr>
            <w:tcW w:w="1234" w:type="pct"/>
          </w:tcPr>
          <w:p w14:paraId="3DD6E381" w14:textId="77777777" w:rsidR="00427654" w:rsidRPr="00781112" w:rsidRDefault="00427654" w:rsidP="00427654">
            <w:pPr>
              <w:jc w:val="center"/>
              <w:rPr>
                <w:rFonts w:cs="Arial"/>
                <w:color w:val="000000" w:themeColor="text1"/>
                <w:szCs w:val="16"/>
              </w:rPr>
            </w:pPr>
          </w:p>
        </w:tc>
      </w:tr>
      <w:tr w:rsidR="00427654" w:rsidRPr="00781112" w14:paraId="33C4E7FF" w14:textId="77777777" w:rsidTr="00A947D9">
        <w:tc>
          <w:tcPr>
            <w:tcW w:w="988" w:type="pct"/>
          </w:tcPr>
          <w:p w14:paraId="49BFE14F" w14:textId="77777777" w:rsidR="00427654" w:rsidRPr="00781112" w:rsidRDefault="00427654" w:rsidP="00427654">
            <w:pPr>
              <w:jc w:val="center"/>
              <w:rPr>
                <w:rFonts w:cs="Arial"/>
                <w:color w:val="000000" w:themeColor="text1"/>
                <w:szCs w:val="16"/>
              </w:rPr>
            </w:pPr>
          </w:p>
        </w:tc>
        <w:tc>
          <w:tcPr>
            <w:tcW w:w="1461" w:type="pct"/>
          </w:tcPr>
          <w:p w14:paraId="61336AD7" w14:textId="77777777" w:rsidR="00427654" w:rsidRPr="00781112" w:rsidRDefault="00427654" w:rsidP="00427654">
            <w:pPr>
              <w:jc w:val="center"/>
              <w:rPr>
                <w:rFonts w:cs="Arial"/>
                <w:color w:val="000000" w:themeColor="text1"/>
                <w:szCs w:val="16"/>
              </w:rPr>
            </w:pPr>
          </w:p>
        </w:tc>
        <w:tc>
          <w:tcPr>
            <w:tcW w:w="1317" w:type="pct"/>
          </w:tcPr>
          <w:p w14:paraId="0C969D77" w14:textId="77777777" w:rsidR="00427654" w:rsidRPr="00781112" w:rsidRDefault="00427654" w:rsidP="00427654">
            <w:pPr>
              <w:jc w:val="center"/>
              <w:rPr>
                <w:rFonts w:cs="Arial"/>
                <w:color w:val="000000" w:themeColor="text1"/>
                <w:szCs w:val="16"/>
              </w:rPr>
            </w:pPr>
          </w:p>
        </w:tc>
        <w:tc>
          <w:tcPr>
            <w:tcW w:w="1234" w:type="pct"/>
          </w:tcPr>
          <w:p w14:paraId="09238C2A" w14:textId="77777777" w:rsidR="00427654" w:rsidRPr="00781112" w:rsidRDefault="00427654" w:rsidP="00427654">
            <w:pPr>
              <w:jc w:val="center"/>
              <w:rPr>
                <w:rFonts w:cs="Arial"/>
                <w:color w:val="000000" w:themeColor="text1"/>
                <w:szCs w:val="16"/>
              </w:rPr>
            </w:pPr>
          </w:p>
        </w:tc>
      </w:tr>
    </w:tbl>
    <w:p w14:paraId="2404F914" w14:textId="77777777" w:rsidR="004E2151" w:rsidRPr="00781112" w:rsidRDefault="00056350" w:rsidP="00123D76">
      <w:pPr>
        <w:pStyle w:val="Heading2"/>
      </w:pPr>
      <w:r w:rsidRPr="00781112">
        <w:t>13</w:t>
      </w:r>
      <w:r w:rsidR="001D508D" w:rsidRPr="00781112">
        <w:t xml:space="preserve"> </w:t>
      </w:r>
      <w:r w:rsidRPr="00781112">
        <w:t xml:space="preserve">- </w:t>
      </w:r>
      <w:r w:rsidR="004E2151" w:rsidRPr="00781112">
        <w:t>Prior FFY Required Actions</w:t>
      </w:r>
    </w:p>
    <w:p w14:paraId="6DD44D21" w14:textId="77777777" w:rsidR="004E2151" w:rsidRPr="00781112" w:rsidRDefault="002B7490" w:rsidP="004E2151">
      <w:pPr>
        <w:rPr>
          <w:rFonts w:cs="Arial"/>
          <w:color w:val="000000" w:themeColor="text1"/>
          <w:szCs w:val="16"/>
        </w:rPr>
      </w:pPr>
      <w:r w:rsidRPr="00781112">
        <w:rPr>
          <w:rFonts w:cs="Arial"/>
          <w:color w:val="000000" w:themeColor="text1"/>
          <w:szCs w:val="16"/>
        </w:rPr>
        <w:t xml:space="preserve">Because the State reported less than 100% compliance for FFY 2023, the State must report on the status of correction of noncompliance identified in FFY 2023 for this indicator. When reporting on the correction of noncompliance, the State must report, in the FFY 2024 SPP/APR, that it has verified that each LEA with noncompliance identified in FFY 2023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and no outstanding corrective action exists under a State complaint or due process hearing decision for the child, consistent with OSEP QA 23-01. In the FFY 2024 SPP/APR, the State must describe the specific actions that were taken to verify the correction. If the State did not identify any findings of noncompliance in FFY 2023, although its </w:t>
      </w:r>
      <w:r w:rsidRPr="00781112">
        <w:rPr>
          <w:rFonts w:cs="Arial"/>
          <w:color w:val="000000" w:themeColor="text1"/>
          <w:szCs w:val="16"/>
        </w:rPr>
        <w:lastRenderedPageBreak/>
        <w:t>FFY 2023 data reflect less than 100% compliance, provide an explanation of why the State did not identify any findings. If the State did not issue any findings because it has adopted procedures that permit its LEAs to correct noncompliance prior to the State's issuance of a finding, the explanation must include how the State verified, prior to issuing a finding, that the LEA has corrected each individual case of child-specific noncompliance and is correctly implementing the specific regulatory requirements.</w:t>
      </w:r>
    </w:p>
    <w:p w14:paraId="049FD52A" w14:textId="77777777" w:rsidR="009F69E7" w:rsidRPr="00781112" w:rsidRDefault="009F69E7" w:rsidP="004E2151">
      <w:pPr>
        <w:rPr>
          <w:rFonts w:cs="Arial"/>
          <w:color w:val="000000" w:themeColor="text1"/>
          <w:szCs w:val="16"/>
        </w:rPr>
      </w:pPr>
    </w:p>
    <w:p w14:paraId="02C16E93" w14:textId="77777777" w:rsidR="004E2151" w:rsidRPr="00781112" w:rsidRDefault="007639D7" w:rsidP="004369B2">
      <w:pPr>
        <w:rPr>
          <w:b/>
          <w:color w:val="000000" w:themeColor="text1"/>
        </w:rPr>
      </w:pPr>
      <w:r>
        <w:rPr>
          <w:b/>
          <w:color w:val="000000" w:themeColor="text1"/>
        </w:rPr>
        <w:t>Response to actions required in FFY 2023 SPP/APR</w:t>
      </w:r>
    </w:p>
    <w:p w14:paraId="51BBA75D" w14:textId="77777777" w:rsidR="009F69E7" w:rsidRPr="00781112" w:rsidRDefault="002B7490" w:rsidP="004E2151">
      <w:pPr>
        <w:rPr>
          <w:rFonts w:cs="Arial"/>
          <w:color w:val="000000" w:themeColor="text1"/>
          <w:szCs w:val="16"/>
        </w:rPr>
      </w:pPr>
      <w:r w:rsidRPr="00781112">
        <w:rPr>
          <w:rFonts w:cs="Arial"/>
          <w:color w:val="000000" w:themeColor="text1"/>
          <w:szCs w:val="16"/>
        </w:rPr>
        <w:t>Based on a review of updated data WVDE/OSE has verified that each LEA with noncompliance identified in FFY 2023 for this indicator is correctly implementing the specific regulatory requirements (i.e., achieved 100% compliance) and consistent with OSEP QA 23-01 has corrected each individual case of noncompliance, unless the child is no longer within the jurisdiction of the LEA.  The specific actions are described in the sections above.</w:t>
      </w:r>
    </w:p>
    <w:p w14:paraId="271069D7" w14:textId="77777777" w:rsidR="007F5071" w:rsidRPr="00781112" w:rsidRDefault="00056350" w:rsidP="00123D76">
      <w:pPr>
        <w:pStyle w:val="Heading2"/>
      </w:pPr>
      <w:r w:rsidRPr="00781112">
        <w:t>13 - OSEP Response</w:t>
      </w:r>
    </w:p>
    <w:p w14:paraId="3BB9196C" w14:textId="77777777" w:rsidR="00293C7E" w:rsidRPr="00781112" w:rsidRDefault="002B7490" w:rsidP="00212954">
      <w:pPr>
        <w:rPr>
          <w:rFonts w:cs="Arial"/>
          <w:color w:val="000000" w:themeColor="text1"/>
          <w:szCs w:val="16"/>
        </w:rPr>
      </w:pPr>
      <w:r w:rsidRPr="00781112">
        <w:rPr>
          <w:rFonts w:cs="Arial"/>
          <w:color w:val="000000" w:themeColor="text1"/>
          <w:szCs w:val="16"/>
        </w:rPr>
        <w:t>The State has revised the baseline for this indicator, using data from FFY 2024, and OSEP accepts that revision.</w:t>
      </w:r>
    </w:p>
    <w:p w14:paraId="4711268A" w14:textId="77777777" w:rsidR="007F5071" w:rsidRPr="00781112" w:rsidRDefault="00056350" w:rsidP="00123D76">
      <w:pPr>
        <w:pStyle w:val="Heading2"/>
      </w:pPr>
      <w:r w:rsidRPr="00781112">
        <w:t>13 - Required Actions</w:t>
      </w:r>
    </w:p>
    <w:p w14:paraId="780061F5" w14:textId="77777777" w:rsidR="00293C7E" w:rsidRPr="00781112" w:rsidRDefault="002B7490" w:rsidP="00212954">
      <w:pPr>
        <w:rPr>
          <w:rFonts w:cs="Arial"/>
          <w:color w:val="000000" w:themeColor="text1"/>
          <w:szCs w:val="16"/>
        </w:rPr>
      </w:pPr>
      <w:r w:rsidRPr="00781112">
        <w:rPr>
          <w:rFonts w:cs="Arial"/>
          <w:color w:val="000000" w:themeColor="text1"/>
          <w:szCs w:val="16"/>
        </w:rPr>
        <w:t>Because the State reported less than 100% compliance for FFY 2024, the State must report on the status of correction of noncompliance identified in FFY 2024 for this indicator. When reporting on the correction of noncompliance, the State must report, in the FFY 2025 SPP/APR, that it has verified that each LEA with noncompliance identified in FFY 2024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and no outstanding corrective action exists under a State complaint or due process hearing decision for the child, consistent with OSEP QA 23-01. In the FFY 2025 SPP/APR, the State must describe the specific actions that were taken to verify the correction. If the State did not identify any findings of noncompliance in FFY 2024, although its FFY 2024 data reflect less than 100% compliance, provide an explanation of why the State did not identify any findings. If the State did not issue any findings because it has adopted procedures that permit its LEAs to correct noncompliance prior to the State's issuance of a finding, the explanation must include how the State verified, prior to issuing a finding, that the LEA has corrected each individual case of child-specific noncompliance and is correctly implementing the specific regulatory requirements.</w:t>
      </w:r>
    </w:p>
    <w:p w14:paraId="41BAEE70"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3B5A1109" w14:textId="77777777" w:rsidR="00B3462E" w:rsidRPr="00781112" w:rsidRDefault="00B3462E" w:rsidP="000444E2">
      <w:pPr>
        <w:pStyle w:val="Heading1"/>
        <w:rPr>
          <w:color w:val="000000" w:themeColor="text1"/>
          <w:sz w:val="22"/>
        </w:rPr>
      </w:pPr>
      <w:r w:rsidRPr="00781112">
        <w:rPr>
          <w:color w:val="000000" w:themeColor="text1"/>
          <w:sz w:val="22"/>
        </w:rPr>
        <w:lastRenderedPageBreak/>
        <w:t>Indicator 14: Post-School Outcomes</w:t>
      </w:r>
      <w:bookmarkEnd w:id="82"/>
    </w:p>
    <w:p w14:paraId="094C51A7" w14:textId="77777777" w:rsidR="005C50DB" w:rsidRPr="002C274F" w:rsidRDefault="005C50DB" w:rsidP="002C274F">
      <w:pPr>
        <w:rPr>
          <w:b/>
          <w:bCs/>
          <w:sz w:val="20"/>
          <w:szCs w:val="20"/>
        </w:rPr>
      </w:pPr>
      <w:bookmarkStart w:id="83" w:name="_Toc392159336"/>
      <w:r w:rsidRPr="002C274F">
        <w:rPr>
          <w:b/>
          <w:bCs/>
          <w:sz w:val="20"/>
          <w:szCs w:val="20"/>
        </w:rPr>
        <w:t>Instructions and Measurement</w:t>
      </w:r>
    </w:p>
    <w:p w14:paraId="4FE51CCE" w14:textId="77777777" w:rsidR="001F3A65" w:rsidRPr="00781112" w:rsidRDefault="001F3A65" w:rsidP="005F442C">
      <w:pPr>
        <w:rPr>
          <w:rFonts w:cs="Arial"/>
          <w:szCs w:val="16"/>
        </w:rPr>
      </w:pPr>
      <w:r w:rsidRPr="00781112">
        <w:rPr>
          <w:rFonts w:cs="Arial"/>
          <w:b/>
          <w:szCs w:val="16"/>
        </w:rPr>
        <w:t>Monitoring Priority</w:t>
      </w:r>
      <w:r w:rsidRPr="00781112">
        <w:rPr>
          <w:rFonts w:cs="Arial"/>
          <w:szCs w:val="16"/>
        </w:rPr>
        <w:t>: Effective General Supervision Part B / Effective Transition</w:t>
      </w:r>
    </w:p>
    <w:p w14:paraId="238ED9F6" w14:textId="77777777" w:rsidR="001F3A65" w:rsidRPr="00781112" w:rsidRDefault="001F3A65" w:rsidP="005F442C">
      <w:pPr>
        <w:rPr>
          <w:rFonts w:cs="Arial"/>
          <w:szCs w:val="16"/>
        </w:rPr>
      </w:pPr>
      <w:r w:rsidRPr="00781112">
        <w:rPr>
          <w:rFonts w:cs="Arial"/>
          <w:b/>
          <w:szCs w:val="16"/>
        </w:rPr>
        <w:t>Results indicator:</w:t>
      </w:r>
      <w:r w:rsidR="00131842" w:rsidRPr="00781112">
        <w:rPr>
          <w:rFonts w:cs="Arial"/>
          <w:szCs w:val="16"/>
        </w:rPr>
        <w:t xml:space="preserve"> </w:t>
      </w:r>
      <w:r w:rsidRPr="00781112">
        <w:rPr>
          <w:rFonts w:cs="Arial"/>
          <w:szCs w:val="16"/>
        </w:rPr>
        <w:t>Percent of youth who are no longer in secondary school, had IEPs in effect at the time they left school, and were:</w:t>
      </w:r>
    </w:p>
    <w:p w14:paraId="3A4C8504" w14:textId="77777777" w:rsidR="001F3A65" w:rsidRPr="00781112" w:rsidRDefault="00F52ED5" w:rsidP="005F442C">
      <w:pPr>
        <w:rPr>
          <w:rFonts w:cs="Arial"/>
          <w:szCs w:val="16"/>
        </w:rPr>
      </w:pPr>
      <w:r w:rsidRPr="00781112">
        <w:rPr>
          <w:rFonts w:cs="Arial"/>
          <w:szCs w:val="16"/>
        </w:rPr>
        <w:tab/>
      </w:r>
      <w:r w:rsidRPr="00781112">
        <w:rPr>
          <w:rFonts w:cs="Arial"/>
          <w:szCs w:val="16"/>
        </w:rPr>
        <w:tab/>
        <w:t>A. Enrolled in higher education within one year of leaving high school.</w:t>
      </w:r>
    </w:p>
    <w:p w14:paraId="2497AB58" w14:textId="77777777" w:rsidR="001F3A65" w:rsidRPr="00781112" w:rsidRDefault="00F52ED5" w:rsidP="005F442C">
      <w:pPr>
        <w:rPr>
          <w:rFonts w:cs="Arial"/>
          <w:szCs w:val="16"/>
        </w:rPr>
      </w:pPr>
      <w:r w:rsidRPr="00781112">
        <w:rPr>
          <w:rFonts w:cs="Arial"/>
          <w:szCs w:val="16"/>
        </w:rPr>
        <w:tab/>
      </w:r>
      <w:r w:rsidRPr="00781112">
        <w:rPr>
          <w:rFonts w:cs="Arial"/>
          <w:szCs w:val="16"/>
        </w:rPr>
        <w:tab/>
        <w:t>B. Enrolled in higher education or competitively employed within one year of leaving high school.</w:t>
      </w:r>
    </w:p>
    <w:p w14:paraId="69950DFB" w14:textId="77777777" w:rsidR="001F3A65" w:rsidRPr="00781112" w:rsidRDefault="00F52ED5" w:rsidP="00856B0E">
      <w:pPr>
        <w:tabs>
          <w:tab w:val="left" w:pos="1440"/>
        </w:tabs>
        <w:ind w:left="1440"/>
        <w:rPr>
          <w:rFonts w:cs="Arial"/>
          <w:szCs w:val="16"/>
        </w:rPr>
      </w:pPr>
      <w:r w:rsidRPr="00781112">
        <w:rPr>
          <w:rFonts w:cs="Arial"/>
          <w:szCs w:val="16"/>
        </w:rPr>
        <w:t>C. Enrolled in higher education or in some other postsecondary education or training program; or competitively employed or in some other employment within one year of leaving high school.</w:t>
      </w:r>
    </w:p>
    <w:p w14:paraId="16464D2C" w14:textId="77777777" w:rsidR="001F3A65" w:rsidRPr="00781112" w:rsidRDefault="001F3A65" w:rsidP="005F442C">
      <w:pPr>
        <w:rPr>
          <w:rFonts w:cs="Arial"/>
          <w:szCs w:val="16"/>
        </w:rPr>
      </w:pPr>
      <w:r w:rsidRPr="00781112">
        <w:rPr>
          <w:rFonts w:cs="Arial"/>
          <w:szCs w:val="16"/>
        </w:rPr>
        <w:t>(20 U.S.C. 1416(a)(3)(B))</w:t>
      </w:r>
    </w:p>
    <w:p w14:paraId="220B558C" w14:textId="77777777" w:rsidR="00B67038" w:rsidRPr="00781112" w:rsidRDefault="00B67038" w:rsidP="004369B2">
      <w:r w:rsidRPr="00781112">
        <w:rPr>
          <w:b/>
        </w:rPr>
        <w:t>Data Source</w:t>
      </w:r>
    </w:p>
    <w:p w14:paraId="27DD970E" w14:textId="77777777" w:rsidR="00B67038" w:rsidRPr="00781112" w:rsidRDefault="00B67038" w:rsidP="005F442C">
      <w:pPr>
        <w:rPr>
          <w:rFonts w:cs="Arial"/>
          <w:szCs w:val="16"/>
        </w:rPr>
      </w:pPr>
      <w:r w:rsidRPr="00781112">
        <w:rPr>
          <w:rFonts w:cs="Arial"/>
          <w:szCs w:val="16"/>
        </w:rPr>
        <w:t>State selected data source.</w:t>
      </w:r>
    </w:p>
    <w:p w14:paraId="7AF8BA97" w14:textId="77777777" w:rsidR="00B67038" w:rsidRPr="00781112" w:rsidRDefault="00B67038" w:rsidP="004369B2">
      <w:r w:rsidRPr="00781112">
        <w:rPr>
          <w:b/>
        </w:rPr>
        <w:t>Measurement</w:t>
      </w:r>
    </w:p>
    <w:p w14:paraId="331B3023" w14:textId="77777777" w:rsidR="00B67038" w:rsidRPr="00781112" w:rsidRDefault="009B2B72" w:rsidP="006A01BD">
      <w:pPr>
        <w:pStyle w:val="Numbering"/>
        <w:ind w:left="360"/>
        <w:rPr>
          <w:color w:val="auto"/>
        </w:rPr>
      </w:pPr>
      <w:r w:rsidRPr="00781112">
        <w:rPr>
          <w:color w:val="auto"/>
        </w:rPr>
        <w:t>A. Percent enrolled in higher education = [(# of youth who are no longer in secondary school, had IEPs in effect at the time they left school and were enrolled in higher education within one year of leaving high school) divided by the (# of respondent youth who are no longer in secondary school and had IEPs in effect at the time they left school)] times 100.</w:t>
      </w:r>
    </w:p>
    <w:p w14:paraId="35127D2A" w14:textId="77777777" w:rsidR="00B67038" w:rsidRPr="00781112" w:rsidRDefault="009B2B72" w:rsidP="006A01BD">
      <w:pPr>
        <w:pStyle w:val="Numbering"/>
        <w:ind w:left="360"/>
        <w:rPr>
          <w:color w:val="auto"/>
        </w:rPr>
      </w:pPr>
      <w:r w:rsidRPr="00781112">
        <w:rPr>
          <w:color w:val="auto"/>
        </w:rPr>
        <w:t>B. Percent enrolled in higher education or competitively employed within one year of leaving high school = [(# of youth who are no longer in secondary school, had IEPs in effect at the time they left school and were enrolled in higher education or competitively employed within one year of leaving high school) divided by the (# of respondent youth who are no longer in secondary school and had IEPs in effect at the time they left school)] times 100.</w:t>
      </w:r>
    </w:p>
    <w:p w14:paraId="215894EB" w14:textId="77777777" w:rsidR="00B67038" w:rsidRPr="00781112" w:rsidRDefault="009B2B72" w:rsidP="006A01BD">
      <w:pPr>
        <w:pStyle w:val="Numbering"/>
        <w:ind w:left="360"/>
        <w:rPr>
          <w:color w:val="auto"/>
        </w:rPr>
      </w:pPr>
      <w:r w:rsidRPr="00781112">
        <w:rPr>
          <w:color w:val="auto"/>
        </w:rPr>
        <w:t>C. Percent enrolled in higher education, or in some other postsecondary education or training program; or competitively employed or in some other employment = [(# of youth who are no longer in secondary school, had IEPs in effect at the time they left school and were enrolled in higher education, or in some other postsecondary education or training program; or competitively employed or in some other employment) divided by the (# of respondent youth who are no longer in secondary school and had IEPs in effect at the time they left school)] times 100.</w:t>
      </w:r>
    </w:p>
    <w:p w14:paraId="5E55BAFC" w14:textId="77777777" w:rsidR="00B67038" w:rsidRPr="00781112" w:rsidRDefault="00B67038" w:rsidP="004369B2">
      <w:r w:rsidRPr="00781112">
        <w:rPr>
          <w:b/>
        </w:rPr>
        <w:t>Instructions</w:t>
      </w:r>
    </w:p>
    <w:p w14:paraId="19F3378E" w14:textId="77777777" w:rsidR="00B67038" w:rsidRPr="00781112" w:rsidRDefault="00B67038" w:rsidP="003A4027">
      <w:pPr>
        <w:spacing w:before="0" w:after="210"/>
        <w:rPr>
          <w:rFonts w:eastAsia="Times New Roman" w:cs="Arial"/>
          <w:i/>
          <w:iCs/>
          <w:szCs w:val="16"/>
        </w:rPr>
      </w:pPr>
      <w:r w:rsidRPr="00781112">
        <w:rPr>
          <w:rFonts w:eastAsia="Times New Roman" w:cs="Arial"/>
          <w:i/>
          <w:iCs/>
          <w:szCs w:val="16"/>
        </w:rPr>
        <w:t>Sampling </w:t>
      </w:r>
      <w:r w:rsidRPr="00781112">
        <w:rPr>
          <w:rFonts w:eastAsia="Times New Roman" w:cs="Arial"/>
          <w:b/>
          <w:bCs/>
          <w:i/>
          <w:iCs/>
          <w:szCs w:val="16"/>
        </w:rPr>
        <w:t>of youth who had IEPs and are no longer in secondary school</w:t>
      </w:r>
      <w:r w:rsidRPr="00781112">
        <w:rPr>
          <w:rFonts w:eastAsia="Times New Roman" w:cs="Arial"/>
          <w:i/>
          <w:iCs/>
          <w:szCs w:val="16"/>
        </w:rPr>
        <w:t> is allowed. When sampling is used, submit a description of the sampling methodology outlining how the design will yield valid and reliable estimates of the target population. (See </w:t>
      </w:r>
      <w:r w:rsidRPr="00781112">
        <w:rPr>
          <w:rFonts w:eastAsia="Times New Roman" w:cs="Arial"/>
          <w:i/>
          <w:iCs/>
          <w:szCs w:val="16"/>
          <w:u w:val="single"/>
        </w:rPr>
        <w:t>General Instructions</w:t>
      </w:r>
      <w:r w:rsidRPr="00781112">
        <w:rPr>
          <w:rFonts w:eastAsia="Times New Roman" w:cs="Arial"/>
          <w:i/>
          <w:iCs/>
          <w:szCs w:val="16"/>
        </w:rPr>
        <w:t xml:space="preserve"> on page </w:t>
      </w:r>
      <w:r w:rsidR="0042509A">
        <w:rPr>
          <w:rFonts w:eastAsia="Times New Roman" w:cs="Arial"/>
          <w:i/>
          <w:iCs/>
          <w:szCs w:val="16"/>
        </w:rPr>
        <w:t>3</w:t>
      </w:r>
      <w:r w:rsidRPr="00781112">
        <w:rPr>
          <w:rFonts w:eastAsia="Times New Roman" w:cs="Arial"/>
          <w:i/>
          <w:iCs/>
          <w:szCs w:val="16"/>
        </w:rPr>
        <w:t xml:space="preserve"> for additional instructions on sampling.)</w:t>
      </w:r>
    </w:p>
    <w:p w14:paraId="22A70C8B" w14:textId="77777777" w:rsidR="00B67038" w:rsidRPr="00781112" w:rsidRDefault="003A4027" w:rsidP="003A4027">
      <w:pPr>
        <w:spacing w:before="0" w:after="210"/>
        <w:rPr>
          <w:rFonts w:eastAsia="Times New Roman" w:cs="Arial"/>
          <w:szCs w:val="16"/>
        </w:rPr>
      </w:pPr>
      <w:r w:rsidRPr="00781112">
        <w:rPr>
          <w:rFonts w:eastAsia="Times New Roman" w:cs="Arial"/>
          <w:szCs w:val="16"/>
        </w:rPr>
        <w:t>Collect data by September 2025 on students who left school during 2023-2024, timing the data collection so that at least one year has passed since the students left school. Include students who dropped out during 2023-2024 or who were expected to return but did not return for the current school year. This includes all youth who had an IEP in effect at the time they left school, including those who graduated with a regular diploma or some other credential, dropped out, or aged out.</w:t>
      </w:r>
    </w:p>
    <w:p w14:paraId="7D98EEAF" w14:textId="77777777" w:rsidR="00B67038" w:rsidRPr="00781112" w:rsidRDefault="00B67038" w:rsidP="003A4027">
      <w:pPr>
        <w:spacing w:before="0" w:after="0"/>
        <w:rPr>
          <w:rFonts w:eastAsia="Times New Roman" w:cs="Arial"/>
          <w:b/>
          <w:bCs/>
          <w:szCs w:val="16"/>
        </w:rPr>
      </w:pPr>
      <w:r w:rsidRPr="00781112">
        <w:rPr>
          <w:rFonts w:eastAsia="Times New Roman" w:cs="Arial"/>
          <w:b/>
          <w:bCs/>
          <w:szCs w:val="16"/>
        </w:rPr>
        <w:t>I. </w:t>
      </w:r>
      <w:r w:rsidRPr="00781112">
        <w:rPr>
          <w:rFonts w:eastAsia="Times New Roman" w:cs="Arial"/>
          <w:b/>
          <w:bCs/>
          <w:i/>
          <w:iCs/>
          <w:szCs w:val="16"/>
        </w:rPr>
        <w:t>Definitions</w:t>
      </w:r>
    </w:p>
    <w:p w14:paraId="6F09A6A2" w14:textId="77777777" w:rsidR="00B67038" w:rsidRPr="00781112" w:rsidRDefault="00B67038" w:rsidP="003A4027">
      <w:pPr>
        <w:spacing w:before="0" w:after="210"/>
        <w:rPr>
          <w:rFonts w:eastAsia="Times New Roman" w:cs="Arial"/>
          <w:szCs w:val="16"/>
        </w:rPr>
      </w:pPr>
      <w:r w:rsidRPr="00781112">
        <w:rPr>
          <w:rFonts w:eastAsia="Times New Roman" w:cs="Arial"/>
          <w:i/>
          <w:iCs/>
          <w:szCs w:val="16"/>
        </w:rPr>
        <w:t>Enrolled in higher education</w:t>
      </w:r>
      <w:r w:rsidRPr="00781112">
        <w:rPr>
          <w:rFonts w:eastAsia="Times New Roman" w:cs="Arial"/>
          <w:szCs w:val="16"/>
        </w:rPr>
        <w:t> as used in measures A, B, and C means youth have been enrolled on a full- or part-time basis in a community college (</w:t>
      </w:r>
      <w:r w:rsidR="00DB1150" w:rsidRPr="00781112">
        <w:rPr>
          <w:rFonts w:eastAsia="Times New Roman" w:cs="Arial"/>
          <w:szCs w:val="16"/>
        </w:rPr>
        <w:t>two-year</w:t>
      </w:r>
      <w:r w:rsidRPr="00781112">
        <w:rPr>
          <w:rFonts w:eastAsia="Times New Roman" w:cs="Arial"/>
          <w:szCs w:val="16"/>
        </w:rPr>
        <w:t xml:space="preserve"> program) or college/university (</w:t>
      </w:r>
      <w:proofErr w:type="gramStart"/>
      <w:r w:rsidRPr="00781112">
        <w:rPr>
          <w:rFonts w:eastAsia="Times New Roman" w:cs="Arial"/>
          <w:szCs w:val="16"/>
        </w:rPr>
        <w:t>four or more year</w:t>
      </w:r>
      <w:proofErr w:type="gramEnd"/>
      <w:r w:rsidRPr="00781112">
        <w:rPr>
          <w:rFonts w:eastAsia="Times New Roman" w:cs="Arial"/>
          <w:szCs w:val="16"/>
        </w:rPr>
        <w:t xml:space="preserve"> program) for at least one complete term, at any time in the year since leaving high school.</w:t>
      </w:r>
    </w:p>
    <w:p w14:paraId="604A86D1" w14:textId="77777777" w:rsidR="00B67038" w:rsidRPr="00781112" w:rsidRDefault="003A4027" w:rsidP="003A4027">
      <w:pPr>
        <w:spacing w:before="0" w:after="210"/>
        <w:rPr>
          <w:rFonts w:eastAsia="Times New Roman" w:cs="Arial"/>
          <w:szCs w:val="16"/>
        </w:rPr>
      </w:pPr>
      <w:r w:rsidRPr="00781112">
        <w:rPr>
          <w:rFonts w:eastAsia="Times New Roman" w:cs="Arial"/>
          <w:i/>
          <w:iCs/>
          <w:szCs w:val="16"/>
        </w:rPr>
        <w:t xml:space="preserve">Competitive employment </w:t>
      </w:r>
      <w:r w:rsidRPr="00781112">
        <w:rPr>
          <w:rFonts w:eastAsia="Times New Roman" w:cs="Arial"/>
          <w:iCs/>
          <w:szCs w:val="16"/>
        </w:rPr>
        <w:t>as used in measures B and C: States have two options to report data under “competitive employment”:</w:t>
      </w:r>
    </w:p>
    <w:p w14:paraId="2622E468" w14:textId="77777777" w:rsidR="00B67038" w:rsidRPr="00781112" w:rsidRDefault="00B67038" w:rsidP="002D597B">
      <w:pPr>
        <w:spacing w:before="0" w:after="210"/>
        <w:rPr>
          <w:rFonts w:eastAsia="Times New Roman" w:cs="Arial"/>
          <w:szCs w:val="16"/>
        </w:rPr>
      </w:pPr>
      <w:r w:rsidRPr="00781112">
        <w:rPr>
          <w:rFonts w:eastAsia="Times New Roman" w:cs="Arial"/>
          <w:szCs w:val="16"/>
        </w:rPr>
        <w:t>Option 1: Use the same definition as used to report in the FFY 2015 SPP/APR, i.e., competitive employment means that youth have worked for pay at or above the minimum wage in a setting with others who are nondisabled for a period of 20 hours a week for at least 90 days at any time in the year since leaving high school. This includes military employment.</w:t>
      </w:r>
    </w:p>
    <w:p w14:paraId="23A13383" w14:textId="77777777" w:rsidR="00B67038" w:rsidRPr="00781112" w:rsidRDefault="00B67038" w:rsidP="002D597B">
      <w:pPr>
        <w:spacing w:before="0"/>
        <w:rPr>
          <w:rFonts w:eastAsia="Times New Roman" w:cs="Arial"/>
          <w:szCs w:val="16"/>
        </w:rPr>
      </w:pPr>
      <w:r w:rsidRPr="00781112">
        <w:rPr>
          <w:rFonts w:eastAsia="Times New Roman" w:cs="Arial"/>
          <w:szCs w:val="16"/>
        </w:rPr>
        <w:t>Option 2: States report in alignment with the term “competitive integrated employment” and its definition, in section 7(5) of the Rehabilitation Act of 1973, as amended by Workforce Innovation and Opportunity Act (WIOA). For the purpose of defining the rate of compensation for students working on a “part-time basis” under this category, OSEP maintains the standard of 20 hours a week for at least 90 days at any time in the year since leaving high school. This definition applies to military employment.</w:t>
      </w:r>
    </w:p>
    <w:p w14:paraId="7A41F83C" w14:textId="77777777" w:rsidR="00B67038" w:rsidRPr="00781112" w:rsidRDefault="00B67038" w:rsidP="003A4027">
      <w:pPr>
        <w:spacing w:before="0" w:after="0"/>
        <w:rPr>
          <w:rFonts w:eastAsia="Times New Roman" w:cs="Arial"/>
          <w:b/>
          <w:bCs/>
          <w:szCs w:val="16"/>
        </w:rPr>
      </w:pPr>
    </w:p>
    <w:p w14:paraId="4FDD1938" w14:textId="77777777" w:rsidR="00B67038" w:rsidRPr="00781112" w:rsidRDefault="00B67038" w:rsidP="003A4027">
      <w:pPr>
        <w:spacing w:before="0" w:after="210"/>
        <w:rPr>
          <w:rFonts w:eastAsia="Times New Roman" w:cs="Arial"/>
          <w:szCs w:val="16"/>
        </w:rPr>
      </w:pPr>
      <w:r w:rsidRPr="00781112">
        <w:rPr>
          <w:rFonts w:eastAsia="Times New Roman" w:cs="Arial"/>
          <w:i/>
          <w:iCs/>
          <w:szCs w:val="16"/>
        </w:rPr>
        <w:t>Enrolled in other postsecondary education or training</w:t>
      </w:r>
      <w:r w:rsidRPr="00781112">
        <w:rPr>
          <w:rFonts w:eastAsia="Times New Roman" w:cs="Arial"/>
          <w:szCs w:val="16"/>
        </w:rPr>
        <w:t xml:space="preserve"> as used in measure C, means youth have been enrolled on a full- or part-time basis for at least 1 complete term at any time in the year since leaving high school in an education or training program (e.g., Job Corps, adult education, workforce development program, vocational technical school which is less than a </w:t>
      </w:r>
      <w:r w:rsidR="00DB1150" w:rsidRPr="00781112">
        <w:rPr>
          <w:rFonts w:eastAsia="Times New Roman" w:cs="Arial"/>
          <w:szCs w:val="16"/>
        </w:rPr>
        <w:t>two-year</w:t>
      </w:r>
      <w:r w:rsidRPr="00781112">
        <w:rPr>
          <w:rFonts w:eastAsia="Times New Roman" w:cs="Arial"/>
          <w:szCs w:val="16"/>
        </w:rPr>
        <w:t xml:space="preserve"> program).</w:t>
      </w:r>
    </w:p>
    <w:p w14:paraId="701D6A42" w14:textId="77777777" w:rsidR="00B67038" w:rsidRPr="00781112" w:rsidRDefault="00B67038" w:rsidP="003A4027">
      <w:pPr>
        <w:spacing w:before="0"/>
        <w:rPr>
          <w:rFonts w:eastAsia="Times New Roman" w:cs="Arial"/>
          <w:szCs w:val="16"/>
        </w:rPr>
      </w:pPr>
      <w:r w:rsidRPr="00781112">
        <w:rPr>
          <w:rFonts w:eastAsia="Times New Roman" w:cs="Arial"/>
          <w:i/>
          <w:iCs/>
          <w:szCs w:val="16"/>
        </w:rPr>
        <w:t>Some other employment</w:t>
      </w:r>
      <w:r w:rsidRPr="00781112">
        <w:rPr>
          <w:rFonts w:eastAsia="Times New Roman" w:cs="Arial"/>
          <w:szCs w:val="16"/>
        </w:rPr>
        <w:t> as used in measure C means youth have worked for pay or been self-employed for a period of at least 90 days at any time in the year since leaving high school. This includes working in a family business (e.g., farm, store, fishing, ranching, catering services).</w:t>
      </w:r>
    </w:p>
    <w:p w14:paraId="33825BEA" w14:textId="77777777" w:rsidR="00A45E9F" w:rsidRPr="00781112" w:rsidRDefault="00A45E9F" w:rsidP="003A4027">
      <w:pPr>
        <w:spacing w:before="0"/>
        <w:rPr>
          <w:rFonts w:eastAsia="Times New Roman" w:cs="Arial"/>
          <w:szCs w:val="16"/>
        </w:rPr>
      </w:pPr>
    </w:p>
    <w:p w14:paraId="2B0CF640" w14:textId="77777777" w:rsidR="00B67038" w:rsidRPr="00781112" w:rsidRDefault="00B67038" w:rsidP="003A4027">
      <w:pPr>
        <w:spacing w:before="0" w:after="0"/>
        <w:rPr>
          <w:rFonts w:eastAsia="Times New Roman" w:cs="Arial"/>
          <w:b/>
          <w:bCs/>
          <w:szCs w:val="16"/>
        </w:rPr>
      </w:pPr>
      <w:r w:rsidRPr="00781112">
        <w:rPr>
          <w:rFonts w:eastAsia="Times New Roman" w:cs="Arial"/>
          <w:b/>
          <w:bCs/>
          <w:szCs w:val="16"/>
        </w:rPr>
        <w:t>II. </w:t>
      </w:r>
      <w:r w:rsidRPr="00781112">
        <w:rPr>
          <w:rFonts w:eastAsia="Times New Roman" w:cs="Arial"/>
          <w:b/>
          <w:bCs/>
          <w:i/>
          <w:iCs/>
          <w:szCs w:val="16"/>
        </w:rPr>
        <w:t>Data Reporting</w:t>
      </w:r>
    </w:p>
    <w:p w14:paraId="2B4FD1B7" w14:textId="77777777" w:rsidR="003B692F" w:rsidRPr="00781112" w:rsidRDefault="003B692F" w:rsidP="003B692F">
      <w:pPr>
        <w:spacing w:before="0" w:after="0"/>
        <w:rPr>
          <w:rFonts w:eastAsia="Times New Roman" w:cs="Arial"/>
          <w:szCs w:val="16"/>
        </w:rPr>
      </w:pPr>
      <w:r w:rsidRPr="00781112">
        <w:rPr>
          <w:rFonts w:eastAsia="Times New Roman" w:cs="Arial"/>
          <w:szCs w:val="16"/>
        </w:rPr>
        <w:t>States must describe the metric used to determine representativeness (e.g., +/- 3% discrepancy in the proportion of responders compared to target group).</w:t>
      </w:r>
    </w:p>
    <w:p w14:paraId="302D1281" w14:textId="77777777" w:rsidR="003B692F" w:rsidRPr="00781112" w:rsidRDefault="003B692F" w:rsidP="003B692F">
      <w:pPr>
        <w:spacing w:before="0" w:after="0"/>
        <w:rPr>
          <w:rFonts w:eastAsia="Times New Roman" w:cs="Arial"/>
          <w:szCs w:val="16"/>
        </w:rPr>
      </w:pPr>
      <w:r w:rsidRPr="00781112">
        <w:rPr>
          <w:rFonts w:eastAsia="Times New Roman" w:cs="Arial"/>
          <w:szCs w:val="16"/>
        </w:rPr>
        <w:t>Provide the total number of targeted youth in the sample or census.</w:t>
      </w:r>
    </w:p>
    <w:p w14:paraId="4C2B9B1B" w14:textId="77777777" w:rsidR="00B67038" w:rsidRPr="00781112" w:rsidRDefault="00B67038" w:rsidP="003A4027">
      <w:pPr>
        <w:spacing w:before="0" w:after="210"/>
        <w:rPr>
          <w:rFonts w:eastAsia="Times New Roman" w:cs="Arial"/>
          <w:szCs w:val="16"/>
        </w:rPr>
      </w:pPr>
      <w:r w:rsidRPr="00781112">
        <w:rPr>
          <w:rFonts w:eastAsia="Times New Roman" w:cs="Arial"/>
          <w:szCs w:val="16"/>
        </w:rPr>
        <w:t>Provide the actual numbers for each of the following mutually exclusive categories. The actual number of “leavers” who are:</w:t>
      </w:r>
    </w:p>
    <w:p w14:paraId="3FEA3626" w14:textId="77777777" w:rsidR="00B67038" w:rsidRPr="00781112" w:rsidRDefault="006C58FD" w:rsidP="006A01BD">
      <w:pPr>
        <w:spacing w:before="0" w:after="0"/>
        <w:ind w:left="432"/>
        <w:rPr>
          <w:rFonts w:eastAsia="Times New Roman" w:cs="Arial"/>
          <w:szCs w:val="16"/>
        </w:rPr>
      </w:pPr>
      <w:r w:rsidRPr="00781112">
        <w:rPr>
          <w:rFonts w:eastAsia="Times New Roman" w:cs="Arial"/>
          <w:szCs w:val="16"/>
        </w:rPr>
        <w:tab/>
        <w:t>1. Enrolled in higher education within one year of leaving high school;</w:t>
      </w:r>
    </w:p>
    <w:p w14:paraId="172C1365" w14:textId="77777777" w:rsidR="00B67038" w:rsidRPr="00781112" w:rsidRDefault="006C58FD" w:rsidP="006A01BD">
      <w:pPr>
        <w:spacing w:before="0" w:after="0"/>
        <w:ind w:left="432"/>
        <w:rPr>
          <w:rFonts w:eastAsia="Times New Roman" w:cs="Arial"/>
          <w:szCs w:val="16"/>
        </w:rPr>
      </w:pPr>
      <w:r w:rsidRPr="00781112">
        <w:rPr>
          <w:rFonts w:eastAsia="Times New Roman" w:cs="Arial"/>
          <w:szCs w:val="16"/>
        </w:rPr>
        <w:tab/>
        <w:t>2. Competitively employed within one year of leaving high school (but not enrolled in higher education);</w:t>
      </w:r>
    </w:p>
    <w:p w14:paraId="10F0B707" w14:textId="77777777" w:rsidR="00B67038" w:rsidRPr="00781112" w:rsidRDefault="006C58FD" w:rsidP="00856B0E">
      <w:pPr>
        <w:spacing w:before="0" w:after="0"/>
        <w:ind w:left="720"/>
        <w:rPr>
          <w:rFonts w:eastAsia="Times New Roman" w:cs="Arial"/>
          <w:szCs w:val="16"/>
        </w:rPr>
      </w:pPr>
      <w:r w:rsidRPr="00781112">
        <w:rPr>
          <w:rFonts w:eastAsia="Times New Roman" w:cs="Arial"/>
          <w:szCs w:val="16"/>
        </w:rPr>
        <w:t xml:space="preserve">3. Enrolled in some other </w:t>
      </w:r>
      <w:proofErr w:type="gramStart"/>
      <w:r w:rsidRPr="00781112">
        <w:rPr>
          <w:rFonts w:eastAsia="Times New Roman" w:cs="Arial"/>
          <w:szCs w:val="16"/>
        </w:rPr>
        <w:t>postsecondary</w:t>
      </w:r>
      <w:proofErr w:type="gramEnd"/>
      <w:r w:rsidRPr="00781112">
        <w:rPr>
          <w:rFonts w:eastAsia="Times New Roman" w:cs="Arial"/>
          <w:szCs w:val="16"/>
        </w:rPr>
        <w:t xml:space="preserve"> education or training program within one year of leaving high school (but not enrolled in higher education or competitively employed);</w:t>
      </w:r>
    </w:p>
    <w:p w14:paraId="7DAA36E5" w14:textId="77777777" w:rsidR="00B67038" w:rsidRPr="00781112" w:rsidRDefault="006C58FD" w:rsidP="00856B0E">
      <w:pPr>
        <w:spacing w:before="0" w:after="0"/>
        <w:ind w:left="720"/>
        <w:rPr>
          <w:rFonts w:eastAsia="Times New Roman" w:cs="Arial"/>
          <w:szCs w:val="16"/>
        </w:rPr>
      </w:pPr>
      <w:r w:rsidRPr="00781112">
        <w:rPr>
          <w:rFonts w:eastAsia="Times New Roman" w:cs="Arial"/>
          <w:szCs w:val="16"/>
        </w:rPr>
        <w:t>4. In some other employment within one year of leaving high school (but not enrolled in higher education, some other postsecondary education or training program, or competitively employed).</w:t>
      </w:r>
    </w:p>
    <w:p w14:paraId="0608E79B" w14:textId="77777777" w:rsidR="006C58FD" w:rsidRPr="00781112" w:rsidRDefault="006C58FD" w:rsidP="00B67038">
      <w:pPr>
        <w:spacing w:before="0"/>
        <w:ind w:left="432"/>
        <w:rPr>
          <w:rFonts w:eastAsia="Times New Roman" w:cs="Arial"/>
          <w:szCs w:val="16"/>
        </w:rPr>
      </w:pPr>
    </w:p>
    <w:p w14:paraId="1EA9D4E4" w14:textId="77777777" w:rsidR="00B67038" w:rsidRPr="00781112" w:rsidRDefault="00B67038" w:rsidP="00B67038">
      <w:pPr>
        <w:spacing w:before="0"/>
        <w:ind w:left="432"/>
        <w:rPr>
          <w:rFonts w:eastAsia="Times New Roman" w:cs="Arial"/>
          <w:color w:val="000000" w:themeColor="text1"/>
          <w:szCs w:val="16"/>
        </w:rPr>
      </w:pPr>
      <w:r w:rsidRPr="00781112">
        <w:rPr>
          <w:rFonts w:eastAsia="Times New Roman" w:cs="Arial"/>
          <w:szCs w:val="16"/>
        </w:rPr>
        <w:t xml:space="preserve">“Leavers” should only be counted in one of the above categories, and the categories are organized hierarchically. So, for example, “leavers” who are enrolled in full- or part-time higher education within one year of leaving high school should only be reported in category 1, even if they also </w:t>
      </w:r>
      <w:r w:rsidRPr="00781112">
        <w:rPr>
          <w:rFonts w:eastAsia="Times New Roman" w:cs="Arial"/>
          <w:szCs w:val="16"/>
        </w:rPr>
        <w:lastRenderedPageBreak/>
        <w:t>happen to be employed. Likewise, “leavers” who are not enrolled in either part- or full-time higher education</w:t>
      </w:r>
      <w:r w:rsidRPr="00781112">
        <w:rPr>
          <w:rFonts w:eastAsia="Times New Roman" w:cs="Arial"/>
          <w:color w:val="000000" w:themeColor="text1"/>
          <w:szCs w:val="16"/>
        </w:rPr>
        <w:t>, but who are competitively employed, should only be reported under category 2, even if they happen to be enrolled in some other postsecondary education or training program.</w:t>
      </w:r>
    </w:p>
    <w:p w14:paraId="7458EF6A" w14:textId="77777777" w:rsidR="00A45E9F" w:rsidRPr="00781112" w:rsidRDefault="00A45E9F" w:rsidP="00A45E9F">
      <w:pPr>
        <w:spacing w:before="0"/>
        <w:rPr>
          <w:rFonts w:eastAsia="Times New Roman" w:cs="Arial"/>
          <w:szCs w:val="16"/>
        </w:rPr>
      </w:pPr>
      <w:r w:rsidRPr="00781112">
        <w:rPr>
          <w:rFonts w:eastAsia="Times New Roman" w:cs="Arial"/>
          <w:szCs w:val="16"/>
        </w:rPr>
        <w:t>States must compare the response rate for the reporting year to the response rate for the previous year (e.g., in the FFY 2024 SPP/APR, compare the FFY 2024 response rate to the FFY 2023 response rate), and describe strategies that will be implemented which are expected to increase the response rate year over year, particularly for those groups that are underrepresented.</w:t>
      </w:r>
    </w:p>
    <w:p w14:paraId="12E5A561" w14:textId="77777777" w:rsidR="00A45E9F" w:rsidRPr="00781112" w:rsidRDefault="00A45E9F" w:rsidP="00A45E9F">
      <w:pPr>
        <w:spacing w:before="0"/>
        <w:rPr>
          <w:rFonts w:eastAsia="Times New Roman" w:cs="Arial"/>
          <w:szCs w:val="16"/>
        </w:rPr>
      </w:pPr>
      <w:r w:rsidRPr="00781112">
        <w:rPr>
          <w:rFonts w:eastAsia="Times New Roman" w:cs="Arial"/>
          <w:szCs w:val="16"/>
        </w:rPr>
        <w:t>The State must also analyze the response rate to identify potential nonresponse bias and take steps to reduce any identified bias and promote response from a broad cross section of youth who are no longer in secondary school and had IEPs in effect at the time they left school.</w:t>
      </w:r>
    </w:p>
    <w:p w14:paraId="0F06350F" w14:textId="77777777" w:rsidR="00A45E9F" w:rsidRPr="00781112" w:rsidRDefault="00A45E9F" w:rsidP="00360DD6">
      <w:pPr>
        <w:spacing w:before="0"/>
        <w:rPr>
          <w:rFonts w:eastAsia="Times New Roman" w:cs="Arial"/>
          <w:szCs w:val="16"/>
        </w:rPr>
      </w:pPr>
    </w:p>
    <w:p w14:paraId="7C2E4A7A" w14:textId="77777777" w:rsidR="00B67038" w:rsidRPr="00781112" w:rsidRDefault="00B67038" w:rsidP="003A4027">
      <w:pPr>
        <w:spacing w:before="0" w:after="0"/>
        <w:rPr>
          <w:rFonts w:eastAsia="Times New Roman" w:cs="Arial"/>
          <w:b/>
          <w:bCs/>
          <w:color w:val="000000" w:themeColor="text1"/>
          <w:szCs w:val="16"/>
        </w:rPr>
      </w:pPr>
      <w:r w:rsidRPr="00781112">
        <w:rPr>
          <w:rFonts w:eastAsia="Times New Roman" w:cs="Arial"/>
          <w:b/>
          <w:bCs/>
          <w:color w:val="000000" w:themeColor="text1"/>
          <w:szCs w:val="16"/>
        </w:rPr>
        <w:t>III. </w:t>
      </w:r>
      <w:r w:rsidRPr="00781112">
        <w:rPr>
          <w:rFonts w:eastAsia="Times New Roman" w:cs="Arial"/>
          <w:b/>
          <w:bCs/>
          <w:i/>
          <w:iCs/>
          <w:color w:val="000000" w:themeColor="text1"/>
          <w:szCs w:val="16"/>
        </w:rPr>
        <w:t xml:space="preserve">Reporting </w:t>
      </w:r>
      <w:r w:rsidR="00DB1150" w:rsidRPr="00781112">
        <w:rPr>
          <w:rFonts w:eastAsia="Times New Roman" w:cs="Arial"/>
          <w:b/>
          <w:bCs/>
          <w:i/>
          <w:iCs/>
          <w:color w:val="000000" w:themeColor="text1"/>
          <w:szCs w:val="16"/>
        </w:rPr>
        <w:t>on</w:t>
      </w:r>
      <w:r w:rsidRPr="00781112">
        <w:rPr>
          <w:rFonts w:eastAsia="Times New Roman" w:cs="Arial"/>
          <w:b/>
          <w:bCs/>
          <w:i/>
          <w:iCs/>
          <w:color w:val="000000" w:themeColor="text1"/>
          <w:szCs w:val="16"/>
        </w:rPr>
        <w:t xml:space="preserve"> the Measures/Indicators</w:t>
      </w:r>
    </w:p>
    <w:p w14:paraId="16EC15D8"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Targets must be established for measures A, B, and C.</w:t>
      </w:r>
    </w:p>
    <w:p w14:paraId="7A0ECC1E"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 xml:space="preserve">Measure A: For purposes of reporting on the measures/indicators, please note that any youth enrolled in an institution of higher education (that meets any definition of this term in the Higher Education Act (HEA)) within one year of leaving high school </w:t>
      </w:r>
      <w:r w:rsidRPr="00BA3DBE">
        <w:rPr>
          <w:rFonts w:eastAsia="Times New Roman" w:cs="Arial"/>
          <w:i/>
          <w:iCs/>
          <w:color w:val="000000" w:themeColor="text1"/>
          <w:szCs w:val="16"/>
        </w:rPr>
        <w:t>must</w:t>
      </w:r>
      <w:r w:rsidRPr="00781112">
        <w:rPr>
          <w:rFonts w:eastAsia="Times New Roman" w:cs="Arial"/>
          <w:color w:val="000000" w:themeColor="text1"/>
          <w:szCs w:val="16"/>
        </w:rPr>
        <w:t xml:space="preserve"> be reported under measure A. This could include youth who also happen to be competitively employed, or in some other training program; however, the key outcome we are interested in here is enrollment in higher education.</w:t>
      </w:r>
    </w:p>
    <w:p w14:paraId="24B99422"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Measure B: All youth reported under measure A should also be reported under measure B, in addition to all youth that obtain competitive employment within one year of leaving high school.</w:t>
      </w:r>
    </w:p>
    <w:p w14:paraId="7E74B24A" w14:textId="77777777" w:rsidR="00B67038"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Measure C: All youth reported under measures A and B should also be reported under measure C, in addition to youth that are enrolled in some other postsecondary education or training program, or in some other employment.</w:t>
      </w:r>
    </w:p>
    <w:p w14:paraId="5DE8CE32" w14:textId="77777777" w:rsidR="004D1797" w:rsidRDefault="004D1797" w:rsidP="003A4027">
      <w:pPr>
        <w:spacing w:before="0" w:after="210"/>
      </w:pPr>
      <w:bookmarkStart w:id="84" w:name="_Hlk116647998"/>
      <w:r>
        <w:t>I</w:t>
      </w:r>
      <w:r w:rsidR="00DF5951">
        <w:t>nclude the State’s analysis of the extent to which the response data are representative of the demographics of youth who are no longer in secondary school and had IEPs in effect at the time they left school. States must include race/ethnicity in their analysis. In addition, the State’s analysis must include at least one of the following demographics:</w:t>
      </w:r>
      <w:r w:rsidR="00F24C95">
        <w:t xml:space="preserve"> disability category, gender, geographic location, and/or another demographic category approved through the stakeholder input process. </w:t>
      </w:r>
    </w:p>
    <w:p w14:paraId="473B442F" w14:textId="77777777" w:rsidR="00DF5951" w:rsidRPr="006D5DC4" w:rsidRDefault="00F24C95" w:rsidP="003A4027">
      <w:pPr>
        <w:spacing w:before="0" w:after="210"/>
      </w:pPr>
      <w:r>
        <w:t>If the analysis shows that the response data are not representative of the demographics of youth who are no longer in secondary school and had IEPs in effect at the time they left school, describe the strategies that the State will use to ensure that in the future the response data are representative of those demographics. In identifying such strategies, the State should consider factors such as how the State collected the data.</w:t>
      </w:r>
    </w:p>
    <w:bookmarkEnd w:id="84"/>
    <w:p w14:paraId="47B387C1" w14:textId="77777777" w:rsidR="000301BA" w:rsidRPr="00781112" w:rsidRDefault="00172058" w:rsidP="00123D76">
      <w:pPr>
        <w:pStyle w:val="Heading2"/>
      </w:pPr>
      <w:r w:rsidRPr="00781112">
        <w:t>14 - Indicator Data</w:t>
      </w:r>
    </w:p>
    <w:bookmarkEnd w:id="83"/>
    <w:p w14:paraId="4D6BD84B" w14:textId="77777777" w:rsidR="005F442C" w:rsidRPr="00781112" w:rsidRDefault="005F442C"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B14HISTDATA"/>
      </w:tblPr>
      <w:tblGrid>
        <w:gridCol w:w="866"/>
        <w:gridCol w:w="1693"/>
        <w:gridCol w:w="833"/>
        <w:gridCol w:w="1480"/>
        <w:gridCol w:w="1480"/>
        <w:gridCol w:w="1480"/>
        <w:gridCol w:w="1480"/>
        <w:gridCol w:w="1478"/>
      </w:tblGrid>
      <w:tr w:rsidR="005C29F8" w:rsidRPr="00781112" w14:paraId="3813514D" w14:textId="77777777" w:rsidTr="00C37CAE">
        <w:trPr>
          <w:trHeight w:val="350"/>
        </w:trPr>
        <w:tc>
          <w:tcPr>
            <w:tcW w:w="190" w:type="pct"/>
            <w:tcBorders>
              <w:top w:val="single" w:sz="4" w:space="0" w:color="auto"/>
              <w:left w:val="single" w:sz="4" w:space="0" w:color="auto"/>
              <w:bottom w:val="single" w:sz="4" w:space="0" w:color="auto"/>
              <w:right w:val="single" w:sz="4" w:space="0" w:color="auto"/>
            </w:tcBorders>
          </w:tcPr>
          <w:p w14:paraId="3D55A5A4" w14:textId="77777777" w:rsidR="005F442C" w:rsidRPr="00781112" w:rsidRDefault="004E1996" w:rsidP="008E31C4">
            <w:pPr>
              <w:spacing w:line="276" w:lineRule="auto"/>
              <w:jc w:val="center"/>
              <w:rPr>
                <w:rFonts w:cs="Arial"/>
                <w:b/>
                <w:color w:val="000000" w:themeColor="text1"/>
                <w:szCs w:val="16"/>
              </w:rPr>
            </w:pPr>
            <w:r w:rsidRPr="00781112">
              <w:rPr>
                <w:rFonts w:cs="Arial"/>
                <w:b/>
                <w:color w:val="000000" w:themeColor="text1"/>
                <w:szCs w:val="16"/>
              </w:rPr>
              <w:t>Measure</w:t>
            </w:r>
          </w:p>
        </w:tc>
        <w:tc>
          <w:tcPr>
            <w:tcW w:w="815" w:type="pct"/>
            <w:tcBorders>
              <w:top w:val="single" w:sz="4" w:space="0" w:color="auto"/>
              <w:left w:val="single" w:sz="4" w:space="0" w:color="auto"/>
              <w:bottom w:val="single" w:sz="4" w:space="0" w:color="auto"/>
              <w:right w:val="single" w:sz="4" w:space="0" w:color="auto"/>
            </w:tcBorders>
          </w:tcPr>
          <w:p w14:paraId="19C049BD" w14:textId="77777777" w:rsidR="005F442C" w:rsidRPr="00781112" w:rsidRDefault="005F442C" w:rsidP="008E31C4">
            <w:pPr>
              <w:spacing w:line="276" w:lineRule="auto"/>
              <w:jc w:val="center"/>
              <w:rPr>
                <w:rFonts w:cs="Arial"/>
                <w:b/>
                <w:color w:val="000000" w:themeColor="text1"/>
                <w:szCs w:val="16"/>
              </w:rPr>
            </w:pPr>
            <w:r w:rsidRPr="00781112">
              <w:rPr>
                <w:rFonts w:cs="Arial"/>
                <w:b/>
                <w:color w:val="000000" w:themeColor="text1"/>
                <w:szCs w:val="16"/>
              </w:rPr>
              <w:t xml:space="preserve">Baseline </w:t>
            </w:r>
          </w:p>
        </w:tc>
        <w:tc>
          <w:tcPr>
            <w:tcW w:w="416" w:type="pct"/>
            <w:tcBorders>
              <w:top w:val="single" w:sz="4" w:space="0" w:color="auto"/>
              <w:left w:val="single" w:sz="4" w:space="0" w:color="auto"/>
              <w:bottom w:val="single" w:sz="4" w:space="0" w:color="auto"/>
              <w:right w:val="single" w:sz="4" w:space="0" w:color="auto"/>
            </w:tcBorders>
          </w:tcPr>
          <w:p w14:paraId="00D9A43E" w14:textId="77777777" w:rsidR="005F442C" w:rsidRPr="00781112" w:rsidRDefault="005F442C" w:rsidP="008E31C4">
            <w:pPr>
              <w:spacing w:line="276" w:lineRule="auto"/>
              <w:jc w:val="center"/>
              <w:rPr>
                <w:rFonts w:cs="Arial"/>
                <w:b/>
                <w:color w:val="000000" w:themeColor="text1"/>
                <w:szCs w:val="16"/>
              </w:rPr>
            </w:pPr>
            <w:r w:rsidRPr="00781112">
              <w:rPr>
                <w:rFonts w:cs="Arial"/>
                <w:b/>
                <w:color w:val="000000" w:themeColor="text1"/>
                <w:szCs w:val="16"/>
              </w:rPr>
              <w:t>FFY</w:t>
            </w:r>
          </w:p>
        </w:tc>
        <w:tc>
          <w:tcPr>
            <w:tcW w:w="716" w:type="pct"/>
            <w:tcBorders>
              <w:top w:val="single" w:sz="4" w:space="0" w:color="auto"/>
              <w:left w:val="single" w:sz="4" w:space="0" w:color="auto"/>
              <w:bottom w:val="single" w:sz="4" w:space="0" w:color="auto"/>
              <w:right w:val="single" w:sz="4" w:space="0" w:color="auto"/>
            </w:tcBorders>
            <w:hideMark/>
          </w:tcPr>
          <w:p w14:paraId="387E8410" w14:textId="77777777"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2019</w:t>
            </w:r>
          </w:p>
        </w:tc>
        <w:tc>
          <w:tcPr>
            <w:tcW w:w="716" w:type="pct"/>
            <w:tcBorders>
              <w:top w:val="single" w:sz="4" w:space="0" w:color="auto"/>
              <w:left w:val="single" w:sz="4" w:space="0" w:color="auto"/>
              <w:bottom w:val="single" w:sz="4" w:space="0" w:color="auto"/>
              <w:right w:val="single" w:sz="4" w:space="0" w:color="auto"/>
            </w:tcBorders>
            <w:hideMark/>
          </w:tcPr>
          <w:p w14:paraId="689D33BA" w14:textId="77777777"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2020</w:t>
            </w:r>
          </w:p>
        </w:tc>
        <w:tc>
          <w:tcPr>
            <w:tcW w:w="716" w:type="pct"/>
            <w:tcBorders>
              <w:top w:val="single" w:sz="4" w:space="0" w:color="auto"/>
              <w:left w:val="single" w:sz="4" w:space="0" w:color="auto"/>
              <w:bottom w:val="single" w:sz="4" w:space="0" w:color="auto"/>
              <w:right w:val="single" w:sz="4" w:space="0" w:color="auto"/>
            </w:tcBorders>
          </w:tcPr>
          <w:p w14:paraId="71D64AAC" w14:textId="77777777"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2021</w:t>
            </w:r>
          </w:p>
        </w:tc>
        <w:tc>
          <w:tcPr>
            <w:tcW w:w="716" w:type="pct"/>
            <w:tcBorders>
              <w:top w:val="single" w:sz="4" w:space="0" w:color="auto"/>
              <w:left w:val="single" w:sz="4" w:space="0" w:color="auto"/>
              <w:bottom w:val="single" w:sz="4" w:space="0" w:color="auto"/>
              <w:right w:val="single" w:sz="4" w:space="0" w:color="auto"/>
            </w:tcBorders>
            <w:hideMark/>
          </w:tcPr>
          <w:p w14:paraId="44FB9C19" w14:textId="77777777"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2022</w:t>
            </w:r>
          </w:p>
        </w:tc>
        <w:tc>
          <w:tcPr>
            <w:tcW w:w="715" w:type="pct"/>
            <w:tcBorders>
              <w:top w:val="single" w:sz="4" w:space="0" w:color="auto"/>
              <w:left w:val="single" w:sz="4" w:space="0" w:color="auto"/>
              <w:bottom w:val="single" w:sz="4" w:space="0" w:color="auto"/>
              <w:right w:val="single" w:sz="4" w:space="0" w:color="auto"/>
            </w:tcBorders>
            <w:hideMark/>
          </w:tcPr>
          <w:p w14:paraId="03A04F6A" w14:textId="77777777"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2023</w:t>
            </w:r>
          </w:p>
        </w:tc>
      </w:tr>
      <w:tr w:rsidR="005C29F8" w:rsidRPr="00781112" w14:paraId="0B00407F" w14:textId="77777777" w:rsidTr="00C37CAE">
        <w:trPr>
          <w:trHeight w:val="70"/>
        </w:trPr>
        <w:tc>
          <w:tcPr>
            <w:tcW w:w="190" w:type="pct"/>
            <w:tcBorders>
              <w:top w:val="single" w:sz="4" w:space="0" w:color="auto"/>
              <w:left w:val="single" w:sz="4" w:space="0" w:color="auto"/>
              <w:right w:val="single" w:sz="4" w:space="0" w:color="auto"/>
            </w:tcBorders>
            <w:vAlign w:val="center"/>
          </w:tcPr>
          <w:p w14:paraId="5822CEDD"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A</w:t>
            </w:r>
          </w:p>
        </w:tc>
        <w:tc>
          <w:tcPr>
            <w:tcW w:w="815" w:type="pct"/>
            <w:tcBorders>
              <w:top w:val="single" w:sz="4" w:space="0" w:color="auto"/>
              <w:left w:val="single" w:sz="4" w:space="0" w:color="auto"/>
              <w:right w:val="single" w:sz="4" w:space="0" w:color="auto"/>
            </w:tcBorders>
          </w:tcPr>
          <w:p w14:paraId="4A66D099"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2009</w:t>
            </w:r>
          </w:p>
        </w:tc>
        <w:tc>
          <w:tcPr>
            <w:tcW w:w="416" w:type="pct"/>
            <w:tcBorders>
              <w:top w:val="single" w:sz="4" w:space="0" w:color="auto"/>
              <w:left w:val="single" w:sz="4" w:space="0" w:color="auto"/>
              <w:bottom w:val="single" w:sz="4" w:space="0" w:color="auto"/>
              <w:right w:val="single" w:sz="4" w:space="0" w:color="auto"/>
            </w:tcBorders>
            <w:vAlign w:val="center"/>
            <w:hideMark/>
          </w:tcPr>
          <w:p w14:paraId="655D4F07" w14:textId="7777777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tcPr>
          <w:p w14:paraId="47ADAA64"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21.00%</w:t>
            </w:r>
          </w:p>
        </w:tc>
        <w:tc>
          <w:tcPr>
            <w:tcW w:w="716" w:type="pct"/>
            <w:tcBorders>
              <w:top w:val="single" w:sz="4" w:space="0" w:color="auto"/>
              <w:left w:val="single" w:sz="4" w:space="0" w:color="auto"/>
              <w:bottom w:val="single" w:sz="4" w:space="0" w:color="auto"/>
              <w:right w:val="single" w:sz="4" w:space="0" w:color="auto"/>
            </w:tcBorders>
          </w:tcPr>
          <w:p w14:paraId="6C6E98EA"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19.03%</w:t>
            </w:r>
          </w:p>
        </w:tc>
        <w:tc>
          <w:tcPr>
            <w:tcW w:w="716" w:type="pct"/>
            <w:tcBorders>
              <w:top w:val="single" w:sz="4" w:space="0" w:color="auto"/>
              <w:left w:val="single" w:sz="4" w:space="0" w:color="auto"/>
              <w:bottom w:val="single" w:sz="4" w:space="0" w:color="auto"/>
              <w:right w:val="single" w:sz="4" w:space="0" w:color="auto"/>
            </w:tcBorders>
            <w:vAlign w:val="center"/>
          </w:tcPr>
          <w:p w14:paraId="69ED39FF"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20.03%</w:t>
            </w:r>
          </w:p>
        </w:tc>
        <w:tc>
          <w:tcPr>
            <w:tcW w:w="716" w:type="pct"/>
            <w:tcBorders>
              <w:top w:val="single" w:sz="4" w:space="0" w:color="auto"/>
              <w:left w:val="single" w:sz="4" w:space="0" w:color="auto"/>
              <w:bottom w:val="single" w:sz="4" w:space="0" w:color="auto"/>
              <w:right w:val="single" w:sz="4" w:space="0" w:color="auto"/>
            </w:tcBorders>
            <w:vAlign w:val="center"/>
          </w:tcPr>
          <w:p w14:paraId="4CD6E88B"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21.03%</w:t>
            </w:r>
          </w:p>
        </w:tc>
        <w:tc>
          <w:tcPr>
            <w:tcW w:w="715" w:type="pct"/>
            <w:tcBorders>
              <w:top w:val="single" w:sz="4" w:space="0" w:color="auto"/>
              <w:left w:val="single" w:sz="4" w:space="0" w:color="auto"/>
              <w:bottom w:val="single" w:sz="4" w:space="0" w:color="auto"/>
              <w:right w:val="single" w:sz="4" w:space="0" w:color="auto"/>
            </w:tcBorders>
            <w:vAlign w:val="center"/>
          </w:tcPr>
          <w:p w14:paraId="6BA3EE77"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22.03%</w:t>
            </w:r>
          </w:p>
        </w:tc>
      </w:tr>
      <w:tr w:rsidR="005C29F8" w:rsidRPr="00781112" w14:paraId="13CBC098" w14:textId="77777777" w:rsidTr="00C37CAE">
        <w:trPr>
          <w:trHeight w:val="85"/>
        </w:trPr>
        <w:tc>
          <w:tcPr>
            <w:tcW w:w="190" w:type="pct"/>
            <w:tcBorders>
              <w:left w:val="single" w:sz="4" w:space="0" w:color="auto"/>
              <w:right w:val="single" w:sz="4" w:space="0" w:color="auto"/>
            </w:tcBorders>
          </w:tcPr>
          <w:p w14:paraId="23B705F4" w14:textId="77777777"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A</w:t>
            </w:r>
          </w:p>
        </w:tc>
        <w:tc>
          <w:tcPr>
            <w:tcW w:w="815" w:type="pct"/>
            <w:tcBorders>
              <w:left w:val="single" w:sz="4" w:space="0" w:color="auto"/>
              <w:right w:val="single" w:sz="4" w:space="0" w:color="auto"/>
            </w:tcBorders>
          </w:tcPr>
          <w:p w14:paraId="3F6C35DC"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19.49%</w:t>
            </w:r>
          </w:p>
        </w:tc>
        <w:tc>
          <w:tcPr>
            <w:tcW w:w="416" w:type="pct"/>
            <w:tcBorders>
              <w:top w:val="single" w:sz="4" w:space="0" w:color="auto"/>
              <w:left w:val="single" w:sz="4" w:space="0" w:color="auto"/>
              <w:bottom w:val="single" w:sz="4" w:space="0" w:color="auto"/>
              <w:right w:val="single" w:sz="4" w:space="0" w:color="auto"/>
            </w:tcBorders>
            <w:vAlign w:val="center"/>
            <w:hideMark/>
          </w:tcPr>
          <w:p w14:paraId="355B190E" w14:textId="7777777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tcPr>
          <w:p w14:paraId="02DD09A7"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19.86%</w:t>
            </w:r>
          </w:p>
        </w:tc>
        <w:tc>
          <w:tcPr>
            <w:tcW w:w="716" w:type="pct"/>
            <w:tcBorders>
              <w:top w:val="single" w:sz="4" w:space="0" w:color="auto"/>
              <w:left w:val="single" w:sz="4" w:space="0" w:color="auto"/>
              <w:bottom w:val="single" w:sz="4" w:space="0" w:color="auto"/>
              <w:right w:val="single" w:sz="4" w:space="0" w:color="auto"/>
            </w:tcBorders>
          </w:tcPr>
          <w:p w14:paraId="74C7FDCB"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10.11%</w:t>
            </w:r>
          </w:p>
        </w:tc>
        <w:tc>
          <w:tcPr>
            <w:tcW w:w="716" w:type="pct"/>
            <w:tcBorders>
              <w:top w:val="single" w:sz="4" w:space="0" w:color="auto"/>
              <w:left w:val="single" w:sz="4" w:space="0" w:color="auto"/>
              <w:bottom w:val="single" w:sz="4" w:space="0" w:color="auto"/>
              <w:right w:val="single" w:sz="4" w:space="0" w:color="auto"/>
            </w:tcBorders>
            <w:vAlign w:val="center"/>
          </w:tcPr>
          <w:p w14:paraId="37604272"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18.30%</w:t>
            </w:r>
          </w:p>
        </w:tc>
        <w:tc>
          <w:tcPr>
            <w:tcW w:w="716" w:type="pct"/>
            <w:tcBorders>
              <w:top w:val="single" w:sz="4" w:space="0" w:color="auto"/>
              <w:left w:val="single" w:sz="4" w:space="0" w:color="auto"/>
              <w:bottom w:val="single" w:sz="4" w:space="0" w:color="auto"/>
              <w:right w:val="single" w:sz="4" w:space="0" w:color="auto"/>
            </w:tcBorders>
            <w:vAlign w:val="center"/>
          </w:tcPr>
          <w:p w14:paraId="02E1D6FA"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16.49%</w:t>
            </w:r>
          </w:p>
        </w:tc>
        <w:tc>
          <w:tcPr>
            <w:tcW w:w="715" w:type="pct"/>
            <w:tcBorders>
              <w:top w:val="single" w:sz="4" w:space="0" w:color="auto"/>
              <w:left w:val="single" w:sz="4" w:space="0" w:color="auto"/>
              <w:bottom w:val="single" w:sz="4" w:space="0" w:color="auto"/>
              <w:right w:val="single" w:sz="4" w:space="0" w:color="auto"/>
            </w:tcBorders>
            <w:vAlign w:val="center"/>
          </w:tcPr>
          <w:p w14:paraId="2D00D3D8"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18.74%</w:t>
            </w:r>
          </w:p>
        </w:tc>
      </w:tr>
      <w:tr w:rsidR="005C29F8" w:rsidRPr="00781112" w14:paraId="21AEA22C" w14:textId="77777777" w:rsidTr="00C37CAE">
        <w:trPr>
          <w:trHeight w:val="357"/>
        </w:trPr>
        <w:tc>
          <w:tcPr>
            <w:tcW w:w="190" w:type="pct"/>
            <w:tcBorders>
              <w:top w:val="single" w:sz="4" w:space="0" w:color="auto"/>
              <w:left w:val="single" w:sz="4" w:space="0" w:color="auto"/>
              <w:right w:val="single" w:sz="4" w:space="0" w:color="auto"/>
            </w:tcBorders>
            <w:vAlign w:val="center"/>
          </w:tcPr>
          <w:p w14:paraId="0AA83767"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B</w:t>
            </w:r>
          </w:p>
        </w:tc>
        <w:tc>
          <w:tcPr>
            <w:tcW w:w="815" w:type="pct"/>
            <w:tcBorders>
              <w:top w:val="single" w:sz="4" w:space="0" w:color="auto"/>
              <w:left w:val="single" w:sz="4" w:space="0" w:color="auto"/>
              <w:right w:val="single" w:sz="4" w:space="0" w:color="auto"/>
            </w:tcBorders>
          </w:tcPr>
          <w:p w14:paraId="72621606"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2009</w:t>
            </w:r>
          </w:p>
        </w:tc>
        <w:tc>
          <w:tcPr>
            <w:tcW w:w="416" w:type="pct"/>
            <w:tcBorders>
              <w:top w:val="single" w:sz="4" w:space="0" w:color="auto"/>
              <w:left w:val="single" w:sz="4" w:space="0" w:color="auto"/>
              <w:bottom w:val="single" w:sz="4" w:space="0" w:color="auto"/>
              <w:right w:val="single" w:sz="4" w:space="0" w:color="auto"/>
            </w:tcBorders>
            <w:vAlign w:val="center"/>
            <w:hideMark/>
          </w:tcPr>
          <w:p w14:paraId="37F3D971" w14:textId="7777777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tcPr>
          <w:p w14:paraId="20E9A83B"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55.00%</w:t>
            </w:r>
          </w:p>
        </w:tc>
        <w:tc>
          <w:tcPr>
            <w:tcW w:w="716" w:type="pct"/>
            <w:tcBorders>
              <w:top w:val="single" w:sz="4" w:space="0" w:color="auto"/>
              <w:left w:val="single" w:sz="4" w:space="0" w:color="auto"/>
              <w:bottom w:val="single" w:sz="4" w:space="0" w:color="auto"/>
              <w:right w:val="single" w:sz="4" w:space="0" w:color="auto"/>
            </w:tcBorders>
          </w:tcPr>
          <w:p w14:paraId="3EE7B3A7"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47.69%</w:t>
            </w:r>
          </w:p>
        </w:tc>
        <w:tc>
          <w:tcPr>
            <w:tcW w:w="716" w:type="pct"/>
            <w:tcBorders>
              <w:top w:val="single" w:sz="4" w:space="0" w:color="auto"/>
              <w:left w:val="single" w:sz="4" w:space="0" w:color="auto"/>
              <w:bottom w:val="single" w:sz="4" w:space="0" w:color="auto"/>
              <w:right w:val="single" w:sz="4" w:space="0" w:color="auto"/>
            </w:tcBorders>
            <w:vAlign w:val="center"/>
          </w:tcPr>
          <w:p w14:paraId="59E3EDCD"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49.69%</w:t>
            </w:r>
          </w:p>
        </w:tc>
        <w:tc>
          <w:tcPr>
            <w:tcW w:w="716" w:type="pct"/>
            <w:tcBorders>
              <w:top w:val="single" w:sz="4" w:space="0" w:color="auto"/>
              <w:left w:val="single" w:sz="4" w:space="0" w:color="auto"/>
              <w:bottom w:val="single" w:sz="4" w:space="0" w:color="auto"/>
              <w:right w:val="single" w:sz="4" w:space="0" w:color="auto"/>
            </w:tcBorders>
            <w:vAlign w:val="center"/>
          </w:tcPr>
          <w:p w14:paraId="1826AD0A"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51.69%</w:t>
            </w:r>
          </w:p>
        </w:tc>
        <w:tc>
          <w:tcPr>
            <w:tcW w:w="715" w:type="pct"/>
            <w:tcBorders>
              <w:top w:val="single" w:sz="4" w:space="0" w:color="auto"/>
              <w:left w:val="single" w:sz="4" w:space="0" w:color="auto"/>
              <w:bottom w:val="single" w:sz="4" w:space="0" w:color="auto"/>
              <w:right w:val="single" w:sz="4" w:space="0" w:color="auto"/>
            </w:tcBorders>
            <w:vAlign w:val="center"/>
          </w:tcPr>
          <w:p w14:paraId="1EC90AC3"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53.69%</w:t>
            </w:r>
          </w:p>
        </w:tc>
      </w:tr>
      <w:tr w:rsidR="005C29F8" w:rsidRPr="00781112" w14:paraId="232867FE" w14:textId="77777777" w:rsidTr="00C37CAE">
        <w:trPr>
          <w:trHeight w:val="85"/>
        </w:trPr>
        <w:tc>
          <w:tcPr>
            <w:tcW w:w="190" w:type="pct"/>
            <w:tcBorders>
              <w:left w:val="single" w:sz="4" w:space="0" w:color="auto"/>
              <w:right w:val="single" w:sz="4" w:space="0" w:color="auto"/>
            </w:tcBorders>
          </w:tcPr>
          <w:p w14:paraId="439048D4" w14:textId="77777777"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B</w:t>
            </w:r>
          </w:p>
        </w:tc>
        <w:tc>
          <w:tcPr>
            <w:tcW w:w="815" w:type="pct"/>
            <w:tcBorders>
              <w:left w:val="single" w:sz="4" w:space="0" w:color="auto"/>
              <w:right w:val="single" w:sz="4" w:space="0" w:color="auto"/>
            </w:tcBorders>
          </w:tcPr>
          <w:p w14:paraId="1146B480"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48.84%</w:t>
            </w:r>
          </w:p>
        </w:tc>
        <w:tc>
          <w:tcPr>
            <w:tcW w:w="416" w:type="pct"/>
            <w:tcBorders>
              <w:top w:val="single" w:sz="4" w:space="0" w:color="auto"/>
              <w:left w:val="single" w:sz="4" w:space="0" w:color="auto"/>
              <w:bottom w:val="single" w:sz="4" w:space="0" w:color="auto"/>
              <w:right w:val="single" w:sz="4" w:space="0" w:color="auto"/>
            </w:tcBorders>
            <w:vAlign w:val="center"/>
            <w:hideMark/>
          </w:tcPr>
          <w:p w14:paraId="608750EA" w14:textId="7777777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tcPr>
          <w:p w14:paraId="4238069C"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44.97%</w:t>
            </w:r>
          </w:p>
        </w:tc>
        <w:tc>
          <w:tcPr>
            <w:tcW w:w="716" w:type="pct"/>
            <w:tcBorders>
              <w:top w:val="single" w:sz="4" w:space="0" w:color="auto"/>
              <w:left w:val="single" w:sz="4" w:space="0" w:color="auto"/>
              <w:bottom w:val="single" w:sz="4" w:space="0" w:color="auto"/>
              <w:right w:val="single" w:sz="4" w:space="0" w:color="auto"/>
            </w:tcBorders>
          </w:tcPr>
          <w:p w14:paraId="7A627432"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27.01%</w:t>
            </w:r>
          </w:p>
        </w:tc>
        <w:tc>
          <w:tcPr>
            <w:tcW w:w="716" w:type="pct"/>
            <w:tcBorders>
              <w:top w:val="single" w:sz="4" w:space="0" w:color="auto"/>
              <w:left w:val="single" w:sz="4" w:space="0" w:color="auto"/>
              <w:bottom w:val="single" w:sz="4" w:space="0" w:color="auto"/>
              <w:right w:val="single" w:sz="4" w:space="0" w:color="auto"/>
            </w:tcBorders>
            <w:vAlign w:val="center"/>
          </w:tcPr>
          <w:p w14:paraId="2E10A717"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51.16%</w:t>
            </w:r>
          </w:p>
        </w:tc>
        <w:tc>
          <w:tcPr>
            <w:tcW w:w="716" w:type="pct"/>
            <w:tcBorders>
              <w:top w:val="single" w:sz="4" w:space="0" w:color="auto"/>
              <w:left w:val="single" w:sz="4" w:space="0" w:color="auto"/>
              <w:bottom w:val="single" w:sz="4" w:space="0" w:color="auto"/>
              <w:right w:val="single" w:sz="4" w:space="0" w:color="auto"/>
            </w:tcBorders>
            <w:vAlign w:val="center"/>
          </w:tcPr>
          <w:p w14:paraId="4FE6D9D2"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54.10%</w:t>
            </w:r>
          </w:p>
        </w:tc>
        <w:tc>
          <w:tcPr>
            <w:tcW w:w="715" w:type="pct"/>
            <w:tcBorders>
              <w:top w:val="single" w:sz="4" w:space="0" w:color="auto"/>
              <w:left w:val="single" w:sz="4" w:space="0" w:color="auto"/>
              <w:bottom w:val="single" w:sz="4" w:space="0" w:color="auto"/>
              <w:right w:val="single" w:sz="4" w:space="0" w:color="auto"/>
            </w:tcBorders>
            <w:vAlign w:val="center"/>
          </w:tcPr>
          <w:p w14:paraId="663F3D88"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57.93%</w:t>
            </w:r>
          </w:p>
        </w:tc>
      </w:tr>
      <w:tr w:rsidR="005C29F8" w:rsidRPr="00781112" w14:paraId="5A3F9F35" w14:textId="77777777" w:rsidTr="00C37CAE">
        <w:trPr>
          <w:trHeight w:val="357"/>
        </w:trPr>
        <w:tc>
          <w:tcPr>
            <w:tcW w:w="190" w:type="pct"/>
            <w:tcBorders>
              <w:top w:val="single" w:sz="4" w:space="0" w:color="auto"/>
              <w:left w:val="single" w:sz="4" w:space="0" w:color="auto"/>
              <w:right w:val="single" w:sz="4" w:space="0" w:color="auto"/>
            </w:tcBorders>
            <w:vAlign w:val="center"/>
          </w:tcPr>
          <w:p w14:paraId="602A5017"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C</w:t>
            </w:r>
          </w:p>
        </w:tc>
        <w:tc>
          <w:tcPr>
            <w:tcW w:w="815" w:type="pct"/>
            <w:tcBorders>
              <w:top w:val="single" w:sz="4" w:space="0" w:color="auto"/>
              <w:left w:val="single" w:sz="4" w:space="0" w:color="auto"/>
              <w:right w:val="single" w:sz="4" w:space="0" w:color="auto"/>
            </w:tcBorders>
          </w:tcPr>
          <w:p w14:paraId="524F73DF"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2009</w:t>
            </w:r>
          </w:p>
        </w:tc>
        <w:tc>
          <w:tcPr>
            <w:tcW w:w="416" w:type="pct"/>
            <w:tcBorders>
              <w:top w:val="single" w:sz="4" w:space="0" w:color="auto"/>
              <w:left w:val="single" w:sz="4" w:space="0" w:color="auto"/>
              <w:bottom w:val="single" w:sz="4" w:space="0" w:color="auto"/>
              <w:right w:val="single" w:sz="4" w:space="0" w:color="auto"/>
            </w:tcBorders>
            <w:vAlign w:val="center"/>
            <w:hideMark/>
          </w:tcPr>
          <w:p w14:paraId="4D1D12F8" w14:textId="7777777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tcPr>
          <w:p w14:paraId="6F6D8F94"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70.00%</w:t>
            </w:r>
          </w:p>
        </w:tc>
        <w:tc>
          <w:tcPr>
            <w:tcW w:w="716" w:type="pct"/>
            <w:tcBorders>
              <w:top w:val="single" w:sz="4" w:space="0" w:color="auto"/>
              <w:left w:val="single" w:sz="4" w:space="0" w:color="auto"/>
              <w:bottom w:val="single" w:sz="4" w:space="0" w:color="auto"/>
              <w:right w:val="single" w:sz="4" w:space="0" w:color="auto"/>
            </w:tcBorders>
          </w:tcPr>
          <w:p w14:paraId="592A18A6"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71.01%</w:t>
            </w:r>
          </w:p>
        </w:tc>
        <w:tc>
          <w:tcPr>
            <w:tcW w:w="716" w:type="pct"/>
            <w:tcBorders>
              <w:top w:val="single" w:sz="4" w:space="0" w:color="auto"/>
              <w:left w:val="single" w:sz="4" w:space="0" w:color="auto"/>
              <w:bottom w:val="single" w:sz="4" w:space="0" w:color="auto"/>
              <w:right w:val="single" w:sz="4" w:space="0" w:color="auto"/>
            </w:tcBorders>
            <w:vAlign w:val="center"/>
          </w:tcPr>
          <w:p w14:paraId="3F008A1F"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71.51%</w:t>
            </w:r>
          </w:p>
        </w:tc>
        <w:tc>
          <w:tcPr>
            <w:tcW w:w="716" w:type="pct"/>
            <w:tcBorders>
              <w:top w:val="single" w:sz="4" w:space="0" w:color="auto"/>
              <w:left w:val="single" w:sz="4" w:space="0" w:color="auto"/>
              <w:bottom w:val="single" w:sz="4" w:space="0" w:color="auto"/>
              <w:right w:val="single" w:sz="4" w:space="0" w:color="auto"/>
            </w:tcBorders>
            <w:vAlign w:val="center"/>
          </w:tcPr>
          <w:p w14:paraId="12BF9DBB"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72.01%</w:t>
            </w:r>
          </w:p>
        </w:tc>
        <w:tc>
          <w:tcPr>
            <w:tcW w:w="715" w:type="pct"/>
            <w:tcBorders>
              <w:top w:val="single" w:sz="4" w:space="0" w:color="auto"/>
              <w:left w:val="single" w:sz="4" w:space="0" w:color="auto"/>
              <w:bottom w:val="single" w:sz="4" w:space="0" w:color="auto"/>
              <w:right w:val="single" w:sz="4" w:space="0" w:color="auto"/>
            </w:tcBorders>
            <w:vAlign w:val="center"/>
          </w:tcPr>
          <w:p w14:paraId="5C12D9EF"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72.51%</w:t>
            </w:r>
          </w:p>
        </w:tc>
      </w:tr>
      <w:tr w:rsidR="005C29F8" w:rsidRPr="00781112" w14:paraId="499821BD" w14:textId="77777777" w:rsidTr="00C37CAE">
        <w:trPr>
          <w:trHeight w:val="85"/>
        </w:trPr>
        <w:tc>
          <w:tcPr>
            <w:tcW w:w="190" w:type="pct"/>
            <w:tcBorders>
              <w:left w:val="single" w:sz="4" w:space="0" w:color="auto"/>
              <w:right w:val="single" w:sz="4" w:space="0" w:color="auto"/>
            </w:tcBorders>
          </w:tcPr>
          <w:p w14:paraId="55CB97FC" w14:textId="77777777"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C</w:t>
            </w:r>
          </w:p>
        </w:tc>
        <w:tc>
          <w:tcPr>
            <w:tcW w:w="815" w:type="pct"/>
            <w:tcBorders>
              <w:left w:val="single" w:sz="4" w:space="0" w:color="auto"/>
              <w:right w:val="single" w:sz="4" w:space="0" w:color="auto"/>
            </w:tcBorders>
          </w:tcPr>
          <w:p w14:paraId="7E926F51"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63.57%</w:t>
            </w:r>
          </w:p>
        </w:tc>
        <w:tc>
          <w:tcPr>
            <w:tcW w:w="416" w:type="pct"/>
            <w:tcBorders>
              <w:top w:val="single" w:sz="4" w:space="0" w:color="auto"/>
              <w:left w:val="single" w:sz="4" w:space="0" w:color="auto"/>
              <w:bottom w:val="single" w:sz="4" w:space="0" w:color="auto"/>
              <w:right w:val="single" w:sz="4" w:space="0" w:color="auto"/>
            </w:tcBorders>
            <w:vAlign w:val="center"/>
            <w:hideMark/>
          </w:tcPr>
          <w:p w14:paraId="52C56F49" w14:textId="7777777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tcPr>
          <w:p w14:paraId="7B4B1CE8"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68.42%</w:t>
            </w:r>
          </w:p>
        </w:tc>
        <w:tc>
          <w:tcPr>
            <w:tcW w:w="716" w:type="pct"/>
            <w:tcBorders>
              <w:top w:val="single" w:sz="4" w:space="0" w:color="auto"/>
              <w:left w:val="single" w:sz="4" w:space="0" w:color="auto"/>
              <w:bottom w:val="single" w:sz="4" w:space="0" w:color="auto"/>
              <w:right w:val="single" w:sz="4" w:space="0" w:color="auto"/>
            </w:tcBorders>
          </w:tcPr>
          <w:p w14:paraId="0BA0E4E0"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41.49%</w:t>
            </w:r>
          </w:p>
        </w:tc>
        <w:tc>
          <w:tcPr>
            <w:tcW w:w="716" w:type="pct"/>
            <w:tcBorders>
              <w:top w:val="single" w:sz="4" w:space="0" w:color="auto"/>
              <w:left w:val="single" w:sz="4" w:space="0" w:color="auto"/>
              <w:bottom w:val="single" w:sz="4" w:space="0" w:color="auto"/>
              <w:right w:val="single" w:sz="4" w:space="0" w:color="auto"/>
            </w:tcBorders>
            <w:vAlign w:val="center"/>
          </w:tcPr>
          <w:p w14:paraId="36790AC4"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74.58%</w:t>
            </w:r>
          </w:p>
        </w:tc>
        <w:tc>
          <w:tcPr>
            <w:tcW w:w="716" w:type="pct"/>
            <w:tcBorders>
              <w:top w:val="single" w:sz="4" w:space="0" w:color="auto"/>
              <w:left w:val="single" w:sz="4" w:space="0" w:color="auto"/>
              <w:bottom w:val="single" w:sz="4" w:space="0" w:color="auto"/>
              <w:right w:val="single" w:sz="4" w:space="0" w:color="auto"/>
            </w:tcBorders>
            <w:vAlign w:val="center"/>
          </w:tcPr>
          <w:p w14:paraId="5C9ECD2E"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74.63%</w:t>
            </w:r>
          </w:p>
        </w:tc>
        <w:tc>
          <w:tcPr>
            <w:tcW w:w="715" w:type="pct"/>
            <w:tcBorders>
              <w:top w:val="single" w:sz="4" w:space="0" w:color="auto"/>
              <w:left w:val="single" w:sz="4" w:space="0" w:color="auto"/>
              <w:bottom w:val="single" w:sz="4" w:space="0" w:color="auto"/>
              <w:right w:val="single" w:sz="4" w:space="0" w:color="auto"/>
            </w:tcBorders>
            <w:vAlign w:val="center"/>
          </w:tcPr>
          <w:p w14:paraId="53323E98" w14:textId="77777777" w:rsidR="005F442C" w:rsidRPr="00781112" w:rsidRDefault="002B7490" w:rsidP="00A018D4">
            <w:pPr>
              <w:jc w:val="center"/>
              <w:rPr>
                <w:rFonts w:cs="Arial"/>
                <w:color w:val="000000" w:themeColor="text1"/>
                <w:szCs w:val="16"/>
              </w:rPr>
            </w:pPr>
            <w:r w:rsidRPr="00781112">
              <w:rPr>
                <w:rFonts w:cs="Arial"/>
                <w:color w:val="000000" w:themeColor="text1"/>
                <w:szCs w:val="16"/>
              </w:rPr>
              <w:t>75.76%</w:t>
            </w:r>
          </w:p>
        </w:tc>
      </w:tr>
    </w:tbl>
    <w:p w14:paraId="6C53254D" w14:textId="77777777" w:rsidR="00E448E9" w:rsidRPr="00781112" w:rsidRDefault="00E448E9" w:rsidP="004369B2">
      <w:pPr>
        <w:rPr>
          <w:color w:val="000000" w:themeColor="text1"/>
        </w:rPr>
      </w:pPr>
    </w:p>
    <w:p w14:paraId="4CCAEC6A" w14:textId="77777777" w:rsidR="005F442C" w:rsidRPr="00781112" w:rsidRDefault="00806C75" w:rsidP="004369B2">
      <w:pPr>
        <w:rPr>
          <w:color w:val="000000" w:themeColor="text1"/>
        </w:rPr>
      </w:pPr>
      <w:r w:rsidRPr="00781112">
        <w:rPr>
          <w:b/>
          <w:color w:val="000000" w:themeColor="text1"/>
        </w:rPr>
        <w:t>Targets</w:t>
      </w:r>
    </w:p>
    <w:tbl>
      <w:tblPr>
        <w:tblW w:w="1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4TARGETS"/>
      </w:tblPr>
      <w:tblGrid>
        <w:gridCol w:w="824"/>
        <w:gridCol w:w="1664"/>
        <w:gridCol w:w="1664"/>
      </w:tblGrid>
      <w:tr w:rsidR="008B52D3" w:rsidRPr="00781112" w14:paraId="1E0D5E27" w14:textId="77777777" w:rsidTr="00924AD9">
        <w:trPr>
          <w:trHeight w:val="388"/>
        </w:trPr>
        <w:tc>
          <w:tcPr>
            <w:tcW w:w="991" w:type="pct"/>
            <w:tcBorders>
              <w:bottom w:val="single" w:sz="4" w:space="0" w:color="auto"/>
            </w:tcBorders>
          </w:tcPr>
          <w:p w14:paraId="1FDC78A6" w14:textId="77777777" w:rsidR="008B52D3" w:rsidRPr="00781112" w:rsidRDefault="008B52D3" w:rsidP="00AF574F">
            <w:pPr>
              <w:jc w:val="center"/>
              <w:rPr>
                <w:b/>
                <w:color w:val="000000" w:themeColor="text1"/>
              </w:rPr>
            </w:pPr>
            <w:r w:rsidRPr="00781112">
              <w:rPr>
                <w:b/>
                <w:color w:val="000000" w:themeColor="text1"/>
              </w:rPr>
              <w:t>FFY</w:t>
            </w:r>
          </w:p>
        </w:tc>
        <w:tc>
          <w:tcPr>
            <w:tcW w:w="2004" w:type="pct"/>
          </w:tcPr>
          <w:p w14:paraId="680D3F7C" w14:textId="77777777" w:rsidR="008B52D3" w:rsidRPr="00781112" w:rsidRDefault="008B52D3" w:rsidP="00AF574F">
            <w:pPr>
              <w:jc w:val="center"/>
              <w:rPr>
                <w:b/>
                <w:color w:val="000000" w:themeColor="text1"/>
              </w:rPr>
            </w:pPr>
            <w:r w:rsidRPr="00781112">
              <w:rPr>
                <w:b/>
                <w:color w:val="000000" w:themeColor="text1"/>
              </w:rPr>
              <w:t>2024</w:t>
            </w:r>
          </w:p>
        </w:tc>
        <w:tc>
          <w:tcPr>
            <w:tcW w:w="2004" w:type="pct"/>
          </w:tcPr>
          <w:p w14:paraId="5F496750" w14:textId="77777777" w:rsidR="008B52D3" w:rsidRPr="00781112" w:rsidRDefault="008B52D3" w:rsidP="00AF574F">
            <w:pPr>
              <w:jc w:val="center"/>
              <w:rPr>
                <w:b/>
                <w:color w:val="000000" w:themeColor="text1"/>
              </w:rPr>
            </w:pPr>
            <w:r w:rsidRPr="00781112">
              <w:rPr>
                <w:rFonts w:cs="Arial"/>
                <w:b/>
                <w:color w:val="000000" w:themeColor="text1"/>
                <w:szCs w:val="16"/>
              </w:rPr>
              <w:t>2025</w:t>
            </w:r>
          </w:p>
        </w:tc>
      </w:tr>
      <w:tr w:rsidR="008B52D3" w:rsidRPr="00781112" w14:paraId="19E84E68" w14:textId="77777777" w:rsidTr="00924AD9">
        <w:trPr>
          <w:trHeight w:val="396"/>
        </w:trPr>
        <w:tc>
          <w:tcPr>
            <w:tcW w:w="991" w:type="pct"/>
          </w:tcPr>
          <w:p w14:paraId="01E1BBD7" w14:textId="77777777" w:rsidR="008B52D3" w:rsidRPr="00781112" w:rsidRDefault="008B52D3" w:rsidP="00BA3DBE">
            <w:pPr>
              <w:jc w:val="center"/>
              <w:rPr>
                <w:rFonts w:cs="Arial"/>
                <w:color w:val="000000" w:themeColor="text1"/>
                <w:szCs w:val="16"/>
              </w:rPr>
            </w:pPr>
            <w:r w:rsidRPr="00781112">
              <w:rPr>
                <w:rFonts w:cs="Arial"/>
                <w:color w:val="000000" w:themeColor="text1"/>
                <w:szCs w:val="16"/>
              </w:rPr>
              <w:t>Target A &gt;=</w:t>
            </w:r>
          </w:p>
        </w:tc>
        <w:tc>
          <w:tcPr>
            <w:tcW w:w="2004" w:type="pct"/>
            <w:vAlign w:val="center"/>
          </w:tcPr>
          <w:p w14:paraId="4BEFC706" w14:textId="77777777" w:rsidR="008B52D3" w:rsidRPr="00781112" w:rsidRDefault="008B52D3" w:rsidP="00AF574F">
            <w:pPr>
              <w:jc w:val="center"/>
              <w:rPr>
                <w:rFonts w:cs="Arial"/>
                <w:color w:val="000000" w:themeColor="text1"/>
                <w:szCs w:val="16"/>
              </w:rPr>
            </w:pPr>
            <w:r w:rsidRPr="00781112">
              <w:rPr>
                <w:rFonts w:cs="Arial"/>
                <w:color w:val="000000" w:themeColor="text1"/>
                <w:szCs w:val="16"/>
              </w:rPr>
              <w:t>23.03%</w:t>
            </w:r>
          </w:p>
        </w:tc>
        <w:tc>
          <w:tcPr>
            <w:tcW w:w="2004" w:type="pct"/>
          </w:tcPr>
          <w:p w14:paraId="48B3198F" w14:textId="77777777" w:rsidR="008B52D3" w:rsidRPr="00781112" w:rsidRDefault="008B52D3" w:rsidP="00AF574F">
            <w:pPr>
              <w:jc w:val="center"/>
              <w:rPr>
                <w:rFonts w:cs="Arial"/>
                <w:color w:val="000000" w:themeColor="text1"/>
                <w:szCs w:val="16"/>
              </w:rPr>
            </w:pPr>
            <w:r w:rsidRPr="00781112">
              <w:rPr>
                <w:color w:val="000000" w:themeColor="text1"/>
                <w:szCs w:val="16"/>
              </w:rPr>
              <w:t>24.03%</w:t>
            </w:r>
          </w:p>
        </w:tc>
      </w:tr>
      <w:tr w:rsidR="008B52D3" w:rsidRPr="00781112" w14:paraId="39FBDC67" w14:textId="77777777" w:rsidTr="00924AD9">
        <w:trPr>
          <w:trHeight w:val="396"/>
        </w:trPr>
        <w:tc>
          <w:tcPr>
            <w:tcW w:w="991" w:type="pct"/>
          </w:tcPr>
          <w:p w14:paraId="00149BE4" w14:textId="77777777" w:rsidR="008B52D3" w:rsidRPr="00781112" w:rsidRDefault="008B52D3" w:rsidP="00BA3DBE">
            <w:pPr>
              <w:jc w:val="center"/>
              <w:rPr>
                <w:rFonts w:cs="Arial"/>
                <w:color w:val="000000" w:themeColor="text1"/>
                <w:szCs w:val="16"/>
              </w:rPr>
            </w:pPr>
            <w:r w:rsidRPr="00781112">
              <w:rPr>
                <w:rFonts w:cs="Arial"/>
                <w:color w:val="000000" w:themeColor="text1"/>
                <w:szCs w:val="16"/>
              </w:rPr>
              <w:t>Target B &gt;=</w:t>
            </w:r>
          </w:p>
        </w:tc>
        <w:tc>
          <w:tcPr>
            <w:tcW w:w="2004" w:type="pct"/>
            <w:vAlign w:val="center"/>
          </w:tcPr>
          <w:p w14:paraId="31AD1E78" w14:textId="77777777" w:rsidR="008B52D3" w:rsidRPr="00781112" w:rsidRDefault="008B52D3" w:rsidP="00AF574F">
            <w:pPr>
              <w:jc w:val="center"/>
              <w:rPr>
                <w:rFonts w:cs="Arial"/>
                <w:color w:val="000000" w:themeColor="text1"/>
                <w:szCs w:val="16"/>
              </w:rPr>
            </w:pPr>
            <w:r w:rsidRPr="00781112">
              <w:rPr>
                <w:rFonts w:cs="Arial"/>
                <w:color w:val="000000" w:themeColor="text1"/>
                <w:szCs w:val="16"/>
              </w:rPr>
              <w:t>55.69%</w:t>
            </w:r>
          </w:p>
        </w:tc>
        <w:tc>
          <w:tcPr>
            <w:tcW w:w="2004" w:type="pct"/>
          </w:tcPr>
          <w:p w14:paraId="5976B49D" w14:textId="77777777" w:rsidR="008B52D3" w:rsidRPr="00781112" w:rsidRDefault="008B52D3" w:rsidP="00AF574F">
            <w:pPr>
              <w:jc w:val="center"/>
              <w:rPr>
                <w:rFonts w:cs="Arial"/>
                <w:color w:val="000000" w:themeColor="text1"/>
                <w:szCs w:val="16"/>
              </w:rPr>
            </w:pPr>
            <w:r w:rsidRPr="00781112">
              <w:rPr>
                <w:color w:val="000000" w:themeColor="text1"/>
                <w:szCs w:val="16"/>
              </w:rPr>
              <w:t>57.69%</w:t>
            </w:r>
          </w:p>
        </w:tc>
      </w:tr>
      <w:tr w:rsidR="008B52D3" w:rsidRPr="00781112" w14:paraId="705E536F" w14:textId="77777777" w:rsidTr="00924AD9">
        <w:trPr>
          <w:trHeight w:val="396"/>
        </w:trPr>
        <w:tc>
          <w:tcPr>
            <w:tcW w:w="991" w:type="pct"/>
          </w:tcPr>
          <w:p w14:paraId="0E432E71" w14:textId="77777777" w:rsidR="008B52D3" w:rsidRPr="00781112" w:rsidRDefault="008B52D3" w:rsidP="00BA3DBE">
            <w:pPr>
              <w:jc w:val="center"/>
              <w:rPr>
                <w:rFonts w:cs="Arial"/>
                <w:color w:val="000000" w:themeColor="text1"/>
                <w:szCs w:val="16"/>
              </w:rPr>
            </w:pPr>
            <w:r w:rsidRPr="00781112">
              <w:rPr>
                <w:rFonts w:cs="Arial"/>
                <w:color w:val="000000" w:themeColor="text1"/>
                <w:szCs w:val="16"/>
              </w:rPr>
              <w:t>Target C &gt;=</w:t>
            </w:r>
          </w:p>
        </w:tc>
        <w:tc>
          <w:tcPr>
            <w:tcW w:w="2004" w:type="pct"/>
            <w:vAlign w:val="center"/>
          </w:tcPr>
          <w:p w14:paraId="4259626B" w14:textId="77777777" w:rsidR="008B52D3" w:rsidRPr="00781112" w:rsidRDefault="008B52D3" w:rsidP="00AF574F">
            <w:pPr>
              <w:jc w:val="center"/>
              <w:rPr>
                <w:rFonts w:cs="Arial"/>
                <w:color w:val="000000" w:themeColor="text1"/>
                <w:szCs w:val="16"/>
              </w:rPr>
            </w:pPr>
            <w:r w:rsidRPr="00781112">
              <w:rPr>
                <w:rFonts w:cs="Arial"/>
                <w:color w:val="000000" w:themeColor="text1"/>
                <w:szCs w:val="16"/>
              </w:rPr>
              <w:t>73.01%</w:t>
            </w:r>
          </w:p>
        </w:tc>
        <w:tc>
          <w:tcPr>
            <w:tcW w:w="2004" w:type="pct"/>
          </w:tcPr>
          <w:p w14:paraId="7A2173A4" w14:textId="77777777" w:rsidR="008B52D3" w:rsidRPr="00781112" w:rsidRDefault="008B52D3" w:rsidP="00AF574F">
            <w:pPr>
              <w:jc w:val="center"/>
              <w:rPr>
                <w:rFonts w:cs="Arial"/>
                <w:color w:val="000000" w:themeColor="text1"/>
                <w:szCs w:val="16"/>
              </w:rPr>
            </w:pPr>
            <w:r w:rsidRPr="00781112">
              <w:rPr>
                <w:color w:val="000000" w:themeColor="text1"/>
                <w:szCs w:val="16"/>
              </w:rPr>
              <w:t>73.51%</w:t>
            </w:r>
          </w:p>
        </w:tc>
      </w:tr>
    </w:tbl>
    <w:p w14:paraId="6DB3C913" w14:textId="77777777" w:rsidR="000A2C83" w:rsidRPr="00781112" w:rsidRDefault="000A2C83" w:rsidP="004369B2">
      <w:pPr>
        <w:rPr>
          <w:b/>
          <w:color w:val="000000" w:themeColor="text1"/>
        </w:rPr>
      </w:pPr>
      <w:r w:rsidRPr="00781112">
        <w:rPr>
          <w:b/>
          <w:color w:val="000000" w:themeColor="text1"/>
        </w:rPr>
        <w:t xml:space="preserve">Targets: Description of Stakeholder Input </w:t>
      </w:r>
    </w:p>
    <w:p w14:paraId="2535D291" w14:textId="77777777" w:rsidR="000A2C83" w:rsidRPr="00781112" w:rsidRDefault="002B7490" w:rsidP="000A2C83">
      <w:pPr>
        <w:rPr>
          <w:rFonts w:cs="Arial"/>
          <w:color w:val="000000" w:themeColor="text1"/>
          <w:szCs w:val="16"/>
        </w:rPr>
      </w:pPr>
      <w:r w:rsidRPr="00781112">
        <w:rPr>
          <w:rFonts w:cs="Arial"/>
          <w:color w:val="000000" w:themeColor="text1"/>
          <w:szCs w:val="16"/>
        </w:rPr>
        <w:t>WVDE/OSE maintains robust stakeholder engagement through multiple communication and collaboration channels:</w:t>
      </w:r>
    </w:p>
    <w:p w14:paraId="1CDBD779" w14:textId="77777777" w:rsidR="00CA787A" w:rsidRDefault="003169E9">
      <w:r>
        <w:rPr>
          <w:color w:val="000000"/>
        </w:rPr>
        <w:t>*DIRECT COMMUNICATION/CONSULTATION*</w:t>
      </w:r>
    </w:p>
    <w:p w14:paraId="38E60BC8" w14:textId="77777777" w:rsidR="00CA787A" w:rsidRDefault="003169E9">
      <w:r>
        <w:rPr>
          <w:color w:val="000000"/>
        </w:rPr>
        <w:t>—Engaging in one-on-one calls with parents, advocates, educators, and community stakeholders.</w:t>
      </w:r>
    </w:p>
    <w:p w14:paraId="6C5ED4CA" w14:textId="77777777" w:rsidR="00CA787A" w:rsidRDefault="003169E9">
      <w:r>
        <w:rPr>
          <w:color w:val="000000"/>
        </w:rPr>
        <w:t>—Distributing emails and surveys to solicit input from diverse stakeholder groups.</w:t>
      </w:r>
    </w:p>
    <w:p w14:paraId="0D16411F" w14:textId="77777777" w:rsidR="00CA787A" w:rsidRDefault="003169E9">
      <w:r>
        <w:rPr>
          <w:color w:val="000000"/>
        </w:rPr>
        <w:t>—Hosting bi-monthly secondary transition office hours to address Indicator 13 compliance and results, and to provide technical assistance for IEP development.</w:t>
      </w:r>
    </w:p>
    <w:p w14:paraId="29CCFFEE" w14:textId="77777777" w:rsidR="00CA787A" w:rsidRDefault="003169E9">
      <w:r>
        <w:rPr>
          <w:color w:val="000000"/>
        </w:rPr>
        <w:t>—Monthly virtual meetings with stakeholders to identify and troubleshoot areas of concern throughout the state.</w:t>
      </w:r>
    </w:p>
    <w:p w14:paraId="388313BF" w14:textId="77777777" w:rsidR="00CA787A" w:rsidRDefault="003169E9">
      <w:r>
        <w:rPr>
          <w:color w:val="000000"/>
        </w:rPr>
        <w:t>*INFORMATION SHARING*</w:t>
      </w:r>
    </w:p>
    <w:p w14:paraId="17994867" w14:textId="77777777" w:rsidR="00CA787A" w:rsidRDefault="003169E9">
      <w:r>
        <w:rPr>
          <w:color w:val="000000"/>
        </w:rPr>
        <w:lastRenderedPageBreak/>
        <w:t>—Utilizing a dedicated Microsoft Teams platform for communication with LEAs.</w:t>
      </w:r>
    </w:p>
    <w:p w14:paraId="6E7B4BDE" w14:textId="77777777" w:rsidR="00CA787A" w:rsidRDefault="003169E9">
      <w:r>
        <w:rPr>
          <w:color w:val="000000"/>
        </w:rPr>
        <w:t>—Maintaining a public input form on the WVDE website specifically for SSIP feedback.</w:t>
      </w:r>
    </w:p>
    <w:p w14:paraId="0B1A6330" w14:textId="77777777" w:rsidR="00CA787A" w:rsidRDefault="003169E9">
      <w:r>
        <w:rPr>
          <w:color w:val="000000"/>
        </w:rPr>
        <w:t xml:space="preserve">—Collecting input from parents, students, and school personnel as required components of monitoring activities. </w:t>
      </w:r>
    </w:p>
    <w:p w14:paraId="0E5BCC55" w14:textId="77777777" w:rsidR="00CA787A" w:rsidRDefault="003169E9">
      <w:r>
        <w:rPr>
          <w:color w:val="000000"/>
        </w:rPr>
        <w:t>—Facilitating cross-office communication and coordination on general and special education initiatives.</w:t>
      </w:r>
    </w:p>
    <w:p w14:paraId="72BA8C94" w14:textId="77777777" w:rsidR="00CA787A" w:rsidRDefault="003169E9">
      <w:r>
        <w:rPr>
          <w:color w:val="000000"/>
        </w:rPr>
        <w:t>*COLLABORATIVE PARTNERSHIPS*</w:t>
      </w:r>
    </w:p>
    <w:p w14:paraId="79AFF057" w14:textId="77777777" w:rsidR="00CA787A" w:rsidRDefault="003169E9">
      <w:r>
        <w:rPr>
          <w:color w:val="000000"/>
        </w:rPr>
        <w:t>—Engaging in ongoing meetings and interagency teams dedicated to enhancing outcomes for individuals with disabilities.</w:t>
      </w:r>
    </w:p>
    <w:p w14:paraId="6DA42D11" w14:textId="77777777" w:rsidR="00CA787A" w:rsidRDefault="003169E9">
      <w:r>
        <w:rPr>
          <w:color w:val="000000"/>
        </w:rPr>
        <w:t>—Ensuring the state director's active participation in all WVACEEC meetings, including involvement in sessions, capacity-building efforts, and feedback collection from LEAs, parents, and community organizations.</w:t>
      </w:r>
    </w:p>
    <w:p w14:paraId="4E61E1EE" w14:textId="77777777" w:rsidR="00CA787A" w:rsidRDefault="003169E9">
      <w:r>
        <w:rPr>
          <w:color w:val="000000"/>
        </w:rPr>
        <w:t>—Maintaining regular meetings and collaborative relationships with legislators, advocacy organizations, educator associations, and other stakeholders to strengthen stakeholder knowledge of IDEA procedures, improve SEA-stakeholder dialogue, and collaboratively develop strategies for ongoing improvement toward special education goals (e.g., the Developmental Disability Council (DD Council), Statewide Independent Living Council (SILC), State Rehabilitation Council (SRC), Employment First Task Force, Olmstead Council).</w:t>
      </w:r>
    </w:p>
    <w:p w14:paraId="1C2551F0" w14:textId="77777777" w:rsidR="000A2C83" w:rsidRPr="00781112" w:rsidRDefault="002B7490" w:rsidP="000A2C83">
      <w:pPr>
        <w:rPr>
          <w:rFonts w:cs="Arial"/>
          <w:color w:val="000000" w:themeColor="text1"/>
          <w:szCs w:val="16"/>
        </w:rPr>
      </w:pPr>
      <w:r w:rsidRPr="00781112">
        <w:rPr>
          <w:rFonts w:cs="Arial"/>
          <w:color w:val="000000" w:themeColor="text1"/>
          <w:szCs w:val="16"/>
        </w:rPr>
        <w:t>Stakeholders did not indicate any interest in revising the Post-School Outcomes targets during meetings held throughout the reporting period. However, WVDE/OSE remains open to considering any concerns or recommendations stakeholders may have regarding these targets.</w:t>
      </w:r>
    </w:p>
    <w:p w14:paraId="5EC51BEF" w14:textId="77777777" w:rsidR="00E448E9" w:rsidRPr="00781112" w:rsidRDefault="00E448E9" w:rsidP="004369B2">
      <w:pPr>
        <w:rPr>
          <w:color w:val="000000" w:themeColor="text1"/>
        </w:rPr>
      </w:pPr>
      <w:bookmarkStart w:id="85" w:name="_Toc392159337"/>
    </w:p>
    <w:bookmarkEnd w:id="85"/>
    <w:p w14:paraId="4ACD7F0F" w14:textId="77777777" w:rsidR="00A03EFA" w:rsidRPr="00781112" w:rsidRDefault="0047313F" w:rsidP="004369B2">
      <w:pPr>
        <w:rPr>
          <w:color w:val="000000" w:themeColor="text1"/>
        </w:rPr>
      </w:pPr>
      <w:r>
        <w:rPr>
          <w:b/>
          <w:color w:val="000000" w:themeColor="text1"/>
        </w:rPr>
        <w:t>FFY 2024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4CFFYAPRDATA"/>
      </w:tblPr>
      <w:tblGrid>
        <w:gridCol w:w="8395"/>
        <w:gridCol w:w="2395"/>
      </w:tblGrid>
      <w:tr w:rsidR="00090132" w:rsidRPr="00781112" w14:paraId="7FD1FA84" w14:textId="77777777" w:rsidTr="00090132">
        <w:tc>
          <w:tcPr>
            <w:tcW w:w="3890" w:type="pct"/>
            <w:vAlign w:val="center"/>
          </w:tcPr>
          <w:p w14:paraId="4890371E" w14:textId="77777777" w:rsidR="00090132" w:rsidRPr="00781112" w:rsidRDefault="00090132" w:rsidP="00090132">
            <w:pPr>
              <w:keepNext/>
              <w:rPr>
                <w:rFonts w:cs="Arial"/>
                <w:color w:val="000000" w:themeColor="text1"/>
                <w:szCs w:val="16"/>
              </w:rPr>
            </w:pPr>
            <w:r>
              <w:rPr>
                <w:rFonts w:cs="Arial"/>
                <w:szCs w:val="16"/>
              </w:rPr>
              <w:t>Total</w:t>
            </w:r>
            <w:r w:rsidRPr="000B10B6">
              <w:rPr>
                <w:rFonts w:eastAsia="Times New Roman" w:cs="Arial"/>
                <w:szCs w:val="16"/>
              </w:rPr>
              <w:t xml:space="preserve"> number of targeted youth in the sample or census</w:t>
            </w:r>
          </w:p>
        </w:tc>
        <w:tc>
          <w:tcPr>
            <w:tcW w:w="1110" w:type="pct"/>
            <w:vAlign w:val="center"/>
          </w:tcPr>
          <w:p w14:paraId="5F9F5D7A" w14:textId="77777777" w:rsidR="00090132" w:rsidRPr="00781112" w:rsidRDefault="00090132" w:rsidP="00090132">
            <w:pPr>
              <w:jc w:val="center"/>
              <w:rPr>
                <w:rFonts w:cs="Arial"/>
                <w:color w:val="000000" w:themeColor="text1"/>
                <w:szCs w:val="16"/>
              </w:rPr>
            </w:pPr>
            <w:r>
              <w:rPr>
                <w:rFonts w:cs="Arial"/>
                <w:color w:val="000000" w:themeColor="text1"/>
                <w:szCs w:val="16"/>
              </w:rPr>
              <w:t>2,821</w:t>
            </w:r>
          </w:p>
        </w:tc>
      </w:tr>
      <w:tr w:rsidR="00090132" w:rsidRPr="00781112" w14:paraId="37E8F4D7" w14:textId="77777777" w:rsidTr="00090132">
        <w:tc>
          <w:tcPr>
            <w:tcW w:w="3890" w:type="pct"/>
            <w:vAlign w:val="center"/>
          </w:tcPr>
          <w:p w14:paraId="35849B0E" w14:textId="77777777" w:rsidR="00090132" w:rsidRPr="00781112" w:rsidRDefault="00090132" w:rsidP="00090132">
            <w:pPr>
              <w:keepNext/>
              <w:rPr>
                <w:rFonts w:cs="Arial"/>
                <w:color w:val="000000" w:themeColor="text1"/>
                <w:szCs w:val="16"/>
              </w:rPr>
            </w:pPr>
            <w:r w:rsidRPr="00781112">
              <w:rPr>
                <w:rFonts w:cs="Arial"/>
                <w:color w:val="000000" w:themeColor="text1"/>
                <w:szCs w:val="16"/>
              </w:rPr>
              <w:t>Number of respondent youth who are no longer in secondary school and had IEPs in effect at the time they left school</w:t>
            </w:r>
          </w:p>
        </w:tc>
        <w:tc>
          <w:tcPr>
            <w:tcW w:w="1110" w:type="pct"/>
            <w:vAlign w:val="center"/>
          </w:tcPr>
          <w:p w14:paraId="3B3D40BA" w14:textId="77777777" w:rsidR="00090132" w:rsidRPr="00781112" w:rsidRDefault="00090132" w:rsidP="00090132">
            <w:pPr>
              <w:jc w:val="center"/>
              <w:rPr>
                <w:rFonts w:cs="Arial"/>
                <w:color w:val="000000" w:themeColor="text1"/>
                <w:szCs w:val="16"/>
              </w:rPr>
            </w:pPr>
            <w:r w:rsidRPr="00781112">
              <w:rPr>
                <w:rFonts w:cs="Arial"/>
                <w:color w:val="000000" w:themeColor="text1"/>
                <w:szCs w:val="16"/>
              </w:rPr>
              <w:t>2,237</w:t>
            </w:r>
          </w:p>
        </w:tc>
      </w:tr>
      <w:tr w:rsidR="00090132" w:rsidRPr="00781112" w14:paraId="24F00649" w14:textId="77777777" w:rsidTr="00090132">
        <w:tc>
          <w:tcPr>
            <w:tcW w:w="3890" w:type="pct"/>
            <w:vAlign w:val="center"/>
          </w:tcPr>
          <w:p w14:paraId="7F05AAB4" w14:textId="77777777" w:rsidR="00090132" w:rsidRPr="00781112" w:rsidRDefault="00090132" w:rsidP="00090132">
            <w:pPr>
              <w:rPr>
                <w:rFonts w:cs="Arial"/>
                <w:color w:val="000000" w:themeColor="text1"/>
                <w:szCs w:val="16"/>
              </w:rPr>
            </w:pPr>
            <w:r>
              <w:rPr>
                <w:rFonts w:cs="Arial"/>
                <w:szCs w:val="16"/>
              </w:rPr>
              <w:t>Response Rate</w:t>
            </w:r>
          </w:p>
        </w:tc>
        <w:tc>
          <w:tcPr>
            <w:tcW w:w="1110" w:type="pct"/>
            <w:vAlign w:val="center"/>
          </w:tcPr>
          <w:p w14:paraId="1772A9FD" w14:textId="77777777" w:rsidR="00090132" w:rsidRPr="00781112" w:rsidRDefault="00090132" w:rsidP="00090132">
            <w:pPr>
              <w:jc w:val="center"/>
              <w:rPr>
                <w:rFonts w:cs="Arial"/>
                <w:color w:val="000000" w:themeColor="text1"/>
                <w:szCs w:val="16"/>
              </w:rPr>
            </w:pPr>
            <w:r w:rsidRPr="00ED172B">
              <w:rPr>
                <w:rFonts w:cs="Arial"/>
                <w:color w:val="000000" w:themeColor="text1"/>
                <w:szCs w:val="16"/>
              </w:rPr>
              <w:t>79.30%</w:t>
            </w:r>
          </w:p>
        </w:tc>
      </w:tr>
      <w:tr w:rsidR="00090132" w:rsidRPr="00781112" w14:paraId="57D3EA14" w14:textId="77777777" w:rsidTr="00090132">
        <w:tc>
          <w:tcPr>
            <w:tcW w:w="3890" w:type="pct"/>
            <w:vAlign w:val="center"/>
          </w:tcPr>
          <w:p w14:paraId="272DDAEA" w14:textId="77777777" w:rsidR="00090132" w:rsidRPr="00781112" w:rsidRDefault="00090132" w:rsidP="00090132">
            <w:pPr>
              <w:rPr>
                <w:rFonts w:cs="Arial"/>
                <w:color w:val="000000" w:themeColor="text1"/>
                <w:szCs w:val="16"/>
              </w:rPr>
            </w:pPr>
            <w:r w:rsidRPr="00781112">
              <w:rPr>
                <w:rFonts w:cs="Arial"/>
                <w:color w:val="000000" w:themeColor="text1"/>
                <w:szCs w:val="16"/>
              </w:rPr>
              <w:t xml:space="preserve">1. Number of respondent youth who enrolled in higher education within one year of leaving high school </w:t>
            </w:r>
          </w:p>
        </w:tc>
        <w:tc>
          <w:tcPr>
            <w:tcW w:w="1110" w:type="pct"/>
            <w:vAlign w:val="center"/>
          </w:tcPr>
          <w:p w14:paraId="253405EC" w14:textId="77777777" w:rsidR="00090132" w:rsidRPr="00781112" w:rsidRDefault="00090132" w:rsidP="00090132">
            <w:pPr>
              <w:jc w:val="center"/>
              <w:rPr>
                <w:rFonts w:cs="Arial"/>
                <w:color w:val="000000" w:themeColor="text1"/>
                <w:szCs w:val="16"/>
              </w:rPr>
            </w:pPr>
            <w:r w:rsidRPr="00781112">
              <w:rPr>
                <w:rFonts w:cs="Arial"/>
                <w:color w:val="000000" w:themeColor="text1"/>
                <w:szCs w:val="16"/>
              </w:rPr>
              <w:t>481</w:t>
            </w:r>
          </w:p>
        </w:tc>
      </w:tr>
      <w:tr w:rsidR="00090132" w:rsidRPr="00781112" w14:paraId="6AD9BC18" w14:textId="77777777" w:rsidTr="00090132">
        <w:tc>
          <w:tcPr>
            <w:tcW w:w="3890" w:type="pct"/>
            <w:vAlign w:val="center"/>
          </w:tcPr>
          <w:p w14:paraId="77C7D5B5" w14:textId="77777777" w:rsidR="00090132" w:rsidRPr="00781112" w:rsidRDefault="00090132" w:rsidP="00090132">
            <w:pPr>
              <w:rPr>
                <w:rFonts w:cs="Arial"/>
                <w:color w:val="000000" w:themeColor="text1"/>
                <w:szCs w:val="16"/>
              </w:rPr>
            </w:pPr>
            <w:r w:rsidRPr="00781112">
              <w:rPr>
                <w:rFonts w:cs="Arial"/>
                <w:color w:val="000000" w:themeColor="text1"/>
                <w:szCs w:val="16"/>
              </w:rPr>
              <w:t xml:space="preserve">2. Number of respondent youth who </w:t>
            </w:r>
            <w:proofErr w:type="gramStart"/>
            <w:r w:rsidRPr="00781112">
              <w:rPr>
                <w:rFonts w:cs="Arial"/>
                <w:color w:val="000000" w:themeColor="text1"/>
                <w:szCs w:val="16"/>
              </w:rPr>
              <w:t>competitively</w:t>
            </w:r>
            <w:proofErr w:type="gramEnd"/>
            <w:r w:rsidRPr="00781112">
              <w:rPr>
                <w:rFonts w:cs="Arial"/>
                <w:color w:val="000000" w:themeColor="text1"/>
                <w:szCs w:val="16"/>
              </w:rPr>
              <w:t xml:space="preserve"> employed within one year of leaving high school </w:t>
            </w:r>
          </w:p>
        </w:tc>
        <w:tc>
          <w:tcPr>
            <w:tcW w:w="1110" w:type="pct"/>
            <w:vAlign w:val="center"/>
          </w:tcPr>
          <w:p w14:paraId="485E75CB" w14:textId="77777777" w:rsidR="00090132" w:rsidRPr="00781112" w:rsidRDefault="00090132" w:rsidP="00090132">
            <w:pPr>
              <w:jc w:val="center"/>
              <w:rPr>
                <w:rFonts w:cs="Arial"/>
                <w:color w:val="000000" w:themeColor="text1"/>
                <w:szCs w:val="16"/>
              </w:rPr>
            </w:pPr>
            <w:r w:rsidRPr="00781112">
              <w:rPr>
                <w:rFonts w:cs="Arial"/>
                <w:color w:val="000000" w:themeColor="text1"/>
                <w:szCs w:val="16"/>
              </w:rPr>
              <w:t>869</w:t>
            </w:r>
          </w:p>
        </w:tc>
      </w:tr>
      <w:tr w:rsidR="00090132" w:rsidRPr="00781112" w14:paraId="777F2FE1" w14:textId="77777777" w:rsidTr="00090132">
        <w:tc>
          <w:tcPr>
            <w:tcW w:w="3890" w:type="pct"/>
            <w:vAlign w:val="center"/>
          </w:tcPr>
          <w:p w14:paraId="3E11CC45" w14:textId="77777777" w:rsidR="00090132" w:rsidRPr="00781112" w:rsidRDefault="00090132" w:rsidP="00090132">
            <w:pPr>
              <w:rPr>
                <w:rFonts w:cs="Arial"/>
                <w:color w:val="000000" w:themeColor="text1"/>
                <w:szCs w:val="16"/>
              </w:rPr>
            </w:pPr>
            <w:r w:rsidRPr="00781112">
              <w:rPr>
                <w:rFonts w:cs="Arial"/>
                <w:color w:val="000000" w:themeColor="text1"/>
                <w:szCs w:val="16"/>
              </w:rPr>
              <w:t>3. Number of respondent youth enrolled in some other postsecondary education or training program within one year of leaving high school (but not enrolled in higher education or competitively employed)</w:t>
            </w:r>
          </w:p>
        </w:tc>
        <w:tc>
          <w:tcPr>
            <w:tcW w:w="1110" w:type="pct"/>
            <w:vAlign w:val="center"/>
          </w:tcPr>
          <w:p w14:paraId="4BD64E1B" w14:textId="77777777" w:rsidR="00090132" w:rsidRPr="00781112" w:rsidRDefault="00090132" w:rsidP="00090132">
            <w:pPr>
              <w:jc w:val="center"/>
              <w:rPr>
                <w:rFonts w:cs="Arial"/>
                <w:color w:val="000000" w:themeColor="text1"/>
                <w:szCs w:val="16"/>
              </w:rPr>
            </w:pPr>
            <w:r w:rsidRPr="00781112">
              <w:rPr>
                <w:rFonts w:cs="Arial"/>
                <w:color w:val="000000" w:themeColor="text1"/>
                <w:szCs w:val="16"/>
              </w:rPr>
              <w:t>90</w:t>
            </w:r>
          </w:p>
        </w:tc>
      </w:tr>
      <w:tr w:rsidR="00090132" w:rsidRPr="00781112" w14:paraId="7E4AC5E0" w14:textId="77777777" w:rsidTr="00090132">
        <w:tc>
          <w:tcPr>
            <w:tcW w:w="3890" w:type="pct"/>
            <w:vAlign w:val="center"/>
          </w:tcPr>
          <w:p w14:paraId="655CD547" w14:textId="77777777" w:rsidR="00090132" w:rsidRPr="00781112" w:rsidRDefault="00090132" w:rsidP="00090132">
            <w:pPr>
              <w:rPr>
                <w:rFonts w:cs="Arial"/>
                <w:color w:val="000000" w:themeColor="text1"/>
                <w:szCs w:val="16"/>
              </w:rPr>
            </w:pPr>
            <w:r w:rsidRPr="00781112">
              <w:rPr>
                <w:rFonts w:cs="Arial"/>
                <w:color w:val="000000" w:themeColor="text1"/>
                <w:szCs w:val="16"/>
              </w:rPr>
              <w:t>4. Number of respondent youth who are in some other employment within one year of leaving high school (but not enrolled in higher education, some other postsecondary education or training program, or competitively employed).</w:t>
            </w:r>
          </w:p>
        </w:tc>
        <w:tc>
          <w:tcPr>
            <w:tcW w:w="1110" w:type="pct"/>
            <w:vAlign w:val="center"/>
          </w:tcPr>
          <w:p w14:paraId="356EFF74" w14:textId="77777777" w:rsidR="00090132" w:rsidRPr="00781112" w:rsidRDefault="00090132" w:rsidP="00090132">
            <w:pPr>
              <w:jc w:val="center"/>
              <w:rPr>
                <w:rFonts w:cs="Arial"/>
                <w:color w:val="000000" w:themeColor="text1"/>
                <w:szCs w:val="16"/>
              </w:rPr>
            </w:pPr>
            <w:r w:rsidRPr="00781112">
              <w:rPr>
                <w:rFonts w:cs="Arial"/>
                <w:color w:val="000000" w:themeColor="text1"/>
                <w:szCs w:val="16"/>
              </w:rPr>
              <w:t>339</w:t>
            </w:r>
          </w:p>
        </w:tc>
      </w:tr>
    </w:tbl>
    <w:p w14:paraId="1596202F" w14:textId="77777777" w:rsidR="00634AD8" w:rsidRPr="00781112" w:rsidRDefault="00634AD8" w:rsidP="00634AD8">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4CFFYAPRDATA1"/>
      </w:tblPr>
      <w:tblGrid>
        <w:gridCol w:w="1348"/>
        <w:gridCol w:w="1348"/>
        <w:gridCol w:w="1349"/>
        <w:gridCol w:w="1349"/>
        <w:gridCol w:w="1349"/>
        <w:gridCol w:w="1349"/>
        <w:gridCol w:w="1349"/>
        <w:gridCol w:w="1349"/>
      </w:tblGrid>
      <w:tr w:rsidR="00B1652C" w:rsidRPr="00781112" w14:paraId="4DB89BC6" w14:textId="77777777" w:rsidTr="0033429D">
        <w:trPr>
          <w:trHeight w:val="358"/>
          <w:tblHeader/>
        </w:trPr>
        <w:tc>
          <w:tcPr>
            <w:tcW w:w="625" w:type="pct"/>
            <w:vAlign w:val="bottom"/>
          </w:tcPr>
          <w:p w14:paraId="3B5D5DA7"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Measure</w:t>
            </w:r>
          </w:p>
        </w:tc>
        <w:tc>
          <w:tcPr>
            <w:tcW w:w="625" w:type="pct"/>
            <w:vAlign w:val="bottom"/>
          </w:tcPr>
          <w:p w14:paraId="07DE9A73"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Number of respondent youth</w:t>
            </w:r>
          </w:p>
        </w:tc>
        <w:tc>
          <w:tcPr>
            <w:tcW w:w="625" w:type="pct"/>
            <w:vAlign w:val="bottom"/>
          </w:tcPr>
          <w:p w14:paraId="01D7EBE6"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Number of respondent youth who are no longer in secondary school and had IEPs in effect at the time they left school</w:t>
            </w:r>
          </w:p>
        </w:tc>
        <w:tc>
          <w:tcPr>
            <w:tcW w:w="625" w:type="pct"/>
            <w:vAlign w:val="bottom"/>
          </w:tcPr>
          <w:p w14:paraId="538179EC" w14:textId="77777777" w:rsidR="00B1652C" w:rsidRPr="006D0A52" w:rsidRDefault="00B1652C" w:rsidP="00B1652C">
            <w:pPr>
              <w:jc w:val="center"/>
              <w:rPr>
                <w:rFonts w:cs="Arial"/>
                <w:b/>
                <w:bCs/>
                <w:color w:val="000000" w:themeColor="text1"/>
                <w:szCs w:val="16"/>
              </w:rPr>
            </w:pPr>
            <w:r w:rsidRPr="006D0A52">
              <w:rPr>
                <w:b/>
                <w:bCs/>
              </w:rPr>
              <w:t>FFY 2023 Data</w:t>
            </w:r>
          </w:p>
        </w:tc>
        <w:tc>
          <w:tcPr>
            <w:tcW w:w="625" w:type="pct"/>
            <w:vAlign w:val="bottom"/>
          </w:tcPr>
          <w:p w14:paraId="292F2263" w14:textId="77777777" w:rsidR="00B1652C" w:rsidRPr="006D0A52" w:rsidRDefault="00B1652C" w:rsidP="00B1652C">
            <w:pPr>
              <w:jc w:val="center"/>
              <w:rPr>
                <w:rFonts w:cs="Arial"/>
                <w:b/>
                <w:bCs/>
                <w:color w:val="000000" w:themeColor="text1"/>
                <w:szCs w:val="16"/>
              </w:rPr>
            </w:pPr>
            <w:r w:rsidRPr="006D0A52">
              <w:rPr>
                <w:b/>
                <w:bCs/>
              </w:rPr>
              <w:t>FFY 2024 Target</w:t>
            </w:r>
          </w:p>
        </w:tc>
        <w:tc>
          <w:tcPr>
            <w:tcW w:w="625" w:type="pct"/>
            <w:vAlign w:val="bottom"/>
          </w:tcPr>
          <w:p w14:paraId="1046FDAB" w14:textId="77777777" w:rsidR="00B1652C" w:rsidRPr="006D0A52" w:rsidRDefault="00B1652C" w:rsidP="00B1652C">
            <w:pPr>
              <w:jc w:val="center"/>
              <w:rPr>
                <w:rFonts w:cs="Arial"/>
                <w:b/>
                <w:bCs/>
                <w:color w:val="000000" w:themeColor="text1"/>
                <w:szCs w:val="16"/>
              </w:rPr>
            </w:pPr>
            <w:r w:rsidRPr="006D0A52">
              <w:rPr>
                <w:b/>
                <w:bCs/>
              </w:rPr>
              <w:t>FFY 2024 Data</w:t>
            </w:r>
          </w:p>
        </w:tc>
        <w:tc>
          <w:tcPr>
            <w:tcW w:w="625" w:type="pct"/>
            <w:vAlign w:val="bottom"/>
          </w:tcPr>
          <w:p w14:paraId="0E7E4A76"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625" w:type="pct"/>
            <w:vAlign w:val="bottom"/>
          </w:tcPr>
          <w:p w14:paraId="1DFB5355"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6629524F" w14:textId="77777777" w:rsidTr="0033429D">
        <w:trPr>
          <w:trHeight w:val="365"/>
        </w:trPr>
        <w:tc>
          <w:tcPr>
            <w:tcW w:w="625" w:type="pct"/>
            <w:vAlign w:val="center"/>
          </w:tcPr>
          <w:p w14:paraId="3E3CE81A" w14:textId="77777777" w:rsidR="00C66181" w:rsidRPr="00781112" w:rsidRDefault="00C66181" w:rsidP="00C66181">
            <w:pPr>
              <w:rPr>
                <w:rFonts w:cs="Arial"/>
                <w:color w:val="000000" w:themeColor="text1"/>
                <w:szCs w:val="16"/>
              </w:rPr>
            </w:pPr>
            <w:r w:rsidRPr="00781112">
              <w:rPr>
                <w:rFonts w:cs="Arial"/>
                <w:color w:val="000000" w:themeColor="text1"/>
                <w:szCs w:val="16"/>
              </w:rPr>
              <w:t>A. Enrolled in higher education (1)</w:t>
            </w:r>
          </w:p>
        </w:tc>
        <w:tc>
          <w:tcPr>
            <w:tcW w:w="625" w:type="pct"/>
            <w:vAlign w:val="center"/>
          </w:tcPr>
          <w:p w14:paraId="41A0F9DF" w14:textId="77777777" w:rsidR="00C66181" w:rsidRPr="00781112" w:rsidRDefault="002B7490" w:rsidP="00A018D4">
            <w:pPr>
              <w:jc w:val="center"/>
              <w:rPr>
                <w:rFonts w:cs="Arial"/>
                <w:color w:val="000000" w:themeColor="text1"/>
                <w:szCs w:val="16"/>
              </w:rPr>
            </w:pPr>
            <w:r w:rsidRPr="00781112">
              <w:rPr>
                <w:rFonts w:cs="Arial"/>
                <w:color w:val="000000" w:themeColor="text1"/>
                <w:szCs w:val="16"/>
              </w:rPr>
              <w:t>481</w:t>
            </w:r>
          </w:p>
        </w:tc>
        <w:tc>
          <w:tcPr>
            <w:tcW w:w="625" w:type="pct"/>
            <w:vAlign w:val="center"/>
          </w:tcPr>
          <w:p w14:paraId="579EC457" w14:textId="77777777" w:rsidR="00C66181" w:rsidRPr="00781112" w:rsidRDefault="002B7490" w:rsidP="00A018D4">
            <w:pPr>
              <w:jc w:val="center"/>
              <w:rPr>
                <w:rFonts w:cs="Arial"/>
                <w:color w:val="000000" w:themeColor="text1"/>
                <w:szCs w:val="16"/>
              </w:rPr>
            </w:pPr>
            <w:r w:rsidRPr="00781112">
              <w:rPr>
                <w:rFonts w:cs="Arial"/>
                <w:color w:val="000000" w:themeColor="text1"/>
                <w:szCs w:val="16"/>
              </w:rPr>
              <w:t>2,237</w:t>
            </w:r>
          </w:p>
        </w:tc>
        <w:tc>
          <w:tcPr>
            <w:tcW w:w="625" w:type="pct"/>
            <w:vAlign w:val="center"/>
          </w:tcPr>
          <w:p w14:paraId="00DF1FC4" w14:textId="77777777" w:rsidR="00C66181" w:rsidRPr="00781112" w:rsidRDefault="002B7490" w:rsidP="00A018D4">
            <w:pPr>
              <w:jc w:val="center"/>
              <w:rPr>
                <w:rFonts w:cs="Arial"/>
                <w:color w:val="000000" w:themeColor="text1"/>
                <w:szCs w:val="16"/>
              </w:rPr>
            </w:pPr>
            <w:r w:rsidRPr="00781112">
              <w:rPr>
                <w:rFonts w:cs="Arial"/>
                <w:color w:val="000000" w:themeColor="text1"/>
                <w:szCs w:val="16"/>
              </w:rPr>
              <w:t>18.74%</w:t>
            </w:r>
          </w:p>
        </w:tc>
        <w:tc>
          <w:tcPr>
            <w:tcW w:w="625" w:type="pct"/>
            <w:vAlign w:val="center"/>
          </w:tcPr>
          <w:p w14:paraId="0AD253BC" w14:textId="77777777" w:rsidR="00C66181" w:rsidRPr="00781112" w:rsidRDefault="002B7490" w:rsidP="00A018D4">
            <w:pPr>
              <w:jc w:val="center"/>
              <w:rPr>
                <w:rFonts w:cs="Arial"/>
                <w:color w:val="000000" w:themeColor="text1"/>
                <w:szCs w:val="16"/>
              </w:rPr>
            </w:pPr>
            <w:r w:rsidRPr="00781112">
              <w:rPr>
                <w:rFonts w:cs="Arial"/>
                <w:color w:val="000000" w:themeColor="text1"/>
                <w:szCs w:val="16"/>
              </w:rPr>
              <w:t>23.03%</w:t>
            </w:r>
          </w:p>
        </w:tc>
        <w:tc>
          <w:tcPr>
            <w:tcW w:w="625" w:type="pct"/>
            <w:vAlign w:val="center"/>
          </w:tcPr>
          <w:p w14:paraId="41E3093F" w14:textId="77777777" w:rsidR="00C66181" w:rsidRPr="00781112" w:rsidRDefault="002B7490" w:rsidP="00A018D4">
            <w:pPr>
              <w:jc w:val="center"/>
              <w:rPr>
                <w:rFonts w:cs="Arial"/>
                <w:color w:val="000000" w:themeColor="text1"/>
                <w:szCs w:val="16"/>
              </w:rPr>
            </w:pPr>
            <w:r w:rsidRPr="00781112">
              <w:rPr>
                <w:rFonts w:cs="Arial"/>
                <w:color w:val="000000" w:themeColor="text1"/>
                <w:szCs w:val="16"/>
              </w:rPr>
              <w:t>21.50%</w:t>
            </w:r>
          </w:p>
        </w:tc>
        <w:tc>
          <w:tcPr>
            <w:tcW w:w="625" w:type="pct"/>
            <w:vAlign w:val="center"/>
          </w:tcPr>
          <w:p w14:paraId="3DE692D6" w14:textId="77777777" w:rsidR="00C66181"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5" w:type="pct"/>
            <w:vAlign w:val="center"/>
          </w:tcPr>
          <w:p w14:paraId="519BEEE9" w14:textId="77777777" w:rsidR="00C66181"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12558268" w14:textId="77777777" w:rsidTr="0033429D">
        <w:trPr>
          <w:trHeight w:val="365"/>
        </w:trPr>
        <w:tc>
          <w:tcPr>
            <w:tcW w:w="625" w:type="pct"/>
            <w:vAlign w:val="center"/>
          </w:tcPr>
          <w:p w14:paraId="5A478F98" w14:textId="77777777" w:rsidR="00C66181" w:rsidRPr="00781112" w:rsidRDefault="00C66181" w:rsidP="00C66181">
            <w:pPr>
              <w:rPr>
                <w:rFonts w:cs="Arial"/>
                <w:color w:val="000000" w:themeColor="text1"/>
                <w:szCs w:val="16"/>
              </w:rPr>
            </w:pPr>
            <w:r w:rsidRPr="00781112">
              <w:rPr>
                <w:rFonts w:cs="Arial"/>
                <w:color w:val="000000" w:themeColor="text1"/>
                <w:szCs w:val="16"/>
              </w:rPr>
              <w:t>B. Enrolled in higher education or competitively employed within one year of leaving high school (1 +2)</w:t>
            </w:r>
          </w:p>
        </w:tc>
        <w:tc>
          <w:tcPr>
            <w:tcW w:w="625" w:type="pct"/>
            <w:vAlign w:val="center"/>
          </w:tcPr>
          <w:p w14:paraId="065C8D78" w14:textId="77777777" w:rsidR="00C66181" w:rsidRPr="00781112" w:rsidRDefault="002B7490" w:rsidP="00A018D4">
            <w:pPr>
              <w:jc w:val="center"/>
              <w:rPr>
                <w:rFonts w:cs="Arial"/>
                <w:color w:val="000000" w:themeColor="text1"/>
                <w:szCs w:val="16"/>
              </w:rPr>
            </w:pPr>
            <w:r w:rsidRPr="00781112">
              <w:rPr>
                <w:rFonts w:cs="Arial"/>
                <w:color w:val="000000" w:themeColor="text1"/>
                <w:szCs w:val="16"/>
              </w:rPr>
              <w:t>1,350</w:t>
            </w:r>
          </w:p>
        </w:tc>
        <w:tc>
          <w:tcPr>
            <w:tcW w:w="625" w:type="pct"/>
            <w:vAlign w:val="center"/>
          </w:tcPr>
          <w:p w14:paraId="27ABE081" w14:textId="77777777" w:rsidR="00C66181" w:rsidRPr="00781112" w:rsidRDefault="002B7490" w:rsidP="00A018D4">
            <w:pPr>
              <w:jc w:val="center"/>
              <w:rPr>
                <w:rFonts w:cs="Arial"/>
                <w:color w:val="000000" w:themeColor="text1"/>
                <w:szCs w:val="16"/>
              </w:rPr>
            </w:pPr>
            <w:r w:rsidRPr="00781112">
              <w:rPr>
                <w:rFonts w:cs="Arial"/>
                <w:color w:val="000000" w:themeColor="text1"/>
                <w:szCs w:val="16"/>
              </w:rPr>
              <w:t>2,237</w:t>
            </w:r>
          </w:p>
        </w:tc>
        <w:tc>
          <w:tcPr>
            <w:tcW w:w="625" w:type="pct"/>
            <w:vAlign w:val="center"/>
          </w:tcPr>
          <w:p w14:paraId="07D07947" w14:textId="77777777" w:rsidR="00C66181" w:rsidRPr="00781112" w:rsidRDefault="002B7490" w:rsidP="00A018D4">
            <w:pPr>
              <w:jc w:val="center"/>
              <w:rPr>
                <w:rFonts w:cs="Arial"/>
                <w:color w:val="000000" w:themeColor="text1"/>
                <w:szCs w:val="16"/>
              </w:rPr>
            </w:pPr>
            <w:r w:rsidRPr="00781112">
              <w:rPr>
                <w:rFonts w:cs="Arial"/>
                <w:color w:val="000000" w:themeColor="text1"/>
                <w:szCs w:val="16"/>
              </w:rPr>
              <w:t>57.93%</w:t>
            </w:r>
          </w:p>
        </w:tc>
        <w:tc>
          <w:tcPr>
            <w:tcW w:w="625" w:type="pct"/>
            <w:vAlign w:val="center"/>
          </w:tcPr>
          <w:p w14:paraId="63C9460C" w14:textId="77777777" w:rsidR="00C66181" w:rsidRPr="00781112" w:rsidRDefault="002B7490" w:rsidP="00A018D4">
            <w:pPr>
              <w:jc w:val="center"/>
              <w:rPr>
                <w:rFonts w:cs="Arial"/>
                <w:color w:val="000000" w:themeColor="text1"/>
                <w:szCs w:val="16"/>
              </w:rPr>
            </w:pPr>
            <w:r w:rsidRPr="00781112">
              <w:rPr>
                <w:rFonts w:cs="Arial"/>
                <w:color w:val="000000" w:themeColor="text1"/>
                <w:szCs w:val="16"/>
              </w:rPr>
              <w:t>55.69%</w:t>
            </w:r>
          </w:p>
        </w:tc>
        <w:tc>
          <w:tcPr>
            <w:tcW w:w="625" w:type="pct"/>
            <w:vAlign w:val="center"/>
          </w:tcPr>
          <w:p w14:paraId="3B912F79" w14:textId="77777777" w:rsidR="00C66181" w:rsidRPr="00781112" w:rsidRDefault="002B7490" w:rsidP="00A018D4">
            <w:pPr>
              <w:jc w:val="center"/>
              <w:rPr>
                <w:rFonts w:cs="Arial"/>
                <w:color w:val="000000" w:themeColor="text1"/>
                <w:szCs w:val="16"/>
              </w:rPr>
            </w:pPr>
            <w:r w:rsidRPr="00781112">
              <w:rPr>
                <w:rFonts w:cs="Arial"/>
                <w:color w:val="000000" w:themeColor="text1"/>
                <w:szCs w:val="16"/>
              </w:rPr>
              <w:t>60.35%</w:t>
            </w:r>
          </w:p>
        </w:tc>
        <w:tc>
          <w:tcPr>
            <w:tcW w:w="625" w:type="pct"/>
            <w:vAlign w:val="center"/>
          </w:tcPr>
          <w:p w14:paraId="4BD70B20" w14:textId="77777777" w:rsidR="00C66181"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625" w:type="pct"/>
            <w:vAlign w:val="center"/>
          </w:tcPr>
          <w:p w14:paraId="13D2A01F" w14:textId="77777777" w:rsidR="00C66181"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4436CA54" w14:textId="77777777" w:rsidTr="0033429D">
        <w:trPr>
          <w:trHeight w:val="365"/>
        </w:trPr>
        <w:tc>
          <w:tcPr>
            <w:tcW w:w="625" w:type="pct"/>
            <w:vAlign w:val="center"/>
          </w:tcPr>
          <w:p w14:paraId="75788BA5" w14:textId="77777777" w:rsidR="00C66181" w:rsidRPr="00781112" w:rsidRDefault="00C66181" w:rsidP="00C66181">
            <w:pPr>
              <w:rPr>
                <w:rFonts w:cs="Arial"/>
                <w:color w:val="000000" w:themeColor="text1"/>
                <w:szCs w:val="16"/>
              </w:rPr>
            </w:pPr>
            <w:r w:rsidRPr="00781112">
              <w:rPr>
                <w:rFonts w:cs="Arial"/>
                <w:color w:val="000000" w:themeColor="text1"/>
                <w:szCs w:val="16"/>
              </w:rPr>
              <w:t>C. Enrolled in higher education, or in some other postsecondary education or training program; or competitively employed or in some other employment (1+2+3+4)</w:t>
            </w:r>
          </w:p>
        </w:tc>
        <w:tc>
          <w:tcPr>
            <w:tcW w:w="625" w:type="pct"/>
            <w:vAlign w:val="center"/>
          </w:tcPr>
          <w:p w14:paraId="2C923E2A" w14:textId="77777777" w:rsidR="00C66181" w:rsidRPr="00781112" w:rsidRDefault="002B7490" w:rsidP="00A018D4">
            <w:pPr>
              <w:jc w:val="center"/>
              <w:rPr>
                <w:rFonts w:cs="Arial"/>
                <w:color w:val="000000" w:themeColor="text1"/>
                <w:szCs w:val="16"/>
              </w:rPr>
            </w:pPr>
            <w:r w:rsidRPr="00781112">
              <w:rPr>
                <w:rFonts w:cs="Arial"/>
                <w:color w:val="000000" w:themeColor="text1"/>
                <w:szCs w:val="16"/>
              </w:rPr>
              <w:t>1,779</w:t>
            </w:r>
          </w:p>
        </w:tc>
        <w:tc>
          <w:tcPr>
            <w:tcW w:w="625" w:type="pct"/>
            <w:vAlign w:val="center"/>
          </w:tcPr>
          <w:p w14:paraId="0167A99A" w14:textId="77777777" w:rsidR="00C66181" w:rsidRPr="00781112" w:rsidRDefault="002B7490" w:rsidP="00A018D4">
            <w:pPr>
              <w:jc w:val="center"/>
              <w:rPr>
                <w:rFonts w:cs="Arial"/>
                <w:color w:val="000000" w:themeColor="text1"/>
                <w:szCs w:val="16"/>
              </w:rPr>
            </w:pPr>
            <w:r w:rsidRPr="00781112">
              <w:rPr>
                <w:rFonts w:cs="Arial"/>
                <w:color w:val="000000" w:themeColor="text1"/>
                <w:szCs w:val="16"/>
              </w:rPr>
              <w:t>2,237</w:t>
            </w:r>
          </w:p>
        </w:tc>
        <w:tc>
          <w:tcPr>
            <w:tcW w:w="625" w:type="pct"/>
            <w:vAlign w:val="center"/>
          </w:tcPr>
          <w:p w14:paraId="00E23258" w14:textId="77777777" w:rsidR="00C66181" w:rsidRPr="00781112" w:rsidRDefault="002B7490" w:rsidP="00A018D4">
            <w:pPr>
              <w:jc w:val="center"/>
              <w:rPr>
                <w:rFonts w:cs="Arial"/>
                <w:color w:val="000000" w:themeColor="text1"/>
                <w:szCs w:val="16"/>
              </w:rPr>
            </w:pPr>
            <w:r w:rsidRPr="00781112">
              <w:rPr>
                <w:rFonts w:cs="Arial"/>
                <w:color w:val="000000" w:themeColor="text1"/>
                <w:szCs w:val="16"/>
              </w:rPr>
              <w:t>75.76%</w:t>
            </w:r>
          </w:p>
        </w:tc>
        <w:tc>
          <w:tcPr>
            <w:tcW w:w="625" w:type="pct"/>
            <w:vAlign w:val="center"/>
          </w:tcPr>
          <w:p w14:paraId="00B212B2" w14:textId="77777777" w:rsidR="00C66181" w:rsidRPr="00781112" w:rsidRDefault="002B7490" w:rsidP="00A018D4">
            <w:pPr>
              <w:jc w:val="center"/>
              <w:rPr>
                <w:rFonts w:cs="Arial"/>
                <w:color w:val="000000" w:themeColor="text1"/>
                <w:szCs w:val="16"/>
              </w:rPr>
            </w:pPr>
            <w:r w:rsidRPr="00781112">
              <w:rPr>
                <w:rFonts w:cs="Arial"/>
                <w:color w:val="000000" w:themeColor="text1"/>
                <w:szCs w:val="16"/>
              </w:rPr>
              <w:t>73.01%</w:t>
            </w:r>
          </w:p>
        </w:tc>
        <w:tc>
          <w:tcPr>
            <w:tcW w:w="625" w:type="pct"/>
            <w:vAlign w:val="center"/>
          </w:tcPr>
          <w:p w14:paraId="4A83E288" w14:textId="77777777" w:rsidR="00C66181" w:rsidRPr="00781112" w:rsidRDefault="002B7490" w:rsidP="00A018D4">
            <w:pPr>
              <w:jc w:val="center"/>
              <w:rPr>
                <w:rFonts w:cs="Arial"/>
                <w:color w:val="000000" w:themeColor="text1"/>
                <w:szCs w:val="16"/>
              </w:rPr>
            </w:pPr>
            <w:r w:rsidRPr="00781112">
              <w:rPr>
                <w:rFonts w:cs="Arial"/>
                <w:color w:val="000000" w:themeColor="text1"/>
                <w:szCs w:val="16"/>
              </w:rPr>
              <w:t>79.53%</w:t>
            </w:r>
          </w:p>
        </w:tc>
        <w:tc>
          <w:tcPr>
            <w:tcW w:w="625" w:type="pct"/>
            <w:vAlign w:val="center"/>
          </w:tcPr>
          <w:p w14:paraId="40965EE2" w14:textId="77777777" w:rsidR="00C66181"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625" w:type="pct"/>
            <w:vAlign w:val="center"/>
          </w:tcPr>
          <w:p w14:paraId="63C2D373" w14:textId="77777777" w:rsidR="00C66181"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04FCD368" w14:textId="77777777" w:rsidR="001773E7" w:rsidRPr="00781112" w:rsidRDefault="001773E7" w:rsidP="00C66181">
      <w:pPr>
        <w:rPr>
          <w:rFonts w:cs="Arial"/>
          <w:i/>
          <w:color w:val="000000" w:themeColor="text1"/>
          <w:szCs w:val="16"/>
        </w:rPr>
      </w:pPr>
    </w:p>
    <w:p w14:paraId="7246FCEB" w14:textId="77777777" w:rsidR="00C95094" w:rsidRPr="00781112" w:rsidRDefault="0077712B" w:rsidP="00C66181">
      <w:pPr>
        <w:rPr>
          <w:rFonts w:cs="Arial"/>
          <w:b/>
          <w:color w:val="000000" w:themeColor="text1"/>
          <w:szCs w:val="16"/>
        </w:rPr>
      </w:pPr>
      <w:r w:rsidRPr="00781112">
        <w:rPr>
          <w:rFonts w:cs="Arial"/>
          <w:b/>
          <w:color w:val="000000" w:themeColor="text1"/>
          <w:szCs w:val="16"/>
        </w:rPr>
        <w:t xml:space="preserve">Please select the reporting option your State is using: </w:t>
      </w:r>
    </w:p>
    <w:p w14:paraId="2861AFCB" w14:textId="77777777" w:rsidR="000070D5" w:rsidRPr="00781112" w:rsidRDefault="002B7490" w:rsidP="00C66181">
      <w:pPr>
        <w:rPr>
          <w:rFonts w:cs="Arial"/>
          <w:color w:val="000000" w:themeColor="text1"/>
          <w:szCs w:val="16"/>
        </w:rPr>
      </w:pPr>
      <w:r w:rsidRPr="00781112">
        <w:rPr>
          <w:rFonts w:cs="Arial"/>
          <w:color w:val="000000" w:themeColor="text1"/>
          <w:szCs w:val="16"/>
        </w:rPr>
        <w:lastRenderedPageBreak/>
        <w:t>Option 1: Use the same definition as used to report in the FFY 2015 SPP/APR, i.e., competitive employment means that youth have worked for pay at or above the minimum wage in a setting with others who are nondisabled for a period of 20 hours a week for at least 90 days at any time in the year since leaving high school. This includes military employment.</w:t>
      </w:r>
    </w:p>
    <w:p w14:paraId="46A1D24B" w14:textId="77777777" w:rsidR="00090132" w:rsidRDefault="00090132" w:rsidP="00C66181">
      <w:pPr>
        <w:rPr>
          <w:rFonts w:cs="Arial"/>
          <w:color w:val="000000" w:themeColor="text1"/>
          <w:szCs w:val="16"/>
        </w:rPr>
      </w:pPr>
    </w:p>
    <w:p w14:paraId="490D4F07" w14:textId="77777777" w:rsidR="00090132" w:rsidRPr="00E578E2" w:rsidRDefault="00090132" w:rsidP="00090132">
      <w:pPr>
        <w:rPr>
          <w:rFonts w:cs="Arial"/>
          <w:b/>
          <w:bCs/>
          <w:szCs w:val="16"/>
        </w:rPr>
      </w:pPr>
      <w:r w:rsidRPr="00E578E2">
        <w:rPr>
          <w:rFonts w:cs="Arial"/>
          <w:b/>
          <w:bCs/>
          <w:szCs w:val="16"/>
        </w:rPr>
        <w:t>Response Rate</w:t>
      </w:r>
    </w:p>
    <w:tbl>
      <w:tblPr>
        <w:tblStyle w:val="TableGrid"/>
        <w:tblW w:w="0" w:type="auto"/>
        <w:tblLook w:val="04A0" w:firstRow="1" w:lastRow="0" w:firstColumn="1" w:lastColumn="0" w:noHBand="0" w:noVBand="1"/>
        <w:tblCaption w:val="B14CFFYRSPRTE"/>
      </w:tblPr>
      <w:tblGrid>
        <w:gridCol w:w="1885"/>
        <w:gridCol w:w="1453"/>
        <w:gridCol w:w="1284"/>
      </w:tblGrid>
      <w:tr w:rsidR="00090132" w:rsidRPr="00353E62" w14:paraId="26A5ABBC" w14:textId="77777777" w:rsidTr="00DF5DC9">
        <w:tc>
          <w:tcPr>
            <w:tcW w:w="1885" w:type="dxa"/>
          </w:tcPr>
          <w:p w14:paraId="1E9D99D5" w14:textId="77777777" w:rsidR="00090132" w:rsidRPr="008D51F2" w:rsidRDefault="00090132" w:rsidP="00DF5DC9">
            <w:pPr>
              <w:jc w:val="center"/>
              <w:rPr>
                <w:rFonts w:cs="Arial"/>
                <w:b/>
                <w:szCs w:val="16"/>
              </w:rPr>
            </w:pPr>
            <w:r w:rsidRPr="008D51F2">
              <w:rPr>
                <w:rFonts w:cs="Arial"/>
                <w:b/>
                <w:szCs w:val="16"/>
              </w:rPr>
              <w:t>FFY</w:t>
            </w:r>
          </w:p>
        </w:tc>
        <w:tc>
          <w:tcPr>
            <w:tcW w:w="1453" w:type="dxa"/>
            <w:vAlign w:val="center"/>
          </w:tcPr>
          <w:p w14:paraId="1F235580" w14:textId="77777777" w:rsidR="00090132" w:rsidRPr="008D51F2" w:rsidRDefault="00090132" w:rsidP="00DF5DC9">
            <w:pPr>
              <w:jc w:val="center"/>
              <w:rPr>
                <w:rFonts w:cs="Arial"/>
                <w:b/>
                <w:szCs w:val="16"/>
              </w:rPr>
            </w:pPr>
            <w:r w:rsidRPr="008D51F2">
              <w:rPr>
                <w:rFonts w:cs="Arial"/>
                <w:b/>
                <w:color w:val="000000" w:themeColor="text1"/>
                <w:szCs w:val="16"/>
              </w:rPr>
              <w:t>2023</w:t>
            </w:r>
          </w:p>
        </w:tc>
        <w:tc>
          <w:tcPr>
            <w:tcW w:w="1284" w:type="dxa"/>
          </w:tcPr>
          <w:p w14:paraId="2993D02A" w14:textId="77777777" w:rsidR="00090132" w:rsidRPr="008D51F2" w:rsidRDefault="00090132" w:rsidP="00DF5DC9">
            <w:pPr>
              <w:jc w:val="center"/>
              <w:rPr>
                <w:rFonts w:cs="Arial"/>
                <w:b/>
                <w:szCs w:val="16"/>
              </w:rPr>
            </w:pPr>
            <w:r w:rsidRPr="008D51F2">
              <w:rPr>
                <w:rFonts w:cs="Arial"/>
                <w:b/>
                <w:color w:val="000000" w:themeColor="text1"/>
                <w:szCs w:val="16"/>
              </w:rPr>
              <w:t>2024</w:t>
            </w:r>
          </w:p>
        </w:tc>
      </w:tr>
      <w:tr w:rsidR="00090132" w14:paraId="24910DFC" w14:textId="77777777" w:rsidTr="00DF5DC9">
        <w:tc>
          <w:tcPr>
            <w:tcW w:w="1885" w:type="dxa"/>
          </w:tcPr>
          <w:p w14:paraId="3CBA01EC" w14:textId="77777777" w:rsidR="00090132" w:rsidRPr="008D51F2" w:rsidRDefault="00090132" w:rsidP="00DF5DC9">
            <w:pPr>
              <w:rPr>
                <w:rFonts w:cs="Arial"/>
                <w:szCs w:val="16"/>
              </w:rPr>
            </w:pPr>
            <w:r w:rsidRPr="008D51F2">
              <w:rPr>
                <w:rFonts w:cs="Arial"/>
                <w:szCs w:val="16"/>
              </w:rPr>
              <w:t xml:space="preserve">Response Rate </w:t>
            </w:r>
          </w:p>
        </w:tc>
        <w:tc>
          <w:tcPr>
            <w:tcW w:w="1453" w:type="dxa"/>
            <w:vAlign w:val="center"/>
          </w:tcPr>
          <w:p w14:paraId="46E87E2B" w14:textId="77777777" w:rsidR="00090132" w:rsidRPr="008D51F2" w:rsidRDefault="00090132" w:rsidP="00DF5DC9">
            <w:pPr>
              <w:jc w:val="center"/>
              <w:rPr>
                <w:rFonts w:cs="Arial"/>
                <w:szCs w:val="16"/>
              </w:rPr>
            </w:pPr>
            <w:r w:rsidRPr="008D51F2">
              <w:rPr>
                <w:color w:val="000000" w:themeColor="text1"/>
              </w:rPr>
              <w:t>78.12%</w:t>
            </w:r>
          </w:p>
        </w:tc>
        <w:tc>
          <w:tcPr>
            <w:tcW w:w="1284" w:type="dxa"/>
            <w:vAlign w:val="center"/>
          </w:tcPr>
          <w:p w14:paraId="603D23BE" w14:textId="77777777" w:rsidR="00090132" w:rsidRPr="008D51F2" w:rsidRDefault="00090132" w:rsidP="00DF5DC9">
            <w:pPr>
              <w:jc w:val="center"/>
              <w:rPr>
                <w:rFonts w:cs="Arial"/>
                <w:szCs w:val="16"/>
              </w:rPr>
            </w:pPr>
            <w:r w:rsidRPr="008D51F2">
              <w:rPr>
                <w:rFonts w:cs="Arial"/>
                <w:color w:val="000000" w:themeColor="text1"/>
                <w:szCs w:val="16"/>
              </w:rPr>
              <w:t>79.30%</w:t>
            </w:r>
          </w:p>
        </w:tc>
      </w:tr>
    </w:tbl>
    <w:p w14:paraId="6BD24DD7" w14:textId="77777777" w:rsidR="00090132" w:rsidRDefault="00090132" w:rsidP="00090132">
      <w:pPr>
        <w:pStyle w:val="Header"/>
        <w:tabs>
          <w:tab w:val="clear" w:pos="4320"/>
          <w:tab w:val="clear" w:pos="8640"/>
        </w:tabs>
        <w:spacing w:before="0"/>
        <w:rPr>
          <w:rFonts w:ascii="Arial" w:hAnsi="Arial" w:cs="Arial"/>
          <w:bCs/>
          <w:sz w:val="16"/>
          <w:szCs w:val="16"/>
          <w:highlight w:val="yellow"/>
        </w:rPr>
      </w:pPr>
    </w:p>
    <w:p w14:paraId="7E013460" w14:textId="77777777" w:rsidR="00156FDD" w:rsidRPr="005C202C" w:rsidRDefault="00156FDD" w:rsidP="00156FDD">
      <w:pPr>
        <w:rPr>
          <w:b/>
          <w:bCs/>
        </w:rPr>
      </w:pPr>
      <w:r w:rsidRPr="005C202C">
        <w:rPr>
          <w:b/>
          <w:bCs/>
        </w:rPr>
        <w:t>Describe the metric used to determine representativeness (e.g., +/- 3% discrepancy in the proportion of responders compared to target group).</w:t>
      </w:r>
    </w:p>
    <w:p w14:paraId="0F435012" w14:textId="77777777" w:rsidR="00156FDD" w:rsidRDefault="00156FDD" w:rsidP="00156FDD">
      <w:pPr>
        <w:pStyle w:val="Subhed"/>
        <w:rPr>
          <w:b w:val="0"/>
        </w:rPr>
      </w:pPr>
      <w:r w:rsidRPr="008D51F2">
        <w:rPr>
          <w:b w:val="0"/>
        </w:rPr>
        <w:t>To determine representativeness, WVDE/OSE examines the absolute difference in percentage points (pp) between the demographic distribution of survey respondents and the corresponding distribution of the students who exited special education in SY 2023-24. A discrepancy greater than +/- 3.0 pp indicates potential over- or underrepresentation.</w:t>
      </w:r>
    </w:p>
    <w:p w14:paraId="24638C7F" w14:textId="77777777" w:rsidR="00156FDD" w:rsidRDefault="00156FDD" w:rsidP="00090132">
      <w:pPr>
        <w:rPr>
          <w:b/>
          <w:bCs/>
        </w:rPr>
      </w:pPr>
    </w:p>
    <w:p w14:paraId="1A11A254" w14:textId="77777777" w:rsidR="00156FDD" w:rsidRPr="00F03088" w:rsidRDefault="00156FDD" w:rsidP="00156FDD">
      <w:pPr>
        <w:spacing w:before="0"/>
        <w:rPr>
          <w:rFonts w:eastAsia="Times New Roman" w:cs="Arial"/>
          <w:b/>
          <w:bCs/>
          <w:szCs w:val="16"/>
        </w:rPr>
      </w:pPr>
      <w:r w:rsidRPr="00F03088">
        <w:rPr>
          <w:b/>
          <w:bCs/>
        </w:rPr>
        <w:t>Include the State’s analyses of the extent to which the response data are representative of the demographics of youth who are no longer in secondary school and had IEPs in effect at the time they left school.</w:t>
      </w:r>
      <w:r w:rsidRPr="00F03088">
        <w:rPr>
          <w:rFonts w:eastAsia="Times New Roman" w:cs="Arial"/>
          <w:b/>
          <w:bCs/>
          <w:szCs w:val="16"/>
        </w:rPr>
        <w:t xml:space="preserve"> States must include race/ethnicity in its analysis. In addition, the State’s analysis must include at least one of the following demographics: disability category, gender, geographic location, and/or another demographic category approved through the stakeholder input process.</w:t>
      </w:r>
    </w:p>
    <w:p w14:paraId="318D4137" w14:textId="77777777" w:rsidR="00156FDD" w:rsidRPr="00560FEE" w:rsidRDefault="00156FDD" w:rsidP="00156FDD">
      <w:r w:rsidRPr="008D51F2">
        <w:t>WVDE/OSE analyzed the demographic representation of youth who responded to the One-Year Follow-Up Survey (the measurement tool used for Indicator 14) who are no longer in secondary school and had IEPs in effect at the time they left school against all students who exited in SY 2023–24. The analysis included race/ethnicity, disability category, and basis of exit.</w:t>
      </w:r>
    </w:p>
    <w:p w14:paraId="130BA683" w14:textId="77777777" w:rsidR="00CA787A" w:rsidRDefault="003169E9">
      <w:r>
        <w:t>–RACE/ETHNICITY: Survey respondents closely reflected the population of eligible respondents with differences within 3.0 percentage points (pp) for all subgroups (range: -0.98 to 1.38).</w:t>
      </w:r>
    </w:p>
    <w:p w14:paraId="40FFA6AA" w14:textId="77777777" w:rsidR="00CA787A" w:rsidRDefault="003169E9">
      <w:r>
        <w:t>–DISABILITY CATEGORY: All categories were within the 3.0 pp threshold (range: -0.44 to 0.45), indicating balanced representation.</w:t>
      </w:r>
    </w:p>
    <w:p w14:paraId="2AA98EA4" w14:textId="77777777" w:rsidR="00CA787A" w:rsidRDefault="003169E9">
      <w:r>
        <w:t>–BASIS OF EXIT: Representation across all exit types (i.e., regular diploma, alternate diploma, reaching the maximum age of 21, and dropout) was within the 3.0 pp threshold (range: -1.87 to 1.86).</w:t>
      </w:r>
    </w:p>
    <w:p w14:paraId="45D1FCF9" w14:textId="77777777" w:rsidR="00156FDD" w:rsidRPr="005C202C" w:rsidRDefault="00156FDD" w:rsidP="00156FDD">
      <w:pPr>
        <w:rPr>
          <w:b/>
          <w:bCs/>
        </w:rPr>
      </w:pPr>
      <w:r w:rsidRPr="005C202C">
        <w:rPr>
          <w:b/>
          <w:bCs/>
        </w:rPr>
        <w:t xml:space="preserve">The response data is representative of the demographics of </w:t>
      </w:r>
      <w:proofErr w:type="gramStart"/>
      <w:r w:rsidRPr="005C202C">
        <w:rPr>
          <w:b/>
          <w:bCs/>
        </w:rPr>
        <w:t>youth</w:t>
      </w:r>
      <w:proofErr w:type="gramEnd"/>
      <w:r w:rsidRPr="005C202C">
        <w:rPr>
          <w:b/>
          <w:bCs/>
        </w:rPr>
        <w:t xml:space="preserve"> who are no longer in school and had IEPs in effect at the time they left school. (yes/no)</w:t>
      </w:r>
    </w:p>
    <w:p w14:paraId="23E2BCAB" w14:textId="77777777" w:rsidR="00156FDD" w:rsidRPr="00560FEE" w:rsidRDefault="00156FDD" w:rsidP="00156FDD">
      <w:pPr>
        <w:pStyle w:val="Subhed"/>
        <w:rPr>
          <w:b w:val="0"/>
          <w:bCs/>
        </w:rPr>
      </w:pPr>
      <w:r w:rsidRPr="008D51F2">
        <w:rPr>
          <w:b w:val="0"/>
          <w:bCs/>
        </w:rPr>
        <w:t>YES</w:t>
      </w:r>
    </w:p>
    <w:p w14:paraId="4C6CA84A" w14:textId="77777777" w:rsidR="00156FDD" w:rsidRPr="005C202C" w:rsidRDefault="00156FDD" w:rsidP="00156FDD">
      <w:pPr>
        <w:rPr>
          <w:b/>
          <w:bCs/>
        </w:rPr>
      </w:pPr>
      <w:r w:rsidRPr="005C202C">
        <w:rPr>
          <w:b/>
          <w:bCs/>
        </w:rPr>
        <w:t xml:space="preserve">If </w:t>
      </w:r>
      <w:proofErr w:type="gramStart"/>
      <w:r w:rsidRPr="005C202C">
        <w:rPr>
          <w:b/>
          <w:bCs/>
        </w:rPr>
        <w:t>no</w:t>
      </w:r>
      <w:proofErr w:type="gramEnd"/>
      <w:r w:rsidRPr="005C202C">
        <w:rPr>
          <w:b/>
          <w:bCs/>
        </w:rPr>
        <w:t>, describe the strategies that the State will use to ensure that in the future the response data are representative of those demographics.</w:t>
      </w:r>
    </w:p>
    <w:p w14:paraId="7F80F340" w14:textId="77777777" w:rsidR="00156FDD" w:rsidRPr="00560FEE" w:rsidRDefault="00156FDD" w:rsidP="00156FDD">
      <w:pPr>
        <w:pStyle w:val="Subhed"/>
        <w:rPr>
          <w:b w:val="0"/>
        </w:rPr>
      </w:pPr>
    </w:p>
    <w:p w14:paraId="1100CC53" w14:textId="77777777" w:rsidR="00156FDD" w:rsidRDefault="00156FDD" w:rsidP="00090132">
      <w:pPr>
        <w:rPr>
          <w:b/>
          <w:bCs/>
        </w:rPr>
      </w:pPr>
    </w:p>
    <w:p w14:paraId="66AB392F" w14:textId="77777777" w:rsidR="00090132" w:rsidRPr="00002B33" w:rsidRDefault="00090132" w:rsidP="00090132">
      <w:pPr>
        <w:rPr>
          <w:b/>
          <w:bCs/>
        </w:rPr>
      </w:pPr>
      <w:r w:rsidRPr="00002B33">
        <w:rPr>
          <w:b/>
          <w:bCs/>
        </w:rPr>
        <w:t xml:space="preserve">Describe strategies that will be implemented which are expected to increase the response rate year </w:t>
      </w:r>
      <w:proofErr w:type="gramStart"/>
      <w:r w:rsidRPr="00002B33">
        <w:rPr>
          <w:b/>
          <w:bCs/>
        </w:rPr>
        <w:t>over</w:t>
      </w:r>
      <w:proofErr w:type="gramEnd"/>
      <w:r w:rsidRPr="00002B33">
        <w:rPr>
          <w:b/>
          <w:bCs/>
        </w:rPr>
        <w:t xml:space="preserve"> year, particularly for those groups that are underrepresented.</w:t>
      </w:r>
    </w:p>
    <w:p w14:paraId="51BDA048" w14:textId="77777777" w:rsidR="00090132" w:rsidRPr="00B551F2" w:rsidRDefault="00090132" w:rsidP="00090132">
      <w:r w:rsidRPr="00B551F2">
        <w:t xml:space="preserve">WVDE/OSE continues to work with LEAs to support the collection of representative survey data. Strategies include guidance to LEAs regarding the following: </w:t>
      </w:r>
    </w:p>
    <w:p w14:paraId="72BACCAF" w14:textId="77777777" w:rsidR="00CA787A" w:rsidRDefault="003169E9">
      <w:r>
        <w:t>–Awareness of specific language in the Summary of Performance document regarding the One Year Follow-Up Exit Survey</w:t>
      </w:r>
    </w:p>
    <w:p w14:paraId="034B5050" w14:textId="77777777" w:rsidR="00CA787A" w:rsidRDefault="003169E9">
      <w:r>
        <w:t>–Notification to student dropouts and their families that a survey will be available to them one year after they leave school</w:t>
      </w:r>
    </w:p>
    <w:p w14:paraId="7B54AE8D" w14:textId="77777777" w:rsidR="00CA787A" w:rsidRDefault="003169E9">
      <w:r>
        <w:t>–Best practices when exiting students is to ensure accuracy of current contact information to send future survey</w:t>
      </w:r>
    </w:p>
    <w:p w14:paraId="7AB95ED8" w14:textId="77777777" w:rsidR="00CA787A" w:rsidRDefault="003169E9">
      <w:r>
        <w:t>–Development of inventive and resourceful methods to locate students or their families after they leave public school</w:t>
      </w:r>
    </w:p>
    <w:p w14:paraId="34786C8C" w14:textId="77777777" w:rsidR="00CA787A" w:rsidRDefault="003169E9">
      <w:r>
        <w:t>–Importance of emphasizing and encouraging responses from groups that may be less likely to respond</w:t>
      </w:r>
    </w:p>
    <w:p w14:paraId="0AE8F5E1" w14:textId="77777777" w:rsidR="00CA787A" w:rsidRDefault="003169E9">
      <w:r>
        <w:t>In addition, WVDE/OSE provides annual reminders to LEAs prior to the end of the school year in which the survey data will be gathered, as well as technical assistance from WVDE/OSE after the survey window opens on how to identify students who have yet to respond to the survey.</w:t>
      </w:r>
    </w:p>
    <w:p w14:paraId="262D6300" w14:textId="77777777" w:rsidR="00090132" w:rsidRPr="00002B33" w:rsidRDefault="00090132" w:rsidP="00090132">
      <w:pPr>
        <w:rPr>
          <w:b/>
          <w:bCs/>
        </w:rPr>
      </w:pPr>
      <w:r w:rsidRPr="00002B33">
        <w:rPr>
          <w:b/>
          <w:bCs/>
        </w:rPr>
        <w:t>Describe the analysis of the response rate including any nonresponse bias that was identified, and the steps taken to reduce any identified bias and promote response from a broad cross section of youth who are no longer in secondary school and had IEPs in effect at the time they left school.</w:t>
      </w:r>
    </w:p>
    <w:p w14:paraId="363BBB8F" w14:textId="77777777" w:rsidR="00090132" w:rsidRPr="00B551F2" w:rsidRDefault="00090132" w:rsidP="00090132">
      <w:r w:rsidRPr="00B551F2">
        <w:t>*RESPONSE RATE*</w:t>
      </w:r>
    </w:p>
    <w:p w14:paraId="2C973E82" w14:textId="77777777" w:rsidR="00CA787A" w:rsidRDefault="003169E9">
      <w:r>
        <w:t xml:space="preserve">The response rate of 79.27% proves large enough to be representative of the SY 2023-24 cohort of exited students when examining the demographic characteristics of race/ethnicity, disability category, and basis of exit. With a survey-eligible population of 2,821, at a 95% confidence level, and a 3% margin of error, the minimum sample size required is 774, which is equivalent to an overall response rate of 27.44%. The current rate is more than double that level. Further, the response rate increased by 1.18 percentage points (pp) compared to the FFY 2023 data. </w:t>
      </w:r>
    </w:p>
    <w:p w14:paraId="4145C7BC" w14:textId="77777777" w:rsidR="00CA787A" w:rsidRDefault="00CA787A"/>
    <w:p w14:paraId="2D0C4E37" w14:textId="77777777" w:rsidR="00CA787A" w:rsidRDefault="003169E9">
      <w:r>
        <w:t>*NONRESPONSE BIAS*</w:t>
      </w:r>
    </w:p>
    <w:p w14:paraId="4C21626E" w14:textId="77777777" w:rsidR="00CA787A" w:rsidRDefault="003169E9">
      <w:r>
        <w:t>The proportion of respondents in each subgroup (i.e., race/ethnicity, disability category, and basis of exit) differed by no more than +/- 3.00 pp from the population of eligible respondents, indicating balanced representation. Chi-square analyses for these subgroups yielded statistically significant differences, likely due to the large sample size. However, the associated effect sizes (Cohen’s w = 0.09–0.15) fell within the negligible to small range. These values suggest that the observed discrepancies are minimal and do not indicate meaningful nonresponse bias. Taken together with the consistently small pp differences across categories, the evidence suggests that the respondent group is operationally representative of the eligible population, and no weighting or corrective adjustments are required.</w:t>
      </w:r>
    </w:p>
    <w:p w14:paraId="37C9F69F" w14:textId="77777777" w:rsidR="00CA787A" w:rsidRDefault="00CA787A"/>
    <w:p w14:paraId="5A06F160" w14:textId="77777777" w:rsidR="00CA787A" w:rsidRDefault="003169E9">
      <w:r>
        <w:t>-------------------------------------------------------------------------</w:t>
      </w:r>
    </w:p>
    <w:p w14:paraId="5766D1E1" w14:textId="77777777" w:rsidR="00CA787A" w:rsidRDefault="003169E9">
      <w:r>
        <w:t>COHEN’S W INTERPRETATION</w:t>
      </w:r>
    </w:p>
    <w:p w14:paraId="1E8E950F" w14:textId="77777777" w:rsidR="00CA787A" w:rsidRDefault="003169E9">
      <w:r>
        <w:t>&lt; 0.10 = Negligible</w:t>
      </w:r>
    </w:p>
    <w:p w14:paraId="5EF91EA3" w14:textId="77777777" w:rsidR="00CA787A" w:rsidRDefault="003169E9">
      <w:r>
        <w:t>0.10–0.29 = Small</w:t>
      </w:r>
    </w:p>
    <w:p w14:paraId="16194A47" w14:textId="77777777" w:rsidR="00CA787A" w:rsidRDefault="003169E9">
      <w:r>
        <w:lastRenderedPageBreak/>
        <w:t>0.30–0.49 = Medium</w:t>
      </w:r>
    </w:p>
    <w:p w14:paraId="63435152" w14:textId="77777777" w:rsidR="00CA787A" w:rsidRDefault="003169E9">
      <w:r>
        <w:t>&gt;= 0.50 = Large</w:t>
      </w:r>
    </w:p>
    <w:p w14:paraId="2893943A" w14:textId="77777777" w:rsidR="00CA787A" w:rsidRDefault="00CA787A"/>
    <w:p w14:paraId="40AA3BF4" w14:textId="77777777" w:rsidR="00CA787A" w:rsidRDefault="003169E9">
      <w:r>
        <w:t>Adapted from Cohen (1988)</w:t>
      </w:r>
    </w:p>
    <w:p w14:paraId="5DCAD309" w14:textId="77777777" w:rsidR="00090132" w:rsidRPr="00560FEE" w:rsidRDefault="00090132" w:rsidP="00090132">
      <w:pPr>
        <w:pStyle w:val="Subhed"/>
        <w:rPr>
          <w:b w:val="0"/>
        </w:rPr>
      </w:pPr>
    </w:p>
    <w:p w14:paraId="490EE07A" w14:textId="77777777" w:rsidR="00090132" w:rsidRPr="00781112" w:rsidRDefault="00090132" w:rsidP="00C66181">
      <w:pPr>
        <w:rPr>
          <w:rFonts w:cs="Arial"/>
          <w:color w:val="000000" w:themeColor="text1"/>
          <w:szCs w:val="16"/>
        </w:rPr>
      </w:pPr>
    </w:p>
    <w:tbl>
      <w:tblPr>
        <w:tblStyle w:val="TableGrid"/>
        <w:tblW w:w="0" w:type="auto"/>
        <w:tblLook w:val="04A0" w:firstRow="1" w:lastRow="0" w:firstColumn="1" w:lastColumn="0" w:noHBand="0" w:noVBand="1"/>
        <w:tblCaption w:val="B14SAMPLEUSED"/>
      </w:tblPr>
      <w:tblGrid>
        <w:gridCol w:w="8306"/>
        <w:gridCol w:w="2484"/>
      </w:tblGrid>
      <w:tr w:rsidR="005C29F8" w:rsidRPr="00781112" w14:paraId="0B47FF63" w14:textId="77777777" w:rsidTr="0033429D">
        <w:trPr>
          <w:tblHeader/>
        </w:trPr>
        <w:tc>
          <w:tcPr>
            <w:tcW w:w="8310" w:type="dxa"/>
            <w:tcBorders>
              <w:top w:val="single" w:sz="4" w:space="0" w:color="auto"/>
              <w:left w:val="single" w:sz="4" w:space="0" w:color="auto"/>
            </w:tcBorders>
          </w:tcPr>
          <w:p w14:paraId="5AC68ADA" w14:textId="77777777" w:rsidR="00763780" w:rsidRPr="00781112" w:rsidRDefault="00CC2002" w:rsidP="00BA3DBE">
            <w:pPr>
              <w:jc w:val="center"/>
              <w:rPr>
                <w:rFonts w:cs="Arial"/>
                <w:b/>
                <w:bCs/>
                <w:color w:val="000000" w:themeColor="text1"/>
                <w:szCs w:val="16"/>
              </w:rPr>
            </w:pPr>
            <w:r w:rsidRPr="00781112">
              <w:rPr>
                <w:rFonts w:cs="Arial"/>
                <w:b/>
                <w:bCs/>
                <w:color w:val="000000" w:themeColor="text1"/>
                <w:szCs w:val="16"/>
              </w:rPr>
              <w:t>Sampling Question</w:t>
            </w:r>
          </w:p>
        </w:tc>
        <w:tc>
          <w:tcPr>
            <w:tcW w:w="2485" w:type="dxa"/>
            <w:tcBorders>
              <w:top w:val="single" w:sz="4" w:space="0" w:color="auto"/>
            </w:tcBorders>
          </w:tcPr>
          <w:p w14:paraId="0DC9A191" w14:textId="77777777" w:rsidR="00763780" w:rsidRPr="00781112" w:rsidRDefault="00763780"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5DECE21B" w14:textId="77777777" w:rsidTr="0033429D">
        <w:tc>
          <w:tcPr>
            <w:tcW w:w="8310" w:type="dxa"/>
          </w:tcPr>
          <w:p w14:paraId="641D25EC" w14:textId="77777777" w:rsidR="00763780" w:rsidRPr="00781112" w:rsidRDefault="00763780" w:rsidP="008E31C4">
            <w:pPr>
              <w:rPr>
                <w:rFonts w:cs="Arial"/>
                <w:color w:val="000000" w:themeColor="text1"/>
                <w:szCs w:val="16"/>
              </w:rPr>
            </w:pPr>
            <w:r w:rsidRPr="00781112">
              <w:rPr>
                <w:rFonts w:cs="Arial"/>
                <w:color w:val="000000" w:themeColor="text1"/>
                <w:szCs w:val="16"/>
              </w:rPr>
              <w:t xml:space="preserve">Was sampling used? </w:t>
            </w:r>
          </w:p>
        </w:tc>
        <w:tc>
          <w:tcPr>
            <w:tcW w:w="2485" w:type="dxa"/>
          </w:tcPr>
          <w:p w14:paraId="4D44A7F9" w14:textId="77777777" w:rsidR="00763780" w:rsidRPr="00781112" w:rsidRDefault="002B7490" w:rsidP="00A018D4">
            <w:pPr>
              <w:jc w:val="center"/>
              <w:rPr>
                <w:rFonts w:cs="Arial"/>
                <w:color w:val="000000" w:themeColor="text1"/>
                <w:szCs w:val="16"/>
              </w:rPr>
            </w:pPr>
            <w:r w:rsidRPr="00781112">
              <w:rPr>
                <w:rFonts w:cs="Arial"/>
                <w:color w:val="000000" w:themeColor="text1"/>
                <w:szCs w:val="16"/>
              </w:rPr>
              <w:t>NO</w:t>
            </w:r>
          </w:p>
        </w:tc>
      </w:tr>
      <w:tr w:rsidR="005C29F8" w:rsidRPr="00781112" w14:paraId="440E58C2" w14:textId="77777777" w:rsidTr="0033429D">
        <w:trPr>
          <w:tblHeader/>
        </w:trPr>
        <w:tc>
          <w:tcPr>
            <w:tcW w:w="3849" w:type="pct"/>
            <w:tcBorders>
              <w:top w:val="single" w:sz="4" w:space="0" w:color="auto"/>
              <w:left w:val="single" w:sz="4" w:space="0" w:color="auto"/>
            </w:tcBorders>
          </w:tcPr>
          <w:p w14:paraId="63AB202A" w14:textId="77777777" w:rsidR="00BC4655" w:rsidRPr="00781112" w:rsidRDefault="00CC2002" w:rsidP="00BA3DBE">
            <w:pPr>
              <w:jc w:val="center"/>
              <w:rPr>
                <w:rFonts w:cs="Arial"/>
                <w:b/>
                <w:bCs/>
                <w:color w:val="000000" w:themeColor="text1"/>
                <w:szCs w:val="16"/>
              </w:rPr>
            </w:pPr>
            <w:r w:rsidRPr="00781112">
              <w:rPr>
                <w:rFonts w:cs="Arial"/>
                <w:b/>
                <w:bCs/>
                <w:color w:val="000000" w:themeColor="text1"/>
                <w:szCs w:val="16"/>
              </w:rPr>
              <w:t>Survey Question</w:t>
            </w:r>
          </w:p>
        </w:tc>
        <w:tc>
          <w:tcPr>
            <w:tcW w:w="1151" w:type="pct"/>
            <w:tcBorders>
              <w:top w:val="single" w:sz="4" w:space="0" w:color="auto"/>
            </w:tcBorders>
          </w:tcPr>
          <w:p w14:paraId="36FDDCDA" w14:textId="77777777" w:rsidR="00BC4655" w:rsidRPr="00781112" w:rsidRDefault="00BC4655"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5C99F727" w14:textId="77777777" w:rsidTr="0033429D">
        <w:tc>
          <w:tcPr>
            <w:tcW w:w="3849" w:type="pct"/>
          </w:tcPr>
          <w:p w14:paraId="756FE1D7" w14:textId="77777777" w:rsidR="00BC4655" w:rsidRPr="00781112" w:rsidRDefault="00BC4655" w:rsidP="008E31C4">
            <w:pPr>
              <w:rPr>
                <w:rFonts w:cs="Arial"/>
                <w:color w:val="000000" w:themeColor="text1"/>
                <w:szCs w:val="16"/>
              </w:rPr>
            </w:pPr>
            <w:r w:rsidRPr="00781112">
              <w:rPr>
                <w:rFonts w:cs="Arial"/>
                <w:color w:val="000000" w:themeColor="text1"/>
                <w:szCs w:val="16"/>
              </w:rPr>
              <w:t xml:space="preserve">Was a survey used? </w:t>
            </w:r>
          </w:p>
        </w:tc>
        <w:tc>
          <w:tcPr>
            <w:tcW w:w="1151" w:type="pct"/>
          </w:tcPr>
          <w:p w14:paraId="6037ED5D" w14:textId="77777777" w:rsidR="00BC4655"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2FC98049" w14:textId="77777777" w:rsidTr="0033429D">
        <w:tc>
          <w:tcPr>
            <w:tcW w:w="3849" w:type="pct"/>
          </w:tcPr>
          <w:p w14:paraId="19AB825D" w14:textId="77777777" w:rsidR="00BC4655" w:rsidRPr="00781112" w:rsidRDefault="003805D3" w:rsidP="008E31C4">
            <w:pPr>
              <w:rPr>
                <w:rFonts w:cs="Arial"/>
                <w:color w:val="000000" w:themeColor="text1"/>
                <w:szCs w:val="16"/>
              </w:rPr>
            </w:pPr>
            <w:r w:rsidRPr="00781112">
              <w:rPr>
                <w:rFonts w:cs="Arial"/>
                <w:color w:val="000000" w:themeColor="text1"/>
                <w:szCs w:val="16"/>
              </w:rPr>
              <w:t>If yes, is it a new or revised survey?</w:t>
            </w:r>
          </w:p>
        </w:tc>
        <w:tc>
          <w:tcPr>
            <w:tcW w:w="1151" w:type="pct"/>
          </w:tcPr>
          <w:p w14:paraId="63B4F28A" w14:textId="77777777" w:rsidR="00BC4655"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604B366D" w14:textId="77777777" w:rsidR="00644AC8" w:rsidRPr="00781112" w:rsidRDefault="00644AC8" w:rsidP="00644AC8">
      <w:pPr>
        <w:rPr>
          <w:rFonts w:cs="Arial"/>
          <w:b/>
          <w:color w:val="000000" w:themeColor="text1"/>
          <w:szCs w:val="16"/>
        </w:rPr>
      </w:pPr>
      <w:bookmarkStart w:id="86" w:name="_Toc382082390"/>
      <w:bookmarkStart w:id="87" w:name="_Toc392159339"/>
      <w:r w:rsidRPr="00781112">
        <w:rPr>
          <w:rFonts w:cs="Arial"/>
          <w:b/>
          <w:color w:val="000000" w:themeColor="text1"/>
          <w:szCs w:val="16"/>
        </w:rPr>
        <w:t>Provide additional information about this indicator (optional)</w:t>
      </w:r>
    </w:p>
    <w:p w14:paraId="4073DF7F" w14:textId="77777777" w:rsidR="00293C7E" w:rsidRPr="00781112" w:rsidRDefault="002B7490" w:rsidP="007D435F">
      <w:pPr>
        <w:rPr>
          <w:rFonts w:cs="Arial"/>
          <w:color w:val="000000" w:themeColor="text1"/>
          <w:szCs w:val="16"/>
        </w:rPr>
      </w:pPr>
      <w:r w:rsidRPr="00781112">
        <w:rPr>
          <w:rFonts w:cs="Arial"/>
          <w:color w:val="000000" w:themeColor="text1"/>
          <w:szCs w:val="16"/>
        </w:rPr>
        <w:t xml:space="preserve">Based on stakeholder input for the SSIP, new baselines and targets may be established and reported in FFY 2025 SPP/APR. This may occur in conjunction with potential changes to the SSIP (Indicator 17) for the next reporting period. Those changes potentially include using targets and data for both Indicator 1 (Graduation) and Indicator 14C (Post-school Outcomes) to measure progress toward the </w:t>
      </w:r>
      <w:proofErr w:type="spellStart"/>
      <w:r w:rsidRPr="00781112">
        <w:rPr>
          <w:rFonts w:cs="Arial"/>
          <w:color w:val="000000" w:themeColor="text1"/>
          <w:szCs w:val="16"/>
        </w:rPr>
        <w:t>SiMR</w:t>
      </w:r>
      <w:proofErr w:type="spellEnd"/>
      <w:r w:rsidRPr="00781112">
        <w:rPr>
          <w:rFonts w:cs="Arial"/>
          <w:color w:val="000000" w:themeColor="text1"/>
          <w:szCs w:val="16"/>
        </w:rPr>
        <w:t xml:space="preserve">. </w:t>
      </w:r>
    </w:p>
    <w:p w14:paraId="3851D431" w14:textId="77777777" w:rsidR="000A2C83" w:rsidRPr="00781112" w:rsidRDefault="00172058" w:rsidP="00123D76">
      <w:pPr>
        <w:pStyle w:val="Heading2"/>
      </w:pPr>
      <w:r w:rsidRPr="00781112">
        <w:t>14</w:t>
      </w:r>
      <w:r w:rsidR="001D508D" w:rsidRPr="00781112">
        <w:t xml:space="preserve"> </w:t>
      </w:r>
      <w:r w:rsidRPr="00781112">
        <w:t xml:space="preserve">- </w:t>
      </w:r>
      <w:r w:rsidR="000A2C83" w:rsidRPr="00781112">
        <w:t>Prior FFY Required Actions</w:t>
      </w:r>
    </w:p>
    <w:p w14:paraId="36463976" w14:textId="77777777" w:rsidR="009F69E7" w:rsidRPr="00781112" w:rsidRDefault="002B7490" w:rsidP="000A2C83">
      <w:pPr>
        <w:rPr>
          <w:rFonts w:cs="Arial"/>
          <w:color w:val="000000" w:themeColor="text1"/>
          <w:szCs w:val="16"/>
        </w:rPr>
      </w:pPr>
      <w:r w:rsidRPr="00781112">
        <w:rPr>
          <w:rFonts w:cs="Arial"/>
          <w:color w:val="000000" w:themeColor="text1"/>
          <w:szCs w:val="16"/>
        </w:rPr>
        <w:t>None</w:t>
      </w:r>
    </w:p>
    <w:p w14:paraId="3F173FA8" w14:textId="77777777" w:rsidR="000A2C83" w:rsidRPr="00781112" w:rsidRDefault="000A2C83" w:rsidP="000A2C83">
      <w:pPr>
        <w:rPr>
          <w:rFonts w:cs="Arial"/>
          <w:color w:val="000000" w:themeColor="text1"/>
          <w:szCs w:val="16"/>
        </w:rPr>
      </w:pPr>
      <w:r w:rsidRPr="00781112">
        <w:rPr>
          <w:rFonts w:cs="Arial"/>
          <w:color w:val="000000" w:themeColor="text1"/>
          <w:szCs w:val="16"/>
        </w:rPr>
        <w:t xml:space="preserve"> </w:t>
      </w:r>
    </w:p>
    <w:p w14:paraId="79F1D70F" w14:textId="77777777" w:rsidR="00644AC8" w:rsidRPr="00781112" w:rsidRDefault="00172058" w:rsidP="00123D76">
      <w:pPr>
        <w:pStyle w:val="Heading2"/>
      </w:pPr>
      <w:r w:rsidRPr="00781112">
        <w:t>14 - OSEP Response</w:t>
      </w:r>
    </w:p>
    <w:p w14:paraId="4DD46225" w14:textId="77777777" w:rsidR="00293C7E" w:rsidRPr="00781112" w:rsidRDefault="00293C7E" w:rsidP="001F692C">
      <w:pPr>
        <w:rPr>
          <w:rFonts w:cs="Arial"/>
          <w:color w:val="000000" w:themeColor="text1"/>
          <w:szCs w:val="16"/>
        </w:rPr>
      </w:pPr>
    </w:p>
    <w:p w14:paraId="67C5FD7B" w14:textId="77777777" w:rsidR="00644AC8" w:rsidRPr="00781112" w:rsidRDefault="00172058" w:rsidP="00123D76">
      <w:pPr>
        <w:pStyle w:val="Heading2"/>
      </w:pPr>
      <w:r w:rsidRPr="00781112">
        <w:t>14 - Required Actions</w:t>
      </w:r>
    </w:p>
    <w:p w14:paraId="319A41EF" w14:textId="77777777" w:rsidR="00293C7E" w:rsidRPr="00781112" w:rsidRDefault="00293C7E" w:rsidP="001F692C">
      <w:pPr>
        <w:rPr>
          <w:rFonts w:cs="Arial"/>
          <w:color w:val="000000" w:themeColor="text1"/>
          <w:szCs w:val="16"/>
        </w:rPr>
      </w:pPr>
    </w:p>
    <w:p w14:paraId="05E03708"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05ABF325" w14:textId="77777777" w:rsidR="00B3462E" w:rsidRPr="00781112" w:rsidRDefault="00B3462E" w:rsidP="000444E2">
      <w:pPr>
        <w:pStyle w:val="Heading1"/>
        <w:rPr>
          <w:color w:val="000000" w:themeColor="text1"/>
          <w:sz w:val="22"/>
        </w:rPr>
      </w:pPr>
      <w:r w:rsidRPr="00781112">
        <w:rPr>
          <w:color w:val="000000" w:themeColor="text1"/>
          <w:sz w:val="22"/>
        </w:rPr>
        <w:lastRenderedPageBreak/>
        <w:t>Indicator 15: Resolution Sessions</w:t>
      </w:r>
      <w:bookmarkEnd w:id="86"/>
      <w:bookmarkEnd w:id="87"/>
    </w:p>
    <w:p w14:paraId="309B7FA0" w14:textId="77777777" w:rsidR="005B0B58" w:rsidRPr="002C274F" w:rsidRDefault="005B0B58" w:rsidP="002C274F">
      <w:pPr>
        <w:rPr>
          <w:b/>
          <w:bCs/>
          <w:sz w:val="20"/>
          <w:szCs w:val="20"/>
        </w:rPr>
      </w:pPr>
      <w:bookmarkStart w:id="88" w:name="_Toc381786822"/>
      <w:bookmarkStart w:id="89" w:name="_Toc382731911"/>
      <w:bookmarkStart w:id="90" w:name="_Toc382731912"/>
      <w:bookmarkStart w:id="91" w:name="_Toc392159340"/>
      <w:bookmarkEnd w:id="88"/>
      <w:bookmarkEnd w:id="89"/>
      <w:r w:rsidRPr="002C274F">
        <w:rPr>
          <w:b/>
          <w:bCs/>
          <w:sz w:val="20"/>
          <w:szCs w:val="20"/>
        </w:rPr>
        <w:t>Instructions and Measurement</w:t>
      </w:r>
    </w:p>
    <w:p w14:paraId="587BE4E8" w14:textId="77777777" w:rsidR="009B6586" w:rsidRPr="00781112" w:rsidRDefault="009B6586" w:rsidP="00206890">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General Supervision</w:t>
      </w:r>
    </w:p>
    <w:p w14:paraId="24097292" w14:textId="77777777" w:rsidR="00692B95" w:rsidRPr="00781112" w:rsidRDefault="009B6586" w:rsidP="00206890">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hearing requests that went to resolution sessions that were resolved through resolution session settlement agreements.</w:t>
      </w:r>
    </w:p>
    <w:p w14:paraId="197D2029" w14:textId="77777777" w:rsidR="009B6586" w:rsidRPr="00781112" w:rsidRDefault="009B6586" w:rsidP="00206890">
      <w:pPr>
        <w:rPr>
          <w:rFonts w:cs="Arial"/>
          <w:color w:val="000000" w:themeColor="text1"/>
          <w:szCs w:val="16"/>
        </w:rPr>
      </w:pPr>
      <w:r w:rsidRPr="00781112">
        <w:rPr>
          <w:rFonts w:cs="Arial"/>
          <w:color w:val="000000" w:themeColor="text1"/>
          <w:szCs w:val="16"/>
        </w:rPr>
        <w:t xml:space="preserve"> (20 U.S.C. 1416(a)(3)(B))</w:t>
      </w:r>
    </w:p>
    <w:p w14:paraId="7047858E" w14:textId="77777777" w:rsidR="00B14746" w:rsidRPr="00781112" w:rsidRDefault="00B14746" w:rsidP="004369B2">
      <w:pPr>
        <w:rPr>
          <w:color w:val="000000" w:themeColor="text1"/>
        </w:rPr>
      </w:pPr>
      <w:r w:rsidRPr="00781112">
        <w:rPr>
          <w:b/>
          <w:color w:val="000000" w:themeColor="text1"/>
        </w:rPr>
        <w:t>Data Source</w:t>
      </w:r>
    </w:p>
    <w:p w14:paraId="02DB8F6D" w14:textId="77777777" w:rsidR="00B14746" w:rsidRPr="00781112" w:rsidRDefault="00B14746" w:rsidP="00206890">
      <w:pPr>
        <w:rPr>
          <w:rFonts w:cs="Arial"/>
          <w:color w:val="000000" w:themeColor="text1"/>
          <w:szCs w:val="16"/>
        </w:rPr>
      </w:pPr>
      <w:r w:rsidRPr="00781112">
        <w:rPr>
          <w:rFonts w:cs="Arial"/>
          <w:color w:val="000000" w:themeColor="text1"/>
          <w:szCs w:val="16"/>
        </w:rPr>
        <w:t xml:space="preserve">Same data as used for reporting to the Department under section 618 of the IDEA, using the definitions in </w:t>
      </w:r>
      <w:proofErr w:type="spellStart"/>
      <w:r w:rsidRPr="00781112">
        <w:rPr>
          <w:rFonts w:cs="Arial"/>
          <w:color w:val="000000" w:themeColor="text1"/>
          <w:szCs w:val="16"/>
        </w:rPr>
        <w:t>ED</w:t>
      </w:r>
      <w:r w:rsidRPr="00BA3DBE">
        <w:rPr>
          <w:rFonts w:cs="Arial"/>
          <w:i/>
          <w:iCs/>
          <w:color w:val="000000" w:themeColor="text1"/>
          <w:szCs w:val="16"/>
        </w:rPr>
        <w:t>Facts</w:t>
      </w:r>
      <w:proofErr w:type="spellEnd"/>
      <w:r w:rsidRPr="00781112">
        <w:rPr>
          <w:rFonts w:cs="Arial"/>
          <w:color w:val="000000" w:themeColor="text1"/>
          <w:szCs w:val="16"/>
        </w:rPr>
        <w:t xml:space="preserve"> file specifications FS229.</w:t>
      </w:r>
    </w:p>
    <w:p w14:paraId="3C19FF5F" w14:textId="77777777" w:rsidR="00B14746" w:rsidRPr="00781112" w:rsidRDefault="00B14746" w:rsidP="004369B2">
      <w:pPr>
        <w:rPr>
          <w:color w:val="000000" w:themeColor="text1"/>
        </w:rPr>
      </w:pPr>
      <w:r w:rsidRPr="00781112">
        <w:rPr>
          <w:b/>
          <w:color w:val="000000" w:themeColor="text1"/>
        </w:rPr>
        <w:t>Measurement</w:t>
      </w:r>
    </w:p>
    <w:p w14:paraId="4C66B0E3" w14:textId="77777777" w:rsidR="00B14746" w:rsidRPr="00781112" w:rsidRDefault="00B14746" w:rsidP="00206890">
      <w:pPr>
        <w:rPr>
          <w:rFonts w:cs="Arial"/>
          <w:color w:val="000000" w:themeColor="text1"/>
          <w:szCs w:val="16"/>
        </w:rPr>
      </w:pPr>
      <w:r w:rsidRPr="00781112">
        <w:rPr>
          <w:rFonts w:cs="Arial"/>
          <w:color w:val="000000" w:themeColor="text1"/>
          <w:szCs w:val="16"/>
        </w:rPr>
        <w:t>Percent = (3.1(a) divided by 3.1) times 100.</w:t>
      </w:r>
    </w:p>
    <w:p w14:paraId="1A9CC8FD" w14:textId="77777777" w:rsidR="00B14746" w:rsidRPr="00781112" w:rsidRDefault="00B14746" w:rsidP="004369B2">
      <w:pPr>
        <w:rPr>
          <w:color w:val="000000" w:themeColor="text1"/>
        </w:rPr>
      </w:pPr>
      <w:r w:rsidRPr="00781112">
        <w:rPr>
          <w:b/>
          <w:color w:val="000000" w:themeColor="text1"/>
        </w:rPr>
        <w:t>Instructions</w:t>
      </w:r>
    </w:p>
    <w:p w14:paraId="0BD74132" w14:textId="77777777" w:rsidR="00B14746" w:rsidRPr="00781112" w:rsidRDefault="00B14746" w:rsidP="00286BDF">
      <w:pPr>
        <w:rPr>
          <w:rFonts w:cs="Arial"/>
          <w:i/>
          <w:iCs/>
          <w:color w:val="000000" w:themeColor="text1"/>
          <w:szCs w:val="16"/>
        </w:rPr>
      </w:pPr>
      <w:r w:rsidRPr="00781112">
        <w:rPr>
          <w:rFonts w:cs="Arial"/>
          <w:i/>
          <w:iCs/>
          <w:color w:val="000000" w:themeColor="text1"/>
          <w:szCs w:val="16"/>
        </w:rPr>
        <w:t>Sampling is not allowed.</w:t>
      </w:r>
    </w:p>
    <w:p w14:paraId="5BECBFE1" w14:textId="77777777" w:rsidR="00B14746" w:rsidRPr="00781112" w:rsidRDefault="00B14746"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2489F4BB" w14:textId="77777777" w:rsidR="00B14746" w:rsidRPr="00781112" w:rsidRDefault="00B14746" w:rsidP="00286BDF">
      <w:pPr>
        <w:rPr>
          <w:rFonts w:cs="Arial"/>
          <w:color w:val="000000" w:themeColor="text1"/>
          <w:szCs w:val="16"/>
        </w:rPr>
      </w:pPr>
      <w:r w:rsidRPr="00781112">
        <w:rPr>
          <w:rFonts w:cs="Arial"/>
          <w:color w:val="000000" w:themeColor="text1"/>
          <w:szCs w:val="16"/>
        </w:rPr>
        <w:t>States are not required to establish baselines or targets if the number of resolution sessions is less than 10. In a reporting period when the number of resolution sessions reaches 10 or greater, develop baseline and targets and report on them in the corresponding SPP/APR.</w:t>
      </w:r>
    </w:p>
    <w:p w14:paraId="5B7E632D" w14:textId="77777777" w:rsidR="00B14746" w:rsidRPr="00781112" w:rsidRDefault="00B14746" w:rsidP="00286BDF">
      <w:pPr>
        <w:rPr>
          <w:rFonts w:cs="Arial"/>
          <w:color w:val="000000" w:themeColor="text1"/>
          <w:szCs w:val="16"/>
        </w:rPr>
      </w:pPr>
      <w:r w:rsidRPr="00781112">
        <w:rPr>
          <w:rFonts w:cs="Arial"/>
          <w:color w:val="000000" w:themeColor="text1"/>
          <w:szCs w:val="16"/>
        </w:rPr>
        <w:t>States may express their targets in a range (e.g., 75-85%).</w:t>
      </w:r>
    </w:p>
    <w:p w14:paraId="1AAFACDC" w14:textId="77777777" w:rsidR="00B14746" w:rsidRPr="00781112" w:rsidRDefault="00B14746" w:rsidP="00286BDF">
      <w:pPr>
        <w:rPr>
          <w:rFonts w:cs="Arial"/>
          <w:color w:val="000000" w:themeColor="text1"/>
          <w:szCs w:val="16"/>
        </w:rPr>
      </w:pPr>
      <w:r w:rsidRPr="00781112">
        <w:rPr>
          <w:rFonts w:cs="Arial"/>
          <w:color w:val="000000" w:themeColor="text1"/>
          <w:szCs w:val="16"/>
        </w:rPr>
        <w:t>If the data reported in this indicator are not the same as the State’s data under IDEA section 618, explain.</w:t>
      </w:r>
    </w:p>
    <w:p w14:paraId="608742E5" w14:textId="77777777" w:rsidR="00B14746" w:rsidRPr="00781112" w:rsidRDefault="00B14746" w:rsidP="00286BDF">
      <w:pPr>
        <w:rPr>
          <w:rFonts w:cs="Arial"/>
          <w:color w:val="000000" w:themeColor="text1"/>
          <w:szCs w:val="16"/>
        </w:rPr>
      </w:pPr>
      <w:r w:rsidRPr="00781112">
        <w:rPr>
          <w:rFonts w:cs="Arial"/>
          <w:color w:val="000000" w:themeColor="text1"/>
          <w:szCs w:val="16"/>
        </w:rPr>
        <w:t>States are not required to report data at the LEA level.</w:t>
      </w:r>
    </w:p>
    <w:p w14:paraId="401E3644" w14:textId="77777777" w:rsidR="00575F02" w:rsidRPr="00781112" w:rsidRDefault="00DF2D3A" w:rsidP="00123D76">
      <w:pPr>
        <w:pStyle w:val="Heading2"/>
      </w:pPr>
      <w:r w:rsidRPr="00781112">
        <w:t>15</w:t>
      </w:r>
      <w:r w:rsidR="001D508D" w:rsidRPr="00781112">
        <w:t xml:space="preserve"> </w:t>
      </w:r>
      <w:r w:rsidRPr="00781112">
        <w:t xml:space="preserve">- </w:t>
      </w:r>
      <w:r w:rsidR="00575F02" w:rsidRPr="00781112">
        <w:t>Indicator Data</w:t>
      </w:r>
    </w:p>
    <w:p w14:paraId="621497D5" w14:textId="77777777" w:rsidR="004A33CD" w:rsidRPr="00781112" w:rsidRDefault="00E31E29" w:rsidP="004A33CD">
      <w:pPr>
        <w:rPr>
          <w:rFonts w:cs="Arial"/>
          <w:color w:val="000000" w:themeColor="text1"/>
          <w:szCs w:val="16"/>
        </w:rPr>
      </w:pPr>
      <w:r w:rsidRPr="00781112">
        <w:rPr>
          <w:rFonts w:cs="Arial"/>
          <w:color w:val="000000" w:themeColor="text1"/>
          <w:szCs w:val="16"/>
        </w:rPr>
        <w:t>Select yes to use target ranges</w:t>
      </w:r>
    </w:p>
    <w:p w14:paraId="4B11AB02" w14:textId="77777777" w:rsidR="004A33CD" w:rsidRPr="00781112" w:rsidRDefault="004A33CD" w:rsidP="004369B2">
      <w:pPr>
        <w:rPr>
          <w:color w:val="000000" w:themeColor="text1"/>
        </w:rPr>
      </w:pPr>
      <w:r w:rsidRPr="00781112">
        <w:rPr>
          <w:rFonts w:cs="Arial"/>
          <w:color w:val="000000" w:themeColor="text1"/>
          <w:szCs w:val="16"/>
        </w:rPr>
        <w:t>Target Range not used</w:t>
      </w:r>
    </w:p>
    <w:bookmarkEnd w:id="90"/>
    <w:bookmarkEnd w:id="91"/>
    <w:p w14:paraId="7FDA4364" w14:textId="77777777" w:rsidR="00CE0C68" w:rsidRPr="00781112" w:rsidRDefault="00CE0C68" w:rsidP="004369B2">
      <w:pPr>
        <w:rPr>
          <w:color w:val="000000" w:themeColor="text1"/>
        </w:rPr>
      </w:pPr>
    </w:p>
    <w:p w14:paraId="73584118" w14:textId="77777777" w:rsidR="00372DF8" w:rsidRPr="00781112" w:rsidRDefault="00372DF8"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15PREPOPDATA"/>
      </w:tblPr>
      <w:tblGrid>
        <w:gridCol w:w="2605"/>
        <w:gridCol w:w="2700"/>
        <w:gridCol w:w="3571"/>
        <w:gridCol w:w="1914"/>
      </w:tblGrid>
      <w:tr w:rsidR="005C29F8" w:rsidRPr="00781112" w14:paraId="4992067F" w14:textId="77777777" w:rsidTr="00AB0D6A">
        <w:trPr>
          <w:trHeight w:val="372"/>
          <w:tblHeader/>
        </w:trPr>
        <w:tc>
          <w:tcPr>
            <w:tcW w:w="1207" w:type="pct"/>
          </w:tcPr>
          <w:p w14:paraId="1BC639F8"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Source</w:t>
            </w:r>
          </w:p>
        </w:tc>
        <w:tc>
          <w:tcPr>
            <w:tcW w:w="1251" w:type="pct"/>
          </w:tcPr>
          <w:p w14:paraId="1EAAA980"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Date</w:t>
            </w:r>
          </w:p>
        </w:tc>
        <w:tc>
          <w:tcPr>
            <w:tcW w:w="1655" w:type="pct"/>
          </w:tcPr>
          <w:p w14:paraId="14355524"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Description</w:t>
            </w:r>
          </w:p>
        </w:tc>
        <w:tc>
          <w:tcPr>
            <w:tcW w:w="887" w:type="pct"/>
          </w:tcPr>
          <w:p w14:paraId="5D0FFE0C"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683B48AD" w14:textId="77777777" w:rsidTr="00AB0D6A">
        <w:trPr>
          <w:trHeight w:val="380"/>
        </w:trPr>
        <w:tc>
          <w:tcPr>
            <w:tcW w:w="1207" w:type="pct"/>
          </w:tcPr>
          <w:p w14:paraId="021024CF" w14:textId="77777777" w:rsidR="001126C3" w:rsidRPr="00781112" w:rsidRDefault="002B7490" w:rsidP="001126C3">
            <w:pPr>
              <w:jc w:val="center"/>
              <w:rPr>
                <w:rFonts w:cs="Arial"/>
                <w:color w:val="000000" w:themeColor="text1"/>
                <w:szCs w:val="16"/>
              </w:rPr>
            </w:pPr>
            <w:r w:rsidRPr="00781112">
              <w:rPr>
                <w:rFonts w:cs="Arial"/>
                <w:color w:val="000000" w:themeColor="text1"/>
                <w:szCs w:val="16"/>
              </w:rPr>
              <w:t>SY 2024-25 IDEA Part B Dispute Resolution - Due Process Complaints (</w:t>
            </w:r>
            <w:proofErr w:type="spellStart"/>
            <w:r w:rsidRPr="00781112">
              <w:rPr>
                <w:rFonts w:cs="Arial"/>
                <w:color w:val="000000" w:themeColor="text1"/>
                <w:szCs w:val="16"/>
              </w:rPr>
              <w:t>EDFacts</w:t>
            </w:r>
            <w:proofErr w:type="spellEnd"/>
            <w:r w:rsidRPr="00781112">
              <w:rPr>
                <w:rFonts w:cs="Arial"/>
                <w:color w:val="000000" w:themeColor="text1"/>
                <w:szCs w:val="16"/>
              </w:rPr>
              <w:t xml:space="preserve"> file spec FS229; Data group 896)</w:t>
            </w:r>
          </w:p>
        </w:tc>
        <w:tc>
          <w:tcPr>
            <w:tcW w:w="1251" w:type="pct"/>
          </w:tcPr>
          <w:p w14:paraId="4060D78A" w14:textId="77777777" w:rsidR="001126C3" w:rsidRPr="00781112" w:rsidRDefault="008174C3" w:rsidP="001126C3">
            <w:pPr>
              <w:jc w:val="center"/>
              <w:rPr>
                <w:rFonts w:cs="Arial"/>
                <w:color w:val="000000" w:themeColor="text1"/>
                <w:szCs w:val="16"/>
              </w:rPr>
            </w:pPr>
            <w:r w:rsidRPr="00781112">
              <w:rPr>
                <w:rFonts w:cs="Arial"/>
                <w:color w:val="000000" w:themeColor="text1"/>
                <w:szCs w:val="16"/>
              </w:rPr>
              <w:t>11/19/2025</w:t>
            </w:r>
          </w:p>
        </w:tc>
        <w:tc>
          <w:tcPr>
            <w:tcW w:w="1655" w:type="pct"/>
          </w:tcPr>
          <w:p w14:paraId="5E39A7C5" w14:textId="77777777" w:rsidR="001126C3" w:rsidRPr="00781112" w:rsidRDefault="001126C3" w:rsidP="001126C3">
            <w:pPr>
              <w:rPr>
                <w:rFonts w:cs="Arial"/>
                <w:color w:val="000000" w:themeColor="text1"/>
                <w:szCs w:val="16"/>
              </w:rPr>
            </w:pPr>
            <w:r w:rsidRPr="00781112">
              <w:rPr>
                <w:rFonts w:cs="Arial"/>
                <w:color w:val="000000" w:themeColor="text1"/>
                <w:szCs w:val="16"/>
              </w:rPr>
              <w:t>3.1 Number of resolution sessions</w:t>
            </w:r>
          </w:p>
        </w:tc>
        <w:tc>
          <w:tcPr>
            <w:tcW w:w="887" w:type="pct"/>
          </w:tcPr>
          <w:p w14:paraId="64E60ADA" w14:textId="77777777" w:rsidR="001126C3" w:rsidRPr="00781112" w:rsidRDefault="002B7490" w:rsidP="00A018D4">
            <w:pPr>
              <w:jc w:val="center"/>
              <w:rPr>
                <w:rFonts w:cs="Arial"/>
                <w:color w:val="000000" w:themeColor="text1"/>
                <w:szCs w:val="16"/>
              </w:rPr>
            </w:pPr>
            <w:r w:rsidRPr="00781112">
              <w:rPr>
                <w:rFonts w:cs="Arial"/>
                <w:color w:val="000000" w:themeColor="text1"/>
                <w:szCs w:val="16"/>
              </w:rPr>
              <w:t>11</w:t>
            </w:r>
          </w:p>
        </w:tc>
      </w:tr>
      <w:tr w:rsidR="005C29F8" w:rsidRPr="00781112" w14:paraId="19430D55" w14:textId="77777777" w:rsidTr="00AB0D6A">
        <w:trPr>
          <w:trHeight w:val="380"/>
        </w:trPr>
        <w:tc>
          <w:tcPr>
            <w:tcW w:w="1207" w:type="pct"/>
          </w:tcPr>
          <w:p w14:paraId="455FFBE0" w14:textId="77777777" w:rsidR="001126C3" w:rsidRPr="00781112" w:rsidRDefault="008174C3" w:rsidP="001126C3">
            <w:pPr>
              <w:jc w:val="center"/>
              <w:rPr>
                <w:rFonts w:cs="Arial"/>
                <w:color w:val="000000" w:themeColor="text1"/>
                <w:szCs w:val="16"/>
              </w:rPr>
            </w:pPr>
            <w:r w:rsidRPr="00781112">
              <w:rPr>
                <w:rFonts w:cs="Arial"/>
                <w:color w:val="000000" w:themeColor="text1"/>
                <w:szCs w:val="16"/>
              </w:rPr>
              <w:t>SY 2024-25 IDEA Part B Dispute Resolution - Due Process Complaints (</w:t>
            </w:r>
            <w:proofErr w:type="spellStart"/>
            <w:r w:rsidRPr="00781112">
              <w:rPr>
                <w:rFonts w:cs="Arial"/>
                <w:color w:val="000000" w:themeColor="text1"/>
                <w:szCs w:val="16"/>
              </w:rPr>
              <w:t>EDFacts</w:t>
            </w:r>
            <w:proofErr w:type="spellEnd"/>
            <w:r w:rsidRPr="00781112">
              <w:rPr>
                <w:rFonts w:cs="Arial"/>
                <w:color w:val="000000" w:themeColor="text1"/>
                <w:szCs w:val="16"/>
              </w:rPr>
              <w:t xml:space="preserve"> file spec FS229; Data group 896)</w:t>
            </w:r>
          </w:p>
        </w:tc>
        <w:tc>
          <w:tcPr>
            <w:tcW w:w="1251" w:type="pct"/>
          </w:tcPr>
          <w:p w14:paraId="0E4E90DA" w14:textId="77777777" w:rsidR="001126C3" w:rsidRPr="00781112" w:rsidRDefault="008174C3" w:rsidP="001126C3">
            <w:pPr>
              <w:jc w:val="center"/>
              <w:rPr>
                <w:rFonts w:cs="Arial"/>
                <w:color w:val="000000" w:themeColor="text1"/>
                <w:szCs w:val="16"/>
              </w:rPr>
            </w:pPr>
            <w:r w:rsidRPr="00781112">
              <w:rPr>
                <w:rFonts w:cs="Arial"/>
                <w:color w:val="000000" w:themeColor="text1"/>
                <w:szCs w:val="16"/>
              </w:rPr>
              <w:t>11/19/2025</w:t>
            </w:r>
          </w:p>
        </w:tc>
        <w:tc>
          <w:tcPr>
            <w:tcW w:w="1655" w:type="pct"/>
          </w:tcPr>
          <w:p w14:paraId="7717B1D1" w14:textId="77777777" w:rsidR="001126C3" w:rsidRPr="00781112" w:rsidRDefault="001126C3" w:rsidP="001126C3">
            <w:pPr>
              <w:rPr>
                <w:rFonts w:cs="Arial"/>
                <w:color w:val="000000" w:themeColor="text1"/>
                <w:szCs w:val="16"/>
              </w:rPr>
            </w:pPr>
            <w:r w:rsidRPr="00781112">
              <w:rPr>
                <w:rFonts w:cs="Arial"/>
                <w:color w:val="000000" w:themeColor="text1"/>
                <w:szCs w:val="16"/>
              </w:rPr>
              <w:t>3.1(a) Number resolution sessions resolved through settlement agreements</w:t>
            </w:r>
          </w:p>
        </w:tc>
        <w:tc>
          <w:tcPr>
            <w:tcW w:w="887" w:type="pct"/>
          </w:tcPr>
          <w:p w14:paraId="630D88B9" w14:textId="77777777" w:rsidR="001126C3" w:rsidRPr="00781112" w:rsidRDefault="002B7490" w:rsidP="00A018D4">
            <w:pPr>
              <w:jc w:val="center"/>
              <w:rPr>
                <w:rFonts w:cs="Arial"/>
                <w:color w:val="000000" w:themeColor="text1"/>
                <w:szCs w:val="16"/>
              </w:rPr>
            </w:pPr>
            <w:r w:rsidRPr="00781112">
              <w:rPr>
                <w:rFonts w:cs="Arial"/>
                <w:color w:val="000000" w:themeColor="text1"/>
                <w:szCs w:val="16"/>
              </w:rPr>
              <w:t>11</w:t>
            </w:r>
          </w:p>
        </w:tc>
      </w:tr>
    </w:tbl>
    <w:p w14:paraId="3C632D7A" w14:textId="77777777" w:rsidR="004A33CD" w:rsidRPr="00781112" w:rsidRDefault="00E31E29">
      <w:pPr>
        <w:rPr>
          <w:b/>
          <w:color w:val="000000" w:themeColor="text1"/>
        </w:rPr>
      </w:pPr>
      <w:bookmarkStart w:id="92" w:name="_Toc382731913"/>
      <w:bookmarkStart w:id="93" w:name="_Toc392159341"/>
      <w:r w:rsidRPr="00781112">
        <w:rPr>
          <w:b/>
          <w:color w:val="000000" w:themeColor="text1"/>
        </w:rPr>
        <w:t>Select yes if the data reported in this indicator are not the same as the State’s data reported under section 618 of the IDEA.</w:t>
      </w:r>
    </w:p>
    <w:p w14:paraId="43D4729E" w14:textId="77777777" w:rsidR="004A33CD" w:rsidRPr="00781112" w:rsidRDefault="004A33CD">
      <w:pPr>
        <w:rPr>
          <w:color w:val="000000" w:themeColor="text1"/>
        </w:rPr>
      </w:pPr>
      <w:r w:rsidRPr="00781112">
        <w:rPr>
          <w:color w:val="000000" w:themeColor="text1"/>
        </w:rPr>
        <w:t>NO</w:t>
      </w:r>
    </w:p>
    <w:p w14:paraId="483DF44F" w14:textId="77777777" w:rsidR="000657A8" w:rsidRPr="00781112" w:rsidRDefault="000657A8" w:rsidP="004369B2">
      <w:pPr>
        <w:rPr>
          <w:color w:val="000000" w:themeColor="text1"/>
        </w:rPr>
      </w:pPr>
    </w:p>
    <w:p w14:paraId="0BD25D88" w14:textId="77777777" w:rsidR="000A2C83" w:rsidRPr="00781112" w:rsidRDefault="000A2C83" w:rsidP="004369B2">
      <w:pPr>
        <w:rPr>
          <w:b/>
          <w:color w:val="000000" w:themeColor="text1"/>
        </w:rPr>
      </w:pPr>
      <w:r w:rsidRPr="00781112">
        <w:rPr>
          <w:b/>
          <w:color w:val="000000" w:themeColor="text1"/>
        </w:rPr>
        <w:t xml:space="preserve">Targets: Description of Stakeholder Input </w:t>
      </w:r>
    </w:p>
    <w:p w14:paraId="205AF44A" w14:textId="77777777" w:rsidR="000A2C83" w:rsidRPr="00781112" w:rsidRDefault="002B7490" w:rsidP="000A2C83">
      <w:pPr>
        <w:rPr>
          <w:rFonts w:cs="Arial"/>
          <w:color w:val="000000" w:themeColor="text1"/>
          <w:szCs w:val="16"/>
        </w:rPr>
      </w:pPr>
      <w:r w:rsidRPr="00781112">
        <w:rPr>
          <w:rFonts w:cs="Arial"/>
          <w:color w:val="000000" w:themeColor="text1"/>
          <w:szCs w:val="16"/>
        </w:rPr>
        <w:t>WVDE/OSE maintains robust stakeholder engagement through multiple communication and collaboration channels:</w:t>
      </w:r>
    </w:p>
    <w:p w14:paraId="5C5A721B" w14:textId="77777777" w:rsidR="00CA787A" w:rsidRDefault="003169E9">
      <w:r>
        <w:rPr>
          <w:color w:val="000000"/>
        </w:rPr>
        <w:t>*DIRECT COMMUNICATION/CONSULTATION*</w:t>
      </w:r>
    </w:p>
    <w:p w14:paraId="14D84AA1" w14:textId="77777777" w:rsidR="00CA787A" w:rsidRDefault="003169E9">
      <w:r>
        <w:rPr>
          <w:color w:val="000000"/>
        </w:rPr>
        <w:t>—Engaging in one-on-one calls with parents, advocates, educators, and community stakeholders.</w:t>
      </w:r>
    </w:p>
    <w:p w14:paraId="48B3CDA4" w14:textId="77777777" w:rsidR="00CA787A" w:rsidRDefault="003169E9">
      <w:r>
        <w:rPr>
          <w:color w:val="000000"/>
        </w:rPr>
        <w:t>—Distributing emails and surveys to solicit input from diverse stakeholder groups.</w:t>
      </w:r>
    </w:p>
    <w:p w14:paraId="34E4ED89" w14:textId="77777777" w:rsidR="00CA787A" w:rsidRDefault="003169E9">
      <w:r>
        <w:rPr>
          <w:color w:val="000000"/>
        </w:rPr>
        <w:t>—Hosting bi-monthly secondary transition office hours to address Indicator 13 compliance and results, and to provide technical assistance for IEP development.</w:t>
      </w:r>
    </w:p>
    <w:p w14:paraId="4D797C42" w14:textId="77777777" w:rsidR="00CA787A" w:rsidRDefault="003169E9">
      <w:r>
        <w:rPr>
          <w:color w:val="000000"/>
        </w:rPr>
        <w:t>—Monthly virtual meetings with stakeholders to identify and troubleshoot areas of concern throughout the state.</w:t>
      </w:r>
    </w:p>
    <w:p w14:paraId="48A0C180" w14:textId="77777777" w:rsidR="00CA787A" w:rsidRDefault="003169E9">
      <w:r>
        <w:rPr>
          <w:color w:val="000000"/>
        </w:rPr>
        <w:t>*INFORMATION SHARING*</w:t>
      </w:r>
    </w:p>
    <w:p w14:paraId="5A2C16F4" w14:textId="77777777" w:rsidR="00CA787A" w:rsidRDefault="003169E9">
      <w:r>
        <w:rPr>
          <w:color w:val="000000"/>
        </w:rPr>
        <w:t>—Utilizing a dedicated Microsoft Teams platform for communication with LEAs.</w:t>
      </w:r>
    </w:p>
    <w:p w14:paraId="6879651B" w14:textId="77777777" w:rsidR="00CA787A" w:rsidRDefault="003169E9">
      <w:r>
        <w:rPr>
          <w:color w:val="000000"/>
        </w:rPr>
        <w:t>—Maintaining a public input form on the WVDE website specifically for SSIP feedback.</w:t>
      </w:r>
    </w:p>
    <w:p w14:paraId="1428AE2E" w14:textId="77777777" w:rsidR="00CA787A" w:rsidRDefault="003169E9">
      <w:r>
        <w:rPr>
          <w:color w:val="000000"/>
        </w:rPr>
        <w:t xml:space="preserve">—Collecting input from parents, students, and school personnel as required components of monitoring activities. </w:t>
      </w:r>
    </w:p>
    <w:p w14:paraId="77AEC75D" w14:textId="77777777" w:rsidR="00CA787A" w:rsidRDefault="003169E9">
      <w:r>
        <w:rPr>
          <w:color w:val="000000"/>
        </w:rPr>
        <w:t>—Facilitating cross-office communication and coordination on general and special education initiatives.</w:t>
      </w:r>
    </w:p>
    <w:p w14:paraId="072344E2" w14:textId="77777777" w:rsidR="00CA787A" w:rsidRDefault="003169E9">
      <w:r>
        <w:rPr>
          <w:color w:val="000000"/>
        </w:rPr>
        <w:t>*COLLABORATIVE PARTNERSHIPS*</w:t>
      </w:r>
    </w:p>
    <w:p w14:paraId="6F163C95" w14:textId="77777777" w:rsidR="00CA787A" w:rsidRDefault="003169E9">
      <w:r>
        <w:rPr>
          <w:color w:val="000000"/>
        </w:rPr>
        <w:t>—Engaging in ongoing meetings and interagency teams dedicated to enhancing outcomes for individuals with disabilities.</w:t>
      </w:r>
    </w:p>
    <w:p w14:paraId="431F1FF5" w14:textId="77777777" w:rsidR="00CA787A" w:rsidRDefault="003169E9">
      <w:r>
        <w:rPr>
          <w:color w:val="000000"/>
        </w:rPr>
        <w:t>—Ensuring the state director's active participation in all WVACEEC meetings, including involvement in sessions, capacity-building efforts, and feedback collection from LEAs, parents, and community organizations.</w:t>
      </w:r>
    </w:p>
    <w:p w14:paraId="1C19CF5A" w14:textId="77777777" w:rsidR="00CA787A" w:rsidRDefault="003169E9">
      <w:r>
        <w:rPr>
          <w:color w:val="000000"/>
        </w:rPr>
        <w:t>—Maintaining regular meetings and collaborative relationships with legislators, advocacy organizations, educator associations, and other stakeholders to strengthen stakeholder knowledge of IDEA procedures, improve SEA-stakeholder dialogue, and collaboratively develop strategies for ongoing improvement toward special education goals (e.g., the Developmental Disability Council (DD Council), Statewide Independent Living Council (SILC), State Rehabilitation Council (SRC), Employment First Task Force, Olmstead Council).</w:t>
      </w:r>
    </w:p>
    <w:p w14:paraId="25345EE7" w14:textId="77777777" w:rsidR="000A2C83" w:rsidRPr="00781112" w:rsidRDefault="002B7490" w:rsidP="000A2C83">
      <w:pPr>
        <w:rPr>
          <w:rFonts w:cs="Arial"/>
          <w:color w:val="000000" w:themeColor="text1"/>
          <w:szCs w:val="16"/>
        </w:rPr>
      </w:pPr>
      <w:r w:rsidRPr="00781112">
        <w:rPr>
          <w:rFonts w:cs="Arial"/>
          <w:color w:val="000000" w:themeColor="text1"/>
          <w:szCs w:val="16"/>
        </w:rPr>
        <w:t xml:space="preserve">Stakeholders did not express interest in revising the Resolution Sessions targets during any meetings throughout the reporting period; however, WVDE/OSE is open to hearing and addressing any potential concerns or recommendations that stakeholders may have regarding these targets. </w:t>
      </w:r>
    </w:p>
    <w:bookmarkEnd w:id="92"/>
    <w:bookmarkEnd w:id="93"/>
    <w:p w14:paraId="65298807" w14:textId="77777777" w:rsidR="00CE0C68" w:rsidRPr="00781112" w:rsidRDefault="00CE0C68" w:rsidP="00127006">
      <w:pPr>
        <w:pStyle w:val="Bold"/>
        <w:rPr>
          <w:color w:val="000000" w:themeColor="text1"/>
        </w:rPr>
      </w:pPr>
    </w:p>
    <w:p w14:paraId="055452A8" w14:textId="77777777"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5BASELINEDATA"/>
      </w:tblPr>
      <w:tblGrid>
        <w:gridCol w:w="1797"/>
        <w:gridCol w:w="1798"/>
      </w:tblGrid>
      <w:tr w:rsidR="00956DFE" w:rsidRPr="00781112" w14:paraId="3CD32F13" w14:textId="77777777" w:rsidTr="00123D76">
        <w:trPr>
          <w:trHeight w:val="311"/>
          <w:tblHeader/>
        </w:trPr>
        <w:tc>
          <w:tcPr>
            <w:tcW w:w="1797" w:type="dxa"/>
          </w:tcPr>
          <w:p w14:paraId="0EF3AFE8" w14:textId="77777777" w:rsidR="00956DFE" w:rsidRPr="00781112" w:rsidRDefault="00956DFE" w:rsidP="00123D76">
            <w:pPr>
              <w:jc w:val="center"/>
              <w:rPr>
                <w:b/>
                <w:color w:val="000000" w:themeColor="text1"/>
              </w:rPr>
            </w:pPr>
            <w:r w:rsidRPr="00781112">
              <w:rPr>
                <w:rFonts w:cs="Arial"/>
                <w:b/>
                <w:color w:val="000000" w:themeColor="text1"/>
                <w:szCs w:val="16"/>
              </w:rPr>
              <w:lastRenderedPageBreak/>
              <w:t>Baseline Year</w:t>
            </w:r>
          </w:p>
        </w:tc>
        <w:tc>
          <w:tcPr>
            <w:tcW w:w="1798" w:type="dxa"/>
          </w:tcPr>
          <w:p w14:paraId="35B00597" w14:textId="77777777" w:rsidR="00956DFE" w:rsidRPr="00781112" w:rsidRDefault="00956DFE" w:rsidP="00123D76">
            <w:pPr>
              <w:jc w:val="center"/>
              <w:rPr>
                <w:b/>
                <w:color w:val="000000" w:themeColor="text1"/>
              </w:rPr>
            </w:pPr>
            <w:r w:rsidRPr="00781112">
              <w:rPr>
                <w:b/>
                <w:color w:val="000000" w:themeColor="text1"/>
              </w:rPr>
              <w:t>Baseline Data</w:t>
            </w:r>
          </w:p>
        </w:tc>
      </w:tr>
      <w:tr w:rsidR="00956DFE" w:rsidRPr="00781112" w14:paraId="6947189E" w14:textId="77777777" w:rsidTr="00123D76">
        <w:trPr>
          <w:trHeight w:val="311"/>
        </w:trPr>
        <w:tc>
          <w:tcPr>
            <w:tcW w:w="1797" w:type="dxa"/>
            <w:vAlign w:val="center"/>
          </w:tcPr>
          <w:p w14:paraId="0CC1AEBE" w14:textId="77777777" w:rsidR="00956DFE" w:rsidRPr="00781112" w:rsidRDefault="00956DFE" w:rsidP="00123D76">
            <w:pPr>
              <w:jc w:val="center"/>
              <w:rPr>
                <w:bCs/>
                <w:color w:val="000000" w:themeColor="text1"/>
              </w:rPr>
            </w:pPr>
            <w:r w:rsidRPr="00781112">
              <w:rPr>
                <w:bCs/>
                <w:color w:val="000000" w:themeColor="text1"/>
              </w:rPr>
              <w:t>2019</w:t>
            </w:r>
          </w:p>
        </w:tc>
        <w:tc>
          <w:tcPr>
            <w:tcW w:w="1798" w:type="dxa"/>
            <w:vAlign w:val="center"/>
          </w:tcPr>
          <w:p w14:paraId="7D596365" w14:textId="77777777" w:rsidR="00956DFE" w:rsidRPr="00781112" w:rsidRDefault="00956DFE" w:rsidP="00123D76">
            <w:pPr>
              <w:jc w:val="center"/>
              <w:rPr>
                <w:bCs/>
                <w:color w:val="000000" w:themeColor="text1"/>
              </w:rPr>
            </w:pPr>
            <w:r w:rsidRPr="00781112">
              <w:rPr>
                <w:bCs/>
                <w:color w:val="000000" w:themeColor="text1"/>
              </w:rPr>
              <w:t>75.00%</w:t>
            </w:r>
          </w:p>
        </w:tc>
      </w:tr>
    </w:tbl>
    <w:p w14:paraId="67885A36" w14:textId="77777777" w:rsidR="00956DFE" w:rsidRPr="00781112" w:rsidRDefault="00956DFE"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5HISTDATA"/>
      </w:tblPr>
      <w:tblGrid>
        <w:gridCol w:w="1798"/>
        <w:gridCol w:w="1798"/>
        <w:gridCol w:w="1798"/>
        <w:gridCol w:w="1798"/>
        <w:gridCol w:w="1798"/>
        <w:gridCol w:w="1800"/>
      </w:tblGrid>
      <w:tr w:rsidR="005C29F8" w:rsidRPr="00781112" w14:paraId="5BCD343F" w14:textId="77777777" w:rsidTr="004B2960">
        <w:trPr>
          <w:trHeight w:val="350"/>
        </w:trPr>
        <w:tc>
          <w:tcPr>
            <w:tcW w:w="833" w:type="pct"/>
            <w:tcBorders>
              <w:bottom w:val="single" w:sz="4" w:space="0" w:color="auto"/>
            </w:tcBorders>
          </w:tcPr>
          <w:p w14:paraId="74F9AA46" w14:textId="77777777" w:rsidR="00206890" w:rsidRPr="00781112" w:rsidRDefault="00206890" w:rsidP="004369B2">
            <w:pPr>
              <w:jc w:val="center"/>
              <w:rPr>
                <w:rFonts w:cs="Arial"/>
                <w:b/>
                <w:color w:val="000000" w:themeColor="text1"/>
                <w:szCs w:val="16"/>
              </w:rPr>
            </w:pPr>
            <w:r w:rsidRPr="00781112">
              <w:rPr>
                <w:rFonts w:cs="Arial"/>
                <w:b/>
                <w:color w:val="000000" w:themeColor="text1"/>
                <w:szCs w:val="16"/>
              </w:rPr>
              <w:t>FFY</w:t>
            </w:r>
          </w:p>
        </w:tc>
        <w:tc>
          <w:tcPr>
            <w:tcW w:w="833" w:type="pct"/>
          </w:tcPr>
          <w:p w14:paraId="29062569" w14:textId="77777777" w:rsidR="00206890"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33" w:type="pct"/>
          </w:tcPr>
          <w:p w14:paraId="6BD5E8DC" w14:textId="77777777" w:rsidR="00206890"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833" w:type="pct"/>
          </w:tcPr>
          <w:p w14:paraId="08533736" w14:textId="77777777" w:rsidR="00206890" w:rsidRPr="00781112" w:rsidRDefault="002B7490" w:rsidP="008E31C4">
            <w:pPr>
              <w:jc w:val="center"/>
              <w:rPr>
                <w:rFonts w:cs="Arial"/>
                <w:b/>
                <w:color w:val="000000" w:themeColor="text1"/>
                <w:szCs w:val="16"/>
              </w:rPr>
            </w:pPr>
            <w:r w:rsidRPr="00781112">
              <w:rPr>
                <w:rFonts w:cs="Arial"/>
                <w:b/>
                <w:color w:val="000000" w:themeColor="text1"/>
                <w:szCs w:val="16"/>
              </w:rPr>
              <w:t>2021</w:t>
            </w:r>
          </w:p>
        </w:tc>
        <w:tc>
          <w:tcPr>
            <w:tcW w:w="833" w:type="pct"/>
          </w:tcPr>
          <w:p w14:paraId="7B79CCAF" w14:textId="77777777" w:rsidR="00206890" w:rsidRPr="00781112" w:rsidRDefault="002B7490" w:rsidP="008E31C4">
            <w:pPr>
              <w:jc w:val="center"/>
              <w:rPr>
                <w:rFonts w:cs="Arial"/>
                <w:b/>
                <w:color w:val="000000" w:themeColor="text1"/>
                <w:szCs w:val="16"/>
              </w:rPr>
            </w:pPr>
            <w:r w:rsidRPr="00781112">
              <w:rPr>
                <w:rFonts w:cs="Arial"/>
                <w:b/>
                <w:color w:val="000000" w:themeColor="text1"/>
                <w:szCs w:val="16"/>
              </w:rPr>
              <w:t>2022</w:t>
            </w:r>
          </w:p>
        </w:tc>
        <w:tc>
          <w:tcPr>
            <w:tcW w:w="834" w:type="pct"/>
          </w:tcPr>
          <w:p w14:paraId="0AAE4D03" w14:textId="77777777" w:rsidR="00206890" w:rsidRPr="00781112" w:rsidRDefault="002B7490" w:rsidP="008E31C4">
            <w:pPr>
              <w:jc w:val="center"/>
              <w:rPr>
                <w:rFonts w:cs="Arial"/>
                <w:b/>
                <w:color w:val="000000" w:themeColor="text1"/>
                <w:szCs w:val="16"/>
              </w:rPr>
            </w:pPr>
            <w:r w:rsidRPr="00781112">
              <w:rPr>
                <w:rFonts w:cs="Arial"/>
                <w:b/>
                <w:color w:val="000000" w:themeColor="text1"/>
                <w:szCs w:val="16"/>
              </w:rPr>
              <w:t>2023</w:t>
            </w:r>
          </w:p>
        </w:tc>
      </w:tr>
      <w:tr w:rsidR="005C29F8" w:rsidRPr="00781112" w14:paraId="1CE7F214" w14:textId="77777777" w:rsidTr="004B2960">
        <w:trPr>
          <w:trHeight w:val="357"/>
        </w:trPr>
        <w:tc>
          <w:tcPr>
            <w:tcW w:w="833" w:type="pct"/>
          </w:tcPr>
          <w:p w14:paraId="6A5A2BA7" w14:textId="77777777" w:rsidR="00206890" w:rsidRPr="00781112" w:rsidRDefault="00206890" w:rsidP="00BA3DBE">
            <w:pPr>
              <w:jc w:val="center"/>
              <w:rPr>
                <w:rFonts w:cs="Arial"/>
                <w:color w:val="000000" w:themeColor="text1"/>
                <w:szCs w:val="16"/>
              </w:rPr>
            </w:pPr>
            <w:r w:rsidRPr="00781112">
              <w:rPr>
                <w:rFonts w:cs="Arial"/>
                <w:color w:val="000000" w:themeColor="text1"/>
                <w:szCs w:val="16"/>
              </w:rPr>
              <w:t>Target &gt;=</w:t>
            </w:r>
          </w:p>
        </w:tc>
        <w:tc>
          <w:tcPr>
            <w:tcW w:w="833" w:type="pct"/>
          </w:tcPr>
          <w:p w14:paraId="20498C8C" w14:textId="77777777" w:rsidR="00206890" w:rsidRPr="00781112" w:rsidRDefault="002B7490" w:rsidP="00A018D4">
            <w:pPr>
              <w:jc w:val="center"/>
              <w:rPr>
                <w:rFonts w:cs="Arial"/>
                <w:color w:val="000000" w:themeColor="text1"/>
                <w:szCs w:val="16"/>
              </w:rPr>
            </w:pPr>
            <w:r w:rsidRPr="00781112">
              <w:rPr>
                <w:rFonts w:cs="Arial"/>
                <w:color w:val="000000" w:themeColor="text1"/>
                <w:szCs w:val="16"/>
              </w:rPr>
              <w:t>75.00%</w:t>
            </w:r>
          </w:p>
        </w:tc>
        <w:tc>
          <w:tcPr>
            <w:tcW w:w="833" w:type="pct"/>
          </w:tcPr>
          <w:p w14:paraId="40A19965" w14:textId="77777777" w:rsidR="00206890" w:rsidRPr="00781112" w:rsidRDefault="002B7490" w:rsidP="00A018D4">
            <w:pPr>
              <w:jc w:val="center"/>
              <w:rPr>
                <w:rFonts w:cs="Arial"/>
                <w:color w:val="000000" w:themeColor="text1"/>
                <w:szCs w:val="16"/>
              </w:rPr>
            </w:pPr>
            <w:r w:rsidRPr="00781112">
              <w:rPr>
                <w:rFonts w:cs="Arial"/>
                <w:color w:val="000000" w:themeColor="text1"/>
                <w:szCs w:val="16"/>
              </w:rPr>
              <w:t>76.00%</w:t>
            </w:r>
          </w:p>
        </w:tc>
        <w:tc>
          <w:tcPr>
            <w:tcW w:w="833" w:type="pct"/>
            <w:vAlign w:val="center"/>
          </w:tcPr>
          <w:p w14:paraId="12869CEC" w14:textId="77777777" w:rsidR="00206890" w:rsidRPr="00781112" w:rsidRDefault="002B7490" w:rsidP="00A018D4">
            <w:pPr>
              <w:jc w:val="center"/>
              <w:rPr>
                <w:rFonts w:cs="Arial"/>
                <w:color w:val="000000" w:themeColor="text1"/>
                <w:szCs w:val="16"/>
              </w:rPr>
            </w:pPr>
            <w:r w:rsidRPr="00781112">
              <w:rPr>
                <w:rFonts w:cs="Arial"/>
                <w:color w:val="000000" w:themeColor="text1"/>
                <w:szCs w:val="16"/>
              </w:rPr>
              <w:t>76.50%</w:t>
            </w:r>
          </w:p>
        </w:tc>
        <w:tc>
          <w:tcPr>
            <w:tcW w:w="833" w:type="pct"/>
            <w:vAlign w:val="center"/>
          </w:tcPr>
          <w:p w14:paraId="513ECC6B" w14:textId="77777777" w:rsidR="00206890" w:rsidRPr="00781112" w:rsidRDefault="002B7490" w:rsidP="00A018D4">
            <w:pPr>
              <w:jc w:val="center"/>
              <w:rPr>
                <w:rFonts w:cs="Arial"/>
                <w:color w:val="000000" w:themeColor="text1"/>
                <w:szCs w:val="16"/>
              </w:rPr>
            </w:pPr>
            <w:r w:rsidRPr="00781112">
              <w:rPr>
                <w:rFonts w:cs="Arial"/>
                <w:color w:val="000000" w:themeColor="text1"/>
                <w:szCs w:val="16"/>
              </w:rPr>
              <w:t>77.00%</w:t>
            </w:r>
          </w:p>
        </w:tc>
        <w:tc>
          <w:tcPr>
            <w:tcW w:w="834" w:type="pct"/>
            <w:vAlign w:val="center"/>
          </w:tcPr>
          <w:p w14:paraId="71351808" w14:textId="77777777" w:rsidR="00206890" w:rsidRPr="00781112" w:rsidRDefault="002B7490" w:rsidP="00A018D4">
            <w:pPr>
              <w:jc w:val="center"/>
              <w:rPr>
                <w:rFonts w:cs="Arial"/>
                <w:color w:val="000000" w:themeColor="text1"/>
                <w:szCs w:val="16"/>
              </w:rPr>
            </w:pPr>
            <w:r w:rsidRPr="00781112">
              <w:rPr>
                <w:rFonts w:cs="Arial"/>
                <w:color w:val="000000" w:themeColor="text1"/>
                <w:szCs w:val="16"/>
              </w:rPr>
              <w:t>77.50%</w:t>
            </w:r>
          </w:p>
        </w:tc>
      </w:tr>
      <w:tr w:rsidR="005C29F8" w:rsidRPr="00781112" w14:paraId="1936038F" w14:textId="77777777" w:rsidTr="004B2960">
        <w:trPr>
          <w:trHeight w:val="85"/>
        </w:trPr>
        <w:tc>
          <w:tcPr>
            <w:tcW w:w="833" w:type="pct"/>
          </w:tcPr>
          <w:p w14:paraId="093EB6D2" w14:textId="77777777" w:rsidR="00206890" w:rsidRPr="00781112" w:rsidRDefault="00206890" w:rsidP="00BA3DBE">
            <w:pPr>
              <w:jc w:val="center"/>
              <w:rPr>
                <w:rFonts w:cs="Arial"/>
                <w:color w:val="000000" w:themeColor="text1"/>
                <w:szCs w:val="16"/>
              </w:rPr>
            </w:pPr>
            <w:r w:rsidRPr="00781112">
              <w:rPr>
                <w:rFonts w:cs="Arial"/>
                <w:color w:val="000000" w:themeColor="text1"/>
                <w:szCs w:val="16"/>
              </w:rPr>
              <w:t>Data</w:t>
            </w:r>
          </w:p>
        </w:tc>
        <w:tc>
          <w:tcPr>
            <w:tcW w:w="833" w:type="pct"/>
          </w:tcPr>
          <w:p w14:paraId="45F849B1" w14:textId="77777777" w:rsidR="00206890" w:rsidRPr="00781112" w:rsidRDefault="002B7490" w:rsidP="00A018D4">
            <w:pPr>
              <w:jc w:val="center"/>
              <w:rPr>
                <w:rFonts w:cs="Arial"/>
                <w:color w:val="000000" w:themeColor="text1"/>
                <w:szCs w:val="16"/>
              </w:rPr>
            </w:pPr>
            <w:r w:rsidRPr="00781112">
              <w:rPr>
                <w:rFonts w:cs="Arial"/>
                <w:color w:val="000000" w:themeColor="text1"/>
                <w:szCs w:val="16"/>
              </w:rPr>
              <w:t>75.00%</w:t>
            </w:r>
          </w:p>
        </w:tc>
        <w:tc>
          <w:tcPr>
            <w:tcW w:w="833" w:type="pct"/>
          </w:tcPr>
          <w:p w14:paraId="612FD601" w14:textId="77777777" w:rsidR="00206890" w:rsidRPr="00781112" w:rsidRDefault="002B7490" w:rsidP="00A018D4">
            <w:pPr>
              <w:jc w:val="center"/>
              <w:rPr>
                <w:rFonts w:cs="Arial"/>
                <w:color w:val="000000" w:themeColor="text1"/>
                <w:szCs w:val="16"/>
              </w:rPr>
            </w:pPr>
            <w:r w:rsidRPr="00781112">
              <w:rPr>
                <w:rFonts w:cs="Arial"/>
                <w:color w:val="000000" w:themeColor="text1"/>
                <w:szCs w:val="16"/>
              </w:rPr>
              <w:t>100.00%</w:t>
            </w:r>
          </w:p>
        </w:tc>
        <w:tc>
          <w:tcPr>
            <w:tcW w:w="833" w:type="pct"/>
            <w:tcBorders>
              <w:bottom w:val="single" w:sz="4" w:space="0" w:color="auto"/>
            </w:tcBorders>
            <w:vAlign w:val="center"/>
          </w:tcPr>
          <w:p w14:paraId="0331C1E1" w14:textId="77777777" w:rsidR="00206890" w:rsidRPr="00781112" w:rsidRDefault="002B7490" w:rsidP="00A018D4">
            <w:pPr>
              <w:jc w:val="center"/>
              <w:rPr>
                <w:rFonts w:cs="Arial"/>
                <w:color w:val="000000" w:themeColor="text1"/>
                <w:szCs w:val="16"/>
              </w:rPr>
            </w:pPr>
            <w:r w:rsidRPr="00781112">
              <w:rPr>
                <w:rFonts w:cs="Arial"/>
                <w:color w:val="000000" w:themeColor="text1"/>
                <w:szCs w:val="16"/>
              </w:rPr>
              <w:t>100.00%</w:t>
            </w:r>
          </w:p>
        </w:tc>
        <w:tc>
          <w:tcPr>
            <w:tcW w:w="833" w:type="pct"/>
            <w:tcBorders>
              <w:bottom w:val="single" w:sz="4" w:space="0" w:color="auto"/>
            </w:tcBorders>
            <w:vAlign w:val="center"/>
          </w:tcPr>
          <w:p w14:paraId="26E77C3A" w14:textId="77777777" w:rsidR="00206890" w:rsidRPr="00781112" w:rsidRDefault="002B7490" w:rsidP="00A018D4">
            <w:pPr>
              <w:jc w:val="center"/>
              <w:rPr>
                <w:rFonts w:cs="Arial"/>
                <w:color w:val="000000" w:themeColor="text1"/>
                <w:szCs w:val="16"/>
              </w:rPr>
            </w:pPr>
            <w:r w:rsidRPr="00781112">
              <w:rPr>
                <w:rFonts w:cs="Arial"/>
                <w:color w:val="000000" w:themeColor="text1"/>
                <w:szCs w:val="16"/>
              </w:rPr>
              <w:t>100.00%</w:t>
            </w:r>
          </w:p>
        </w:tc>
        <w:tc>
          <w:tcPr>
            <w:tcW w:w="834" w:type="pct"/>
            <w:tcBorders>
              <w:bottom w:val="single" w:sz="4" w:space="0" w:color="auto"/>
            </w:tcBorders>
            <w:vAlign w:val="center"/>
          </w:tcPr>
          <w:p w14:paraId="19958C59" w14:textId="77777777" w:rsidR="00206890" w:rsidRPr="00781112" w:rsidRDefault="002B7490" w:rsidP="00A018D4">
            <w:pPr>
              <w:jc w:val="center"/>
              <w:rPr>
                <w:rFonts w:cs="Arial"/>
                <w:color w:val="000000" w:themeColor="text1"/>
                <w:szCs w:val="16"/>
              </w:rPr>
            </w:pPr>
            <w:r w:rsidRPr="00781112">
              <w:rPr>
                <w:rFonts w:cs="Arial"/>
                <w:color w:val="000000" w:themeColor="text1"/>
                <w:szCs w:val="16"/>
              </w:rPr>
              <w:t>100.00%</w:t>
            </w:r>
          </w:p>
        </w:tc>
      </w:tr>
    </w:tbl>
    <w:p w14:paraId="48333487" w14:textId="77777777" w:rsidR="00CE0C68" w:rsidRPr="00781112" w:rsidRDefault="00CE0C68">
      <w:pPr>
        <w:rPr>
          <w:color w:val="000000" w:themeColor="text1"/>
        </w:rPr>
      </w:pPr>
    </w:p>
    <w:p w14:paraId="6F7305FE" w14:textId="77777777" w:rsidR="00372DF8" w:rsidRPr="00781112" w:rsidRDefault="00372DF8" w:rsidP="004369B2">
      <w:pPr>
        <w:rPr>
          <w:color w:val="000000" w:themeColor="text1"/>
        </w:rPr>
      </w:pPr>
      <w:r w:rsidRPr="00781112">
        <w:rPr>
          <w:b/>
          <w:color w:val="000000" w:themeColor="text1"/>
        </w:rPr>
        <w:t>Targets</w:t>
      </w:r>
    </w:p>
    <w:tbl>
      <w:tblPr>
        <w:tblW w:w="2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TARGETSOPT1"/>
      </w:tblPr>
      <w:tblGrid>
        <w:gridCol w:w="919"/>
        <w:gridCol w:w="2016"/>
        <w:gridCol w:w="1554"/>
      </w:tblGrid>
      <w:tr w:rsidR="008B52D3" w:rsidRPr="00781112" w14:paraId="12CE10AC" w14:textId="77777777" w:rsidTr="00924AD9">
        <w:trPr>
          <w:trHeight w:val="431"/>
        </w:trPr>
        <w:tc>
          <w:tcPr>
            <w:tcW w:w="1023" w:type="pct"/>
            <w:tcBorders>
              <w:bottom w:val="single" w:sz="4" w:space="0" w:color="auto"/>
            </w:tcBorders>
          </w:tcPr>
          <w:p w14:paraId="2AB9D125" w14:textId="77777777" w:rsidR="008B52D3" w:rsidRPr="00781112" w:rsidRDefault="008B52D3" w:rsidP="00AF574F">
            <w:pPr>
              <w:jc w:val="center"/>
              <w:rPr>
                <w:b/>
                <w:color w:val="000000" w:themeColor="text1"/>
              </w:rPr>
            </w:pPr>
            <w:r w:rsidRPr="00781112">
              <w:rPr>
                <w:b/>
                <w:color w:val="000000" w:themeColor="text1"/>
              </w:rPr>
              <w:t>FFY</w:t>
            </w:r>
          </w:p>
        </w:tc>
        <w:tc>
          <w:tcPr>
            <w:tcW w:w="2246" w:type="pct"/>
          </w:tcPr>
          <w:p w14:paraId="35993343" w14:textId="77777777" w:rsidR="008B52D3" w:rsidRPr="00781112" w:rsidRDefault="008B52D3" w:rsidP="00AF574F">
            <w:pPr>
              <w:jc w:val="center"/>
              <w:rPr>
                <w:b/>
                <w:color w:val="000000" w:themeColor="text1"/>
              </w:rPr>
            </w:pPr>
            <w:r w:rsidRPr="00781112">
              <w:rPr>
                <w:b/>
                <w:color w:val="000000" w:themeColor="text1"/>
              </w:rPr>
              <w:t>2024</w:t>
            </w:r>
          </w:p>
        </w:tc>
        <w:tc>
          <w:tcPr>
            <w:tcW w:w="1731" w:type="pct"/>
          </w:tcPr>
          <w:p w14:paraId="51505B5E" w14:textId="77777777" w:rsidR="008B52D3" w:rsidRPr="00781112" w:rsidRDefault="008B52D3" w:rsidP="00AD75EE">
            <w:pPr>
              <w:spacing w:before="0" w:after="200" w:line="276" w:lineRule="auto"/>
              <w:jc w:val="center"/>
            </w:pPr>
            <w:r w:rsidRPr="00781112">
              <w:rPr>
                <w:rFonts w:cs="Arial"/>
                <w:b/>
                <w:color w:val="000000" w:themeColor="text1"/>
                <w:szCs w:val="16"/>
              </w:rPr>
              <w:t>2025</w:t>
            </w:r>
          </w:p>
        </w:tc>
      </w:tr>
      <w:tr w:rsidR="008B52D3" w:rsidRPr="00781112" w14:paraId="0E7FD156" w14:textId="77777777" w:rsidTr="00924AD9">
        <w:trPr>
          <w:trHeight w:val="521"/>
        </w:trPr>
        <w:tc>
          <w:tcPr>
            <w:tcW w:w="1023" w:type="pct"/>
          </w:tcPr>
          <w:p w14:paraId="06626311" w14:textId="77777777" w:rsidR="008B52D3" w:rsidRPr="00781112" w:rsidRDefault="008B52D3" w:rsidP="00BA3DBE">
            <w:pPr>
              <w:jc w:val="center"/>
              <w:rPr>
                <w:rFonts w:cs="Arial"/>
                <w:color w:val="000000" w:themeColor="text1"/>
                <w:szCs w:val="16"/>
              </w:rPr>
            </w:pPr>
            <w:r w:rsidRPr="00781112">
              <w:rPr>
                <w:rFonts w:cs="Arial"/>
                <w:color w:val="000000" w:themeColor="text1"/>
                <w:szCs w:val="16"/>
              </w:rPr>
              <w:t>Target &gt;=</w:t>
            </w:r>
          </w:p>
        </w:tc>
        <w:tc>
          <w:tcPr>
            <w:tcW w:w="2246" w:type="pct"/>
            <w:vAlign w:val="center"/>
          </w:tcPr>
          <w:p w14:paraId="077F28B8" w14:textId="77777777" w:rsidR="008B52D3" w:rsidRPr="00781112" w:rsidRDefault="008B52D3" w:rsidP="008D24E3">
            <w:pPr>
              <w:jc w:val="center"/>
              <w:rPr>
                <w:rFonts w:cs="Arial"/>
                <w:color w:val="000000" w:themeColor="text1"/>
                <w:szCs w:val="16"/>
              </w:rPr>
            </w:pPr>
            <w:r w:rsidRPr="00781112">
              <w:rPr>
                <w:rFonts w:cs="Arial"/>
                <w:color w:val="000000" w:themeColor="text1"/>
                <w:szCs w:val="16"/>
              </w:rPr>
              <w:t>78.00%</w:t>
            </w:r>
          </w:p>
        </w:tc>
        <w:tc>
          <w:tcPr>
            <w:tcW w:w="1731" w:type="pct"/>
          </w:tcPr>
          <w:p w14:paraId="3449CE65" w14:textId="77777777" w:rsidR="008B52D3" w:rsidRPr="00781112" w:rsidRDefault="008B52D3" w:rsidP="008D24E3">
            <w:pPr>
              <w:spacing w:before="0" w:after="200" w:line="276" w:lineRule="auto"/>
              <w:jc w:val="center"/>
            </w:pPr>
            <w:r w:rsidRPr="00781112">
              <w:rPr>
                <w:color w:val="000000" w:themeColor="text1"/>
                <w:szCs w:val="16"/>
              </w:rPr>
              <w:t>78.50%</w:t>
            </w:r>
          </w:p>
        </w:tc>
      </w:tr>
    </w:tbl>
    <w:p w14:paraId="588E7F25" w14:textId="77777777" w:rsidR="00CE0C68" w:rsidRPr="00781112" w:rsidRDefault="00CE0C68" w:rsidP="004369B2">
      <w:pPr>
        <w:rPr>
          <w:color w:val="000000" w:themeColor="text1"/>
        </w:rPr>
      </w:pPr>
    </w:p>
    <w:p w14:paraId="6DB0A367" w14:textId="77777777" w:rsidR="00634AD8" w:rsidRPr="00781112" w:rsidRDefault="0047313F">
      <w:pPr>
        <w:rPr>
          <w:b/>
          <w:color w:val="000000" w:themeColor="text1"/>
        </w:rPr>
      </w:pPr>
      <w:r>
        <w:rPr>
          <w:b/>
          <w:color w:val="000000" w:themeColor="text1"/>
        </w:rPr>
        <w:t>FFY 2024 SPP/APR Data</w:t>
      </w:r>
    </w:p>
    <w:p w14:paraId="2C799503" w14:textId="77777777" w:rsidR="00127006" w:rsidRPr="00781112" w:rsidRDefault="00127006"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5CFFYAPRDATA1OPT1"/>
      </w:tblPr>
      <w:tblGrid>
        <w:gridCol w:w="1634"/>
        <w:gridCol w:w="1625"/>
        <w:gridCol w:w="1271"/>
        <w:gridCol w:w="1908"/>
        <w:gridCol w:w="1493"/>
        <w:gridCol w:w="1452"/>
        <w:gridCol w:w="1407"/>
      </w:tblGrid>
      <w:tr w:rsidR="00B21923" w:rsidRPr="00781112" w14:paraId="44380D34" w14:textId="77777777" w:rsidTr="00877012">
        <w:trPr>
          <w:trHeight w:val="354"/>
          <w:tblHeader/>
        </w:trPr>
        <w:tc>
          <w:tcPr>
            <w:tcW w:w="757" w:type="pct"/>
            <w:vAlign w:val="bottom"/>
          </w:tcPr>
          <w:p w14:paraId="4F5671D3"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3.1(a) Number resolutions sessions resolved through settlement agreements</w:t>
            </w:r>
          </w:p>
        </w:tc>
        <w:tc>
          <w:tcPr>
            <w:tcW w:w="753" w:type="pct"/>
            <w:vAlign w:val="bottom"/>
          </w:tcPr>
          <w:p w14:paraId="42598E68"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3.1 Number of resolutions sessions</w:t>
            </w:r>
          </w:p>
        </w:tc>
        <w:tc>
          <w:tcPr>
            <w:tcW w:w="589" w:type="pct"/>
            <w:vAlign w:val="bottom"/>
          </w:tcPr>
          <w:p w14:paraId="00B9150F" w14:textId="77777777" w:rsidR="00B21923" w:rsidRPr="006D0A52" w:rsidRDefault="00B21923" w:rsidP="00B21923">
            <w:pPr>
              <w:jc w:val="center"/>
              <w:rPr>
                <w:rFonts w:cs="Arial"/>
                <w:b/>
                <w:bCs/>
                <w:color w:val="000000" w:themeColor="text1"/>
                <w:szCs w:val="16"/>
              </w:rPr>
            </w:pPr>
            <w:r w:rsidRPr="006D0A52">
              <w:rPr>
                <w:b/>
                <w:bCs/>
              </w:rPr>
              <w:t>FFY 2023 Data</w:t>
            </w:r>
          </w:p>
        </w:tc>
        <w:tc>
          <w:tcPr>
            <w:tcW w:w="884" w:type="pct"/>
            <w:vAlign w:val="bottom"/>
          </w:tcPr>
          <w:p w14:paraId="57699BCB" w14:textId="77777777" w:rsidR="00B21923" w:rsidRPr="006D0A52" w:rsidRDefault="00B21923" w:rsidP="00B21923">
            <w:pPr>
              <w:jc w:val="center"/>
              <w:rPr>
                <w:rFonts w:cs="Arial"/>
                <w:b/>
                <w:bCs/>
                <w:color w:val="000000" w:themeColor="text1"/>
                <w:szCs w:val="16"/>
              </w:rPr>
            </w:pPr>
            <w:r w:rsidRPr="006D0A52">
              <w:rPr>
                <w:b/>
                <w:bCs/>
              </w:rPr>
              <w:t>FFY 2024 Target</w:t>
            </w:r>
          </w:p>
        </w:tc>
        <w:tc>
          <w:tcPr>
            <w:tcW w:w="692" w:type="pct"/>
            <w:vAlign w:val="bottom"/>
          </w:tcPr>
          <w:p w14:paraId="098A8F32" w14:textId="77777777" w:rsidR="00B21923" w:rsidRPr="006D0A52" w:rsidRDefault="00B21923" w:rsidP="00B21923">
            <w:pPr>
              <w:jc w:val="center"/>
              <w:rPr>
                <w:rFonts w:cs="Arial"/>
                <w:b/>
                <w:bCs/>
                <w:color w:val="000000" w:themeColor="text1"/>
                <w:szCs w:val="16"/>
              </w:rPr>
            </w:pPr>
            <w:r w:rsidRPr="006D0A52">
              <w:rPr>
                <w:b/>
                <w:bCs/>
              </w:rPr>
              <w:t>FFY 2024 Data</w:t>
            </w:r>
          </w:p>
        </w:tc>
        <w:tc>
          <w:tcPr>
            <w:tcW w:w="673" w:type="pct"/>
            <w:vAlign w:val="bottom"/>
          </w:tcPr>
          <w:p w14:paraId="23A424F1"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Status</w:t>
            </w:r>
          </w:p>
        </w:tc>
        <w:tc>
          <w:tcPr>
            <w:tcW w:w="652" w:type="pct"/>
            <w:vAlign w:val="bottom"/>
          </w:tcPr>
          <w:p w14:paraId="6B29F8BB"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Slippage</w:t>
            </w:r>
          </w:p>
        </w:tc>
      </w:tr>
      <w:tr w:rsidR="005C29F8" w:rsidRPr="00781112" w14:paraId="6D6C0B7B" w14:textId="77777777" w:rsidTr="00877012">
        <w:trPr>
          <w:trHeight w:val="361"/>
        </w:trPr>
        <w:tc>
          <w:tcPr>
            <w:tcW w:w="757" w:type="pct"/>
            <w:vAlign w:val="center"/>
          </w:tcPr>
          <w:p w14:paraId="355F53B1" w14:textId="77777777" w:rsidR="00372DF8" w:rsidRPr="00781112" w:rsidRDefault="002B7490" w:rsidP="00A018D4">
            <w:pPr>
              <w:jc w:val="center"/>
              <w:rPr>
                <w:rFonts w:cs="Arial"/>
                <w:color w:val="000000" w:themeColor="text1"/>
                <w:szCs w:val="16"/>
              </w:rPr>
            </w:pPr>
            <w:r w:rsidRPr="00781112">
              <w:rPr>
                <w:rFonts w:cs="Arial"/>
                <w:color w:val="000000" w:themeColor="text1"/>
                <w:szCs w:val="16"/>
              </w:rPr>
              <w:t>11</w:t>
            </w:r>
          </w:p>
        </w:tc>
        <w:tc>
          <w:tcPr>
            <w:tcW w:w="753" w:type="pct"/>
          </w:tcPr>
          <w:p w14:paraId="251A71F0" w14:textId="77777777" w:rsidR="00372DF8" w:rsidRPr="00781112" w:rsidRDefault="002B7490" w:rsidP="00A018D4">
            <w:pPr>
              <w:jc w:val="center"/>
              <w:rPr>
                <w:rFonts w:cs="Arial"/>
                <w:color w:val="000000" w:themeColor="text1"/>
                <w:szCs w:val="16"/>
              </w:rPr>
            </w:pPr>
            <w:r w:rsidRPr="00781112">
              <w:rPr>
                <w:rFonts w:cs="Arial"/>
                <w:color w:val="000000" w:themeColor="text1"/>
                <w:szCs w:val="16"/>
              </w:rPr>
              <w:t>11</w:t>
            </w:r>
          </w:p>
        </w:tc>
        <w:tc>
          <w:tcPr>
            <w:tcW w:w="589" w:type="pct"/>
          </w:tcPr>
          <w:p w14:paraId="0291C65A" w14:textId="77777777" w:rsidR="00372DF8" w:rsidRPr="00781112" w:rsidRDefault="002B7490" w:rsidP="00A018D4">
            <w:pPr>
              <w:jc w:val="center"/>
              <w:rPr>
                <w:rFonts w:cs="Arial"/>
                <w:color w:val="000000" w:themeColor="text1"/>
                <w:szCs w:val="16"/>
              </w:rPr>
            </w:pPr>
            <w:r w:rsidRPr="00781112">
              <w:rPr>
                <w:rFonts w:cs="Arial"/>
                <w:color w:val="000000" w:themeColor="text1"/>
                <w:szCs w:val="16"/>
              </w:rPr>
              <w:t>100.00%</w:t>
            </w:r>
          </w:p>
        </w:tc>
        <w:tc>
          <w:tcPr>
            <w:tcW w:w="884" w:type="pct"/>
          </w:tcPr>
          <w:p w14:paraId="2D732D15" w14:textId="77777777" w:rsidR="00372DF8" w:rsidRPr="00781112" w:rsidRDefault="002B7490" w:rsidP="00A018D4">
            <w:pPr>
              <w:jc w:val="center"/>
              <w:rPr>
                <w:rFonts w:cs="Arial"/>
                <w:color w:val="000000" w:themeColor="text1"/>
                <w:szCs w:val="16"/>
              </w:rPr>
            </w:pPr>
            <w:r w:rsidRPr="00781112">
              <w:rPr>
                <w:rFonts w:cs="Arial"/>
                <w:color w:val="000000" w:themeColor="text1"/>
                <w:szCs w:val="16"/>
              </w:rPr>
              <w:t>78.00%</w:t>
            </w:r>
          </w:p>
        </w:tc>
        <w:tc>
          <w:tcPr>
            <w:tcW w:w="692" w:type="pct"/>
          </w:tcPr>
          <w:p w14:paraId="369555EC" w14:textId="77777777" w:rsidR="00372DF8" w:rsidRPr="00781112" w:rsidRDefault="002B7490" w:rsidP="00A018D4">
            <w:pPr>
              <w:jc w:val="center"/>
              <w:rPr>
                <w:rFonts w:cs="Arial"/>
                <w:color w:val="000000" w:themeColor="text1"/>
                <w:szCs w:val="16"/>
              </w:rPr>
            </w:pPr>
            <w:r w:rsidRPr="00781112">
              <w:rPr>
                <w:rFonts w:cs="Arial"/>
                <w:color w:val="000000" w:themeColor="text1"/>
                <w:szCs w:val="16"/>
              </w:rPr>
              <w:t>100.00%</w:t>
            </w:r>
          </w:p>
        </w:tc>
        <w:tc>
          <w:tcPr>
            <w:tcW w:w="673" w:type="pct"/>
          </w:tcPr>
          <w:p w14:paraId="1A0E20AB" w14:textId="77777777" w:rsidR="00372DF8"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652" w:type="pct"/>
          </w:tcPr>
          <w:p w14:paraId="2B08031C" w14:textId="77777777" w:rsidR="00372DF8"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6501645E" w14:textId="77777777" w:rsidR="00913A33" w:rsidRPr="00781112" w:rsidRDefault="00913A33" w:rsidP="00913A33">
      <w:pPr>
        <w:rPr>
          <w:rFonts w:cs="Arial"/>
          <w:b/>
          <w:color w:val="000000" w:themeColor="text1"/>
          <w:szCs w:val="16"/>
        </w:rPr>
      </w:pPr>
      <w:r w:rsidRPr="00781112">
        <w:rPr>
          <w:rFonts w:cs="Arial"/>
          <w:b/>
          <w:color w:val="000000" w:themeColor="text1"/>
          <w:szCs w:val="16"/>
        </w:rPr>
        <w:t>Provide additional information about this indicator (optional)</w:t>
      </w:r>
    </w:p>
    <w:p w14:paraId="01745F91" w14:textId="77777777" w:rsidR="00293C7E" w:rsidRPr="00781112" w:rsidRDefault="00293C7E" w:rsidP="007D435F">
      <w:pPr>
        <w:rPr>
          <w:rFonts w:cs="Arial"/>
          <w:color w:val="000000" w:themeColor="text1"/>
          <w:szCs w:val="16"/>
        </w:rPr>
      </w:pPr>
    </w:p>
    <w:p w14:paraId="6882E2FD" w14:textId="77777777" w:rsidR="00293C7E" w:rsidRPr="00781112" w:rsidRDefault="00DF2D3A" w:rsidP="00123D76">
      <w:pPr>
        <w:pStyle w:val="Heading2"/>
      </w:pPr>
      <w:r w:rsidRPr="00781112">
        <w:t>15</w:t>
      </w:r>
      <w:r w:rsidR="001D508D" w:rsidRPr="00781112">
        <w:t xml:space="preserve"> </w:t>
      </w:r>
      <w:r w:rsidRPr="00781112">
        <w:t xml:space="preserve">- </w:t>
      </w:r>
      <w:r w:rsidR="00293C7E" w:rsidRPr="00781112">
        <w:t>Prior FFY Required Actions</w:t>
      </w:r>
    </w:p>
    <w:p w14:paraId="004AEF4A" w14:textId="77777777" w:rsidR="00293C7E" w:rsidRPr="00781112" w:rsidRDefault="002B7490" w:rsidP="00293C7E">
      <w:pPr>
        <w:rPr>
          <w:rFonts w:cs="Arial"/>
          <w:color w:val="000000" w:themeColor="text1"/>
          <w:szCs w:val="16"/>
        </w:rPr>
      </w:pPr>
      <w:r w:rsidRPr="00781112">
        <w:rPr>
          <w:rFonts w:cs="Arial"/>
          <w:color w:val="000000" w:themeColor="text1"/>
          <w:szCs w:val="16"/>
        </w:rPr>
        <w:t>None</w:t>
      </w:r>
    </w:p>
    <w:p w14:paraId="55CA8D9F" w14:textId="77777777" w:rsidR="00913A33" w:rsidRPr="00781112" w:rsidRDefault="00DF2D3A" w:rsidP="00123D76">
      <w:pPr>
        <w:pStyle w:val="Heading2"/>
      </w:pPr>
      <w:r w:rsidRPr="00781112">
        <w:t>15 - OSEP Response</w:t>
      </w:r>
    </w:p>
    <w:p w14:paraId="56A7FF41" w14:textId="77777777" w:rsidR="00293C7E" w:rsidRPr="00781112" w:rsidRDefault="00293C7E" w:rsidP="001F692C">
      <w:pPr>
        <w:rPr>
          <w:rFonts w:cs="Arial"/>
          <w:color w:val="000000" w:themeColor="text1"/>
          <w:szCs w:val="16"/>
        </w:rPr>
      </w:pPr>
    </w:p>
    <w:p w14:paraId="05F83776" w14:textId="77777777" w:rsidR="00913A33" w:rsidRPr="00781112" w:rsidRDefault="00DF2D3A" w:rsidP="00123D76">
      <w:pPr>
        <w:pStyle w:val="Heading2"/>
      </w:pPr>
      <w:r w:rsidRPr="00781112">
        <w:t>15 - Required Actions</w:t>
      </w:r>
    </w:p>
    <w:p w14:paraId="1E744AFD" w14:textId="77777777" w:rsidR="00293C7E" w:rsidRPr="00781112" w:rsidRDefault="00293C7E" w:rsidP="001F692C">
      <w:pPr>
        <w:rPr>
          <w:rFonts w:cs="Arial"/>
          <w:color w:val="000000" w:themeColor="text1"/>
          <w:szCs w:val="16"/>
        </w:rPr>
      </w:pPr>
    </w:p>
    <w:p w14:paraId="6E6D8A53" w14:textId="77777777" w:rsidR="000C60E1" w:rsidRPr="00781112" w:rsidRDefault="000C60E1">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7B6077C0" w14:textId="77777777" w:rsidR="007F0CEC" w:rsidRPr="00781112" w:rsidRDefault="007F0CEC" w:rsidP="000444E2">
      <w:pPr>
        <w:pStyle w:val="Heading1"/>
        <w:rPr>
          <w:color w:val="000000" w:themeColor="text1"/>
          <w:sz w:val="22"/>
        </w:rPr>
      </w:pPr>
      <w:r w:rsidRPr="00781112">
        <w:rPr>
          <w:color w:val="000000" w:themeColor="text1"/>
          <w:sz w:val="22"/>
        </w:rPr>
        <w:lastRenderedPageBreak/>
        <w:t>Indicator 16: Mediation</w:t>
      </w:r>
    </w:p>
    <w:p w14:paraId="3EDF0CA4" w14:textId="77777777" w:rsidR="00BF232E" w:rsidRPr="002C274F" w:rsidRDefault="00BF232E" w:rsidP="002C274F">
      <w:pPr>
        <w:rPr>
          <w:b/>
          <w:bCs/>
          <w:sz w:val="20"/>
          <w:szCs w:val="20"/>
        </w:rPr>
      </w:pPr>
      <w:bookmarkStart w:id="94" w:name="_Toc382731916"/>
      <w:bookmarkStart w:id="95" w:name="_Toc392159344"/>
      <w:r w:rsidRPr="002C274F">
        <w:rPr>
          <w:b/>
          <w:bCs/>
          <w:sz w:val="20"/>
          <w:szCs w:val="20"/>
        </w:rPr>
        <w:t>Instructions and Measurement</w:t>
      </w:r>
    </w:p>
    <w:p w14:paraId="0DF4CE37" w14:textId="77777777" w:rsidR="009B6586" w:rsidRPr="00781112" w:rsidRDefault="009B6586" w:rsidP="008E31C4">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General Supervision</w:t>
      </w:r>
    </w:p>
    <w:p w14:paraId="0397D745" w14:textId="77777777" w:rsidR="00692B95" w:rsidRPr="00781112" w:rsidRDefault="009B6586" w:rsidP="008E31C4">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mediations held that resulted in mediation agreements.</w:t>
      </w:r>
      <w:r w:rsidR="00131842" w:rsidRPr="00781112">
        <w:rPr>
          <w:rFonts w:cs="Arial"/>
          <w:color w:val="000000" w:themeColor="text1"/>
          <w:szCs w:val="16"/>
        </w:rPr>
        <w:t xml:space="preserve"> </w:t>
      </w:r>
    </w:p>
    <w:p w14:paraId="732A29E3" w14:textId="77777777" w:rsidR="009B6586" w:rsidRPr="00781112" w:rsidRDefault="009B6586" w:rsidP="008E31C4">
      <w:pPr>
        <w:rPr>
          <w:rFonts w:cs="Arial"/>
          <w:color w:val="000000" w:themeColor="text1"/>
          <w:szCs w:val="16"/>
        </w:rPr>
      </w:pPr>
      <w:r w:rsidRPr="00781112">
        <w:rPr>
          <w:rFonts w:cs="Arial"/>
          <w:color w:val="000000" w:themeColor="text1"/>
          <w:szCs w:val="16"/>
        </w:rPr>
        <w:t>(20 U.S.C. 1416(a)(3(B))</w:t>
      </w:r>
    </w:p>
    <w:p w14:paraId="3395CFAB" w14:textId="77777777" w:rsidR="00692B95" w:rsidRPr="00781112" w:rsidRDefault="00692B95" w:rsidP="004369B2">
      <w:pPr>
        <w:rPr>
          <w:color w:val="000000" w:themeColor="text1"/>
        </w:rPr>
      </w:pPr>
      <w:r w:rsidRPr="00781112">
        <w:rPr>
          <w:b/>
          <w:color w:val="000000" w:themeColor="text1"/>
        </w:rPr>
        <w:t>Data Source</w:t>
      </w:r>
    </w:p>
    <w:p w14:paraId="154CA3AC" w14:textId="77777777" w:rsidR="00692B95" w:rsidRPr="00781112" w:rsidRDefault="00692B95" w:rsidP="008E31C4">
      <w:pPr>
        <w:rPr>
          <w:rFonts w:cs="Arial"/>
          <w:color w:val="000000" w:themeColor="text1"/>
          <w:szCs w:val="16"/>
        </w:rPr>
      </w:pPr>
      <w:r w:rsidRPr="00781112">
        <w:rPr>
          <w:rFonts w:cs="Arial"/>
          <w:color w:val="000000" w:themeColor="text1"/>
          <w:szCs w:val="16"/>
        </w:rPr>
        <w:t xml:space="preserve">Same data as used for reporting to the Department under section 618 of the IDEA, using the definitions in </w:t>
      </w:r>
      <w:proofErr w:type="spellStart"/>
      <w:r w:rsidRPr="00781112">
        <w:rPr>
          <w:rFonts w:cs="Arial"/>
          <w:color w:val="000000" w:themeColor="text1"/>
          <w:szCs w:val="16"/>
        </w:rPr>
        <w:t>ED</w:t>
      </w:r>
      <w:r w:rsidRPr="00BA3DBE">
        <w:rPr>
          <w:rFonts w:cs="Arial"/>
          <w:i/>
          <w:iCs/>
          <w:color w:val="000000" w:themeColor="text1"/>
          <w:szCs w:val="16"/>
        </w:rPr>
        <w:t>Facts</w:t>
      </w:r>
      <w:proofErr w:type="spellEnd"/>
      <w:r w:rsidRPr="00781112">
        <w:rPr>
          <w:rFonts w:cs="Arial"/>
          <w:color w:val="000000" w:themeColor="text1"/>
          <w:szCs w:val="16"/>
        </w:rPr>
        <w:t xml:space="preserve"> file specification FS228.</w:t>
      </w:r>
    </w:p>
    <w:p w14:paraId="382FBB14" w14:textId="77777777" w:rsidR="00692B95" w:rsidRPr="00781112" w:rsidRDefault="00692B95" w:rsidP="004369B2">
      <w:pPr>
        <w:rPr>
          <w:color w:val="000000" w:themeColor="text1"/>
        </w:rPr>
      </w:pPr>
      <w:r w:rsidRPr="00781112">
        <w:rPr>
          <w:b/>
          <w:color w:val="000000" w:themeColor="text1"/>
        </w:rPr>
        <w:t>Measurement</w:t>
      </w:r>
    </w:p>
    <w:p w14:paraId="1A28AD95" w14:textId="77777777" w:rsidR="00692B95" w:rsidRPr="00781112" w:rsidRDefault="00692B95" w:rsidP="008E31C4">
      <w:pPr>
        <w:rPr>
          <w:rFonts w:cs="Arial"/>
          <w:color w:val="000000" w:themeColor="text1"/>
          <w:szCs w:val="16"/>
        </w:rPr>
      </w:pPr>
      <w:r w:rsidRPr="00781112">
        <w:rPr>
          <w:rFonts w:cs="Arial"/>
          <w:color w:val="000000" w:themeColor="text1"/>
          <w:szCs w:val="16"/>
        </w:rPr>
        <w:t>Percent = (2.1(a)(</w:t>
      </w:r>
      <w:proofErr w:type="spellStart"/>
      <w:r w:rsidRPr="00781112">
        <w:rPr>
          <w:rFonts w:cs="Arial"/>
          <w:color w:val="000000" w:themeColor="text1"/>
          <w:szCs w:val="16"/>
        </w:rPr>
        <w:t>i</w:t>
      </w:r>
      <w:proofErr w:type="spellEnd"/>
      <w:r w:rsidRPr="00781112">
        <w:rPr>
          <w:rFonts w:cs="Arial"/>
          <w:color w:val="000000" w:themeColor="text1"/>
          <w:szCs w:val="16"/>
        </w:rPr>
        <w:t>) + 2.1(b)(</w:t>
      </w:r>
      <w:proofErr w:type="spellStart"/>
      <w:r w:rsidRPr="00781112">
        <w:rPr>
          <w:rFonts w:cs="Arial"/>
          <w:color w:val="000000" w:themeColor="text1"/>
          <w:szCs w:val="16"/>
        </w:rPr>
        <w:t>i</w:t>
      </w:r>
      <w:proofErr w:type="spellEnd"/>
      <w:r w:rsidRPr="00781112">
        <w:rPr>
          <w:rFonts w:cs="Arial"/>
          <w:color w:val="000000" w:themeColor="text1"/>
          <w:szCs w:val="16"/>
        </w:rPr>
        <w:t>)) divided by 2.1) times 100.</w:t>
      </w:r>
    </w:p>
    <w:p w14:paraId="2597F344" w14:textId="77777777" w:rsidR="00692B95" w:rsidRPr="00781112" w:rsidRDefault="00692B95" w:rsidP="004369B2">
      <w:pPr>
        <w:rPr>
          <w:color w:val="000000" w:themeColor="text1"/>
        </w:rPr>
      </w:pPr>
      <w:r w:rsidRPr="00781112">
        <w:rPr>
          <w:b/>
          <w:color w:val="000000" w:themeColor="text1"/>
        </w:rPr>
        <w:t>Instructions</w:t>
      </w:r>
    </w:p>
    <w:p w14:paraId="515C2BC7" w14:textId="77777777" w:rsidR="00692B95" w:rsidRPr="00781112" w:rsidRDefault="00692B95" w:rsidP="00286BDF">
      <w:pPr>
        <w:rPr>
          <w:rFonts w:cs="Arial"/>
          <w:i/>
          <w:iCs/>
          <w:color w:val="000000" w:themeColor="text1"/>
          <w:szCs w:val="16"/>
        </w:rPr>
      </w:pPr>
      <w:r w:rsidRPr="00781112">
        <w:rPr>
          <w:rFonts w:cs="Arial"/>
          <w:i/>
          <w:iCs/>
          <w:color w:val="000000" w:themeColor="text1"/>
          <w:szCs w:val="16"/>
        </w:rPr>
        <w:t>Sampling is not allowed.</w:t>
      </w:r>
    </w:p>
    <w:p w14:paraId="58085459" w14:textId="77777777" w:rsidR="00692B95" w:rsidRPr="00781112" w:rsidRDefault="00692B95"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5298B91E" w14:textId="77777777" w:rsidR="00692B95" w:rsidRPr="00781112" w:rsidRDefault="00692B95" w:rsidP="00286BDF">
      <w:pPr>
        <w:rPr>
          <w:rFonts w:cs="Arial"/>
          <w:color w:val="000000" w:themeColor="text1"/>
          <w:szCs w:val="16"/>
        </w:rPr>
      </w:pPr>
      <w:r w:rsidRPr="00781112">
        <w:rPr>
          <w:rFonts w:cs="Arial"/>
          <w:color w:val="000000" w:themeColor="text1"/>
          <w:szCs w:val="16"/>
        </w:rPr>
        <w:t xml:space="preserve">States are not required to establish baselines or targets if the number of </w:t>
      </w:r>
      <w:r w:rsidR="00482C3B" w:rsidRPr="00781112">
        <w:rPr>
          <w:rFonts w:cs="Arial"/>
          <w:szCs w:val="16"/>
        </w:rPr>
        <w:t>mediations</w:t>
      </w:r>
      <w:r w:rsidRPr="00781112">
        <w:rPr>
          <w:rFonts w:cs="Arial"/>
          <w:color w:val="000000" w:themeColor="text1"/>
          <w:szCs w:val="16"/>
        </w:rPr>
        <w:t xml:space="preserve"> is less than 10. In a reporting period when the number of </w:t>
      </w:r>
      <w:r w:rsidR="00DA0D8C" w:rsidRPr="00781112">
        <w:rPr>
          <w:rFonts w:cs="Arial"/>
          <w:szCs w:val="16"/>
        </w:rPr>
        <w:t xml:space="preserve">mediations reaches </w:t>
      </w:r>
      <w:r w:rsidRPr="00781112">
        <w:rPr>
          <w:rFonts w:cs="Arial"/>
          <w:color w:val="000000" w:themeColor="text1"/>
          <w:szCs w:val="16"/>
        </w:rPr>
        <w:t>10 or greater, develop baseline</w:t>
      </w:r>
      <w:r w:rsidR="00D14A1B" w:rsidRPr="00781112">
        <w:rPr>
          <w:rFonts w:cs="Arial"/>
          <w:color w:val="000000" w:themeColor="text1"/>
          <w:szCs w:val="16"/>
        </w:rPr>
        <w:t xml:space="preserve"> and</w:t>
      </w:r>
      <w:r w:rsidRPr="00781112">
        <w:rPr>
          <w:rFonts w:cs="Arial"/>
          <w:color w:val="000000" w:themeColor="text1"/>
          <w:szCs w:val="16"/>
        </w:rPr>
        <w:t xml:space="preserve"> targets and report on them in the corresponding SPP/APR.</w:t>
      </w:r>
    </w:p>
    <w:p w14:paraId="4802851F" w14:textId="77777777" w:rsidR="00692B95" w:rsidRPr="00781112" w:rsidRDefault="00692B95" w:rsidP="00286BDF">
      <w:pPr>
        <w:rPr>
          <w:rFonts w:cs="Arial"/>
          <w:color w:val="000000" w:themeColor="text1"/>
          <w:szCs w:val="16"/>
        </w:rPr>
      </w:pPr>
      <w:r w:rsidRPr="00781112">
        <w:rPr>
          <w:rFonts w:cs="Arial"/>
          <w:color w:val="000000" w:themeColor="text1"/>
          <w:szCs w:val="16"/>
        </w:rPr>
        <w:t>States may express their targets in a range (e.g., 75-85%).</w:t>
      </w:r>
    </w:p>
    <w:p w14:paraId="23B9CC35" w14:textId="77777777" w:rsidR="00692B95" w:rsidRPr="00781112" w:rsidRDefault="00692B95" w:rsidP="00286BDF">
      <w:pPr>
        <w:rPr>
          <w:rFonts w:cs="Arial"/>
          <w:color w:val="000000" w:themeColor="text1"/>
          <w:szCs w:val="16"/>
        </w:rPr>
      </w:pPr>
      <w:r w:rsidRPr="00781112">
        <w:rPr>
          <w:rFonts w:cs="Arial"/>
          <w:color w:val="000000" w:themeColor="text1"/>
          <w:szCs w:val="16"/>
        </w:rPr>
        <w:t>If the data reported in this indicator are not the same as the State’s data under IDEA section 618, explain.</w:t>
      </w:r>
    </w:p>
    <w:p w14:paraId="29DBCDD8" w14:textId="77777777" w:rsidR="00692B95" w:rsidRPr="00781112" w:rsidRDefault="00692B95" w:rsidP="00286BDF">
      <w:pPr>
        <w:rPr>
          <w:rFonts w:cs="Arial"/>
          <w:color w:val="000000" w:themeColor="text1"/>
          <w:szCs w:val="16"/>
        </w:rPr>
      </w:pPr>
      <w:r w:rsidRPr="00781112">
        <w:rPr>
          <w:rFonts w:cs="Arial"/>
          <w:color w:val="000000" w:themeColor="text1"/>
          <w:szCs w:val="16"/>
        </w:rPr>
        <w:t>States are not required to report data at the LEA level.</w:t>
      </w:r>
    </w:p>
    <w:p w14:paraId="7074A0F9" w14:textId="77777777" w:rsidR="00B37C74" w:rsidRPr="00781112" w:rsidRDefault="001C46DC" w:rsidP="00123D76">
      <w:pPr>
        <w:pStyle w:val="Heading2"/>
      </w:pPr>
      <w:r w:rsidRPr="00781112">
        <w:t>16</w:t>
      </w:r>
      <w:r w:rsidR="001D508D" w:rsidRPr="00781112">
        <w:t xml:space="preserve"> </w:t>
      </w:r>
      <w:r w:rsidRPr="00781112">
        <w:t xml:space="preserve">- </w:t>
      </w:r>
      <w:r w:rsidR="00BF232E" w:rsidRPr="00781112">
        <w:t>Indicator Data</w:t>
      </w:r>
    </w:p>
    <w:p w14:paraId="45505190" w14:textId="77777777" w:rsidR="00F31AD8" w:rsidRPr="00781112" w:rsidRDefault="007D219D" w:rsidP="00F31AD8">
      <w:pPr>
        <w:rPr>
          <w:rFonts w:cs="Arial"/>
          <w:b/>
          <w:color w:val="000000" w:themeColor="text1"/>
          <w:szCs w:val="16"/>
        </w:rPr>
      </w:pPr>
      <w:r w:rsidRPr="00781112">
        <w:rPr>
          <w:rFonts w:cs="Arial"/>
          <w:b/>
          <w:color w:val="000000" w:themeColor="text1"/>
          <w:szCs w:val="16"/>
        </w:rPr>
        <w:t>Select yes to use target ranges</w:t>
      </w:r>
    </w:p>
    <w:p w14:paraId="3555EABD" w14:textId="77777777" w:rsidR="00F31AD8" w:rsidRPr="00781112" w:rsidRDefault="00F31AD8" w:rsidP="004369B2">
      <w:pPr>
        <w:rPr>
          <w:color w:val="000000" w:themeColor="text1"/>
        </w:rPr>
      </w:pPr>
      <w:r w:rsidRPr="00781112">
        <w:rPr>
          <w:rFonts w:cs="Arial"/>
          <w:color w:val="000000" w:themeColor="text1"/>
          <w:szCs w:val="16"/>
        </w:rPr>
        <w:t>Target Range not used</w:t>
      </w:r>
    </w:p>
    <w:bookmarkEnd w:id="94"/>
    <w:bookmarkEnd w:id="95"/>
    <w:p w14:paraId="3C1B1DF1" w14:textId="77777777" w:rsidR="00DA3157" w:rsidRPr="00781112" w:rsidRDefault="00DA3157" w:rsidP="004369B2">
      <w:pPr>
        <w:rPr>
          <w:color w:val="000000" w:themeColor="text1"/>
        </w:rPr>
      </w:pPr>
    </w:p>
    <w:p w14:paraId="775872C0" w14:textId="77777777" w:rsidR="008E31C4" w:rsidRPr="00781112" w:rsidRDefault="008E31C4"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16PREPOP"/>
      </w:tblPr>
      <w:tblGrid>
        <w:gridCol w:w="2695"/>
        <w:gridCol w:w="2790"/>
        <w:gridCol w:w="3522"/>
        <w:gridCol w:w="1783"/>
      </w:tblGrid>
      <w:tr w:rsidR="005C29F8" w:rsidRPr="00781112" w14:paraId="07D8B0B0" w14:textId="77777777" w:rsidTr="0064117D">
        <w:trPr>
          <w:trHeight w:val="372"/>
          <w:tblHeader/>
        </w:trPr>
        <w:tc>
          <w:tcPr>
            <w:tcW w:w="1249" w:type="pct"/>
          </w:tcPr>
          <w:p w14:paraId="1737258A"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Source</w:t>
            </w:r>
          </w:p>
        </w:tc>
        <w:tc>
          <w:tcPr>
            <w:tcW w:w="1293" w:type="pct"/>
          </w:tcPr>
          <w:p w14:paraId="39A7E74A"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Date</w:t>
            </w:r>
          </w:p>
        </w:tc>
        <w:tc>
          <w:tcPr>
            <w:tcW w:w="1632" w:type="pct"/>
          </w:tcPr>
          <w:p w14:paraId="7960D8A6"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Description</w:t>
            </w:r>
          </w:p>
        </w:tc>
        <w:tc>
          <w:tcPr>
            <w:tcW w:w="826" w:type="pct"/>
          </w:tcPr>
          <w:p w14:paraId="13643F2F"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7313DBA3" w14:textId="77777777" w:rsidTr="0064117D">
        <w:trPr>
          <w:trHeight w:val="380"/>
        </w:trPr>
        <w:tc>
          <w:tcPr>
            <w:tcW w:w="1249" w:type="pct"/>
          </w:tcPr>
          <w:p w14:paraId="1EFF15C6" w14:textId="77777777" w:rsidR="001126C3" w:rsidRPr="00781112" w:rsidRDefault="002B7490" w:rsidP="001126C3">
            <w:pPr>
              <w:jc w:val="center"/>
              <w:rPr>
                <w:rFonts w:cs="Arial"/>
                <w:color w:val="000000" w:themeColor="text1"/>
                <w:szCs w:val="16"/>
              </w:rPr>
            </w:pPr>
            <w:r w:rsidRPr="00781112">
              <w:rPr>
                <w:rFonts w:cs="Arial"/>
                <w:color w:val="000000" w:themeColor="text1"/>
                <w:szCs w:val="16"/>
              </w:rPr>
              <w:t>SY 2024-25 IDEA Part B Dispute Resolution - Mediation Requests (</w:t>
            </w:r>
            <w:proofErr w:type="spellStart"/>
            <w:r w:rsidRPr="00781112">
              <w:rPr>
                <w:rFonts w:cs="Arial"/>
                <w:color w:val="000000" w:themeColor="text1"/>
                <w:szCs w:val="16"/>
              </w:rPr>
              <w:t>EDFacts</w:t>
            </w:r>
            <w:proofErr w:type="spellEnd"/>
            <w:r w:rsidRPr="00781112">
              <w:rPr>
                <w:rFonts w:cs="Arial"/>
                <w:color w:val="000000" w:themeColor="text1"/>
                <w:szCs w:val="16"/>
              </w:rPr>
              <w:t xml:space="preserve"> file spec FS228; Data group 895)</w:t>
            </w:r>
          </w:p>
        </w:tc>
        <w:tc>
          <w:tcPr>
            <w:tcW w:w="1293" w:type="pct"/>
          </w:tcPr>
          <w:p w14:paraId="3AF30B7F" w14:textId="77777777" w:rsidR="001126C3" w:rsidRPr="00781112" w:rsidRDefault="008174C3" w:rsidP="001126C3">
            <w:pPr>
              <w:jc w:val="center"/>
              <w:rPr>
                <w:rFonts w:cs="Arial"/>
                <w:color w:val="000000" w:themeColor="text1"/>
                <w:szCs w:val="16"/>
              </w:rPr>
            </w:pPr>
            <w:r w:rsidRPr="00781112">
              <w:rPr>
                <w:rFonts w:cs="Arial"/>
                <w:color w:val="000000" w:themeColor="text1"/>
                <w:szCs w:val="16"/>
              </w:rPr>
              <w:t>11/19/2025</w:t>
            </w:r>
          </w:p>
        </w:tc>
        <w:tc>
          <w:tcPr>
            <w:tcW w:w="1632" w:type="pct"/>
          </w:tcPr>
          <w:p w14:paraId="190CD451" w14:textId="77777777" w:rsidR="001126C3" w:rsidRPr="00781112" w:rsidRDefault="001126C3" w:rsidP="001126C3">
            <w:pPr>
              <w:rPr>
                <w:rFonts w:cs="Arial"/>
                <w:color w:val="000000" w:themeColor="text1"/>
                <w:szCs w:val="16"/>
              </w:rPr>
            </w:pPr>
            <w:r w:rsidRPr="00781112">
              <w:rPr>
                <w:rFonts w:cs="Arial"/>
                <w:color w:val="000000" w:themeColor="text1"/>
                <w:szCs w:val="16"/>
              </w:rPr>
              <w:t>2.1 Mediations held</w:t>
            </w:r>
          </w:p>
        </w:tc>
        <w:tc>
          <w:tcPr>
            <w:tcW w:w="826" w:type="pct"/>
          </w:tcPr>
          <w:p w14:paraId="1C39DE5A" w14:textId="77777777" w:rsidR="001126C3" w:rsidRPr="00781112" w:rsidRDefault="002B7490" w:rsidP="00A018D4">
            <w:pPr>
              <w:jc w:val="center"/>
              <w:rPr>
                <w:rFonts w:cs="Arial"/>
                <w:color w:val="000000" w:themeColor="text1"/>
                <w:szCs w:val="16"/>
              </w:rPr>
            </w:pPr>
            <w:r w:rsidRPr="00781112">
              <w:rPr>
                <w:rFonts w:cs="Arial"/>
                <w:color w:val="000000" w:themeColor="text1"/>
                <w:szCs w:val="16"/>
              </w:rPr>
              <w:t>4</w:t>
            </w:r>
          </w:p>
        </w:tc>
      </w:tr>
      <w:tr w:rsidR="005C29F8" w:rsidRPr="00781112" w14:paraId="5E64AFDA" w14:textId="77777777" w:rsidTr="0064117D">
        <w:trPr>
          <w:trHeight w:val="380"/>
        </w:trPr>
        <w:tc>
          <w:tcPr>
            <w:tcW w:w="1249" w:type="pct"/>
          </w:tcPr>
          <w:p w14:paraId="5BDDFE37" w14:textId="77777777" w:rsidR="001126C3" w:rsidRPr="00781112" w:rsidRDefault="008174C3" w:rsidP="001126C3">
            <w:pPr>
              <w:jc w:val="center"/>
              <w:rPr>
                <w:rFonts w:cs="Arial"/>
                <w:color w:val="000000" w:themeColor="text1"/>
                <w:szCs w:val="16"/>
              </w:rPr>
            </w:pPr>
            <w:r w:rsidRPr="00781112">
              <w:rPr>
                <w:rFonts w:cs="Arial"/>
                <w:color w:val="000000" w:themeColor="text1"/>
                <w:szCs w:val="16"/>
              </w:rPr>
              <w:t>SY 2024-25 IDEA Part B Dispute Resolution - Mediation Requests (</w:t>
            </w:r>
            <w:proofErr w:type="spellStart"/>
            <w:r w:rsidRPr="00781112">
              <w:rPr>
                <w:rFonts w:cs="Arial"/>
                <w:color w:val="000000" w:themeColor="text1"/>
                <w:szCs w:val="16"/>
              </w:rPr>
              <w:t>EDFacts</w:t>
            </w:r>
            <w:proofErr w:type="spellEnd"/>
            <w:r w:rsidRPr="00781112">
              <w:rPr>
                <w:rFonts w:cs="Arial"/>
                <w:color w:val="000000" w:themeColor="text1"/>
                <w:szCs w:val="16"/>
              </w:rPr>
              <w:t xml:space="preserve"> file spec FS228; Data group 895)</w:t>
            </w:r>
          </w:p>
        </w:tc>
        <w:tc>
          <w:tcPr>
            <w:tcW w:w="1293" w:type="pct"/>
          </w:tcPr>
          <w:p w14:paraId="6E6E6383" w14:textId="77777777" w:rsidR="001126C3" w:rsidRPr="00781112" w:rsidRDefault="008174C3" w:rsidP="001126C3">
            <w:pPr>
              <w:jc w:val="center"/>
              <w:rPr>
                <w:rFonts w:cs="Arial"/>
                <w:color w:val="000000" w:themeColor="text1"/>
                <w:szCs w:val="16"/>
              </w:rPr>
            </w:pPr>
            <w:r w:rsidRPr="00781112">
              <w:rPr>
                <w:rFonts w:cs="Arial"/>
                <w:color w:val="000000" w:themeColor="text1"/>
                <w:szCs w:val="16"/>
              </w:rPr>
              <w:t>11/19/2025</w:t>
            </w:r>
          </w:p>
        </w:tc>
        <w:tc>
          <w:tcPr>
            <w:tcW w:w="1632" w:type="pct"/>
          </w:tcPr>
          <w:p w14:paraId="1BEC8922" w14:textId="77777777" w:rsidR="001126C3" w:rsidRPr="00781112" w:rsidRDefault="001126C3" w:rsidP="001126C3">
            <w:pPr>
              <w:rPr>
                <w:rFonts w:cs="Arial"/>
                <w:color w:val="000000" w:themeColor="text1"/>
                <w:szCs w:val="16"/>
              </w:rPr>
            </w:pPr>
            <w:r w:rsidRPr="00781112">
              <w:rPr>
                <w:rFonts w:cs="Arial"/>
                <w:color w:val="000000" w:themeColor="text1"/>
                <w:szCs w:val="16"/>
              </w:rPr>
              <w:t>2.1.a.i Mediations agreements related to due process complaints</w:t>
            </w:r>
          </w:p>
        </w:tc>
        <w:tc>
          <w:tcPr>
            <w:tcW w:w="826" w:type="pct"/>
          </w:tcPr>
          <w:p w14:paraId="5C55B098" w14:textId="77777777" w:rsidR="001126C3" w:rsidRPr="00781112" w:rsidRDefault="002B7490" w:rsidP="00A018D4">
            <w:pPr>
              <w:jc w:val="center"/>
              <w:rPr>
                <w:rFonts w:cs="Arial"/>
                <w:color w:val="000000" w:themeColor="text1"/>
                <w:szCs w:val="16"/>
              </w:rPr>
            </w:pPr>
            <w:r w:rsidRPr="00781112">
              <w:rPr>
                <w:rFonts w:cs="Arial"/>
                <w:color w:val="000000" w:themeColor="text1"/>
                <w:szCs w:val="16"/>
              </w:rPr>
              <w:t>1</w:t>
            </w:r>
          </w:p>
        </w:tc>
      </w:tr>
      <w:tr w:rsidR="005C29F8" w:rsidRPr="00781112" w14:paraId="3E5CAE70" w14:textId="77777777" w:rsidTr="0064117D">
        <w:trPr>
          <w:trHeight w:val="380"/>
        </w:trPr>
        <w:tc>
          <w:tcPr>
            <w:tcW w:w="1249" w:type="pct"/>
          </w:tcPr>
          <w:p w14:paraId="57BB28F8" w14:textId="77777777" w:rsidR="001126C3" w:rsidRPr="00781112" w:rsidRDefault="008174C3" w:rsidP="001126C3">
            <w:pPr>
              <w:jc w:val="center"/>
              <w:rPr>
                <w:rFonts w:cs="Arial"/>
                <w:color w:val="000000" w:themeColor="text1"/>
                <w:szCs w:val="16"/>
              </w:rPr>
            </w:pPr>
            <w:r w:rsidRPr="00781112">
              <w:rPr>
                <w:rFonts w:cs="Arial"/>
                <w:color w:val="000000" w:themeColor="text1"/>
                <w:szCs w:val="16"/>
              </w:rPr>
              <w:t>SY 2024-25 IDEA Part B Dispute Resolution - Mediation Requests (</w:t>
            </w:r>
            <w:proofErr w:type="spellStart"/>
            <w:r w:rsidRPr="00781112">
              <w:rPr>
                <w:rFonts w:cs="Arial"/>
                <w:color w:val="000000" w:themeColor="text1"/>
                <w:szCs w:val="16"/>
              </w:rPr>
              <w:t>EDFacts</w:t>
            </w:r>
            <w:proofErr w:type="spellEnd"/>
            <w:r w:rsidRPr="00781112">
              <w:rPr>
                <w:rFonts w:cs="Arial"/>
                <w:color w:val="000000" w:themeColor="text1"/>
                <w:szCs w:val="16"/>
              </w:rPr>
              <w:t xml:space="preserve"> file spec FS228; Data group 895)</w:t>
            </w:r>
          </w:p>
        </w:tc>
        <w:tc>
          <w:tcPr>
            <w:tcW w:w="1293" w:type="pct"/>
          </w:tcPr>
          <w:p w14:paraId="421F85B7" w14:textId="77777777" w:rsidR="001126C3" w:rsidRPr="00781112" w:rsidRDefault="008174C3" w:rsidP="001126C3">
            <w:pPr>
              <w:jc w:val="center"/>
              <w:rPr>
                <w:rFonts w:cs="Arial"/>
                <w:color w:val="000000" w:themeColor="text1"/>
                <w:szCs w:val="16"/>
              </w:rPr>
            </w:pPr>
            <w:r w:rsidRPr="00781112">
              <w:rPr>
                <w:rFonts w:cs="Arial"/>
                <w:color w:val="000000" w:themeColor="text1"/>
                <w:szCs w:val="16"/>
              </w:rPr>
              <w:t>11/19/2025</w:t>
            </w:r>
          </w:p>
        </w:tc>
        <w:tc>
          <w:tcPr>
            <w:tcW w:w="1632" w:type="pct"/>
          </w:tcPr>
          <w:p w14:paraId="4E598C3B" w14:textId="77777777" w:rsidR="001126C3" w:rsidRPr="00781112" w:rsidRDefault="001126C3" w:rsidP="001126C3">
            <w:pPr>
              <w:rPr>
                <w:rFonts w:cs="Arial"/>
                <w:color w:val="000000" w:themeColor="text1"/>
                <w:szCs w:val="16"/>
              </w:rPr>
            </w:pPr>
            <w:r w:rsidRPr="00781112">
              <w:rPr>
                <w:rFonts w:cs="Arial"/>
                <w:color w:val="000000" w:themeColor="text1"/>
                <w:szCs w:val="16"/>
              </w:rPr>
              <w:t>2.1.b.i Mediations agreements not related to due process complaints</w:t>
            </w:r>
          </w:p>
        </w:tc>
        <w:tc>
          <w:tcPr>
            <w:tcW w:w="826" w:type="pct"/>
          </w:tcPr>
          <w:p w14:paraId="5C65899A" w14:textId="77777777" w:rsidR="001126C3" w:rsidRPr="00781112" w:rsidRDefault="002B7490" w:rsidP="00A018D4">
            <w:pPr>
              <w:jc w:val="center"/>
              <w:rPr>
                <w:rFonts w:cs="Arial"/>
                <w:color w:val="000000" w:themeColor="text1"/>
                <w:szCs w:val="16"/>
              </w:rPr>
            </w:pPr>
            <w:r w:rsidRPr="00781112">
              <w:rPr>
                <w:rFonts w:cs="Arial"/>
                <w:color w:val="000000" w:themeColor="text1"/>
                <w:szCs w:val="16"/>
              </w:rPr>
              <w:t>1</w:t>
            </w:r>
          </w:p>
        </w:tc>
      </w:tr>
    </w:tbl>
    <w:p w14:paraId="049CE232" w14:textId="77777777" w:rsidR="00E8514E" w:rsidRPr="00781112" w:rsidRDefault="007D219D">
      <w:pPr>
        <w:rPr>
          <w:b/>
          <w:color w:val="000000" w:themeColor="text1"/>
        </w:rPr>
      </w:pPr>
      <w:r w:rsidRPr="00781112">
        <w:rPr>
          <w:b/>
          <w:color w:val="000000" w:themeColor="text1"/>
        </w:rPr>
        <w:t>Select yes if the data reported in this indicator are not the same as the State’s data reported under section 618 of the IDEA.</w:t>
      </w:r>
    </w:p>
    <w:p w14:paraId="119E5409" w14:textId="77777777" w:rsidR="00E8514E" w:rsidRPr="00781112" w:rsidRDefault="00E8514E">
      <w:pPr>
        <w:rPr>
          <w:color w:val="000000" w:themeColor="text1"/>
        </w:rPr>
      </w:pPr>
      <w:r w:rsidRPr="00781112">
        <w:rPr>
          <w:color w:val="000000" w:themeColor="text1"/>
        </w:rPr>
        <w:t>NO</w:t>
      </w:r>
    </w:p>
    <w:p w14:paraId="020A95C5" w14:textId="77777777" w:rsidR="00945274" w:rsidRPr="00781112" w:rsidRDefault="00945274" w:rsidP="004369B2">
      <w:pPr>
        <w:rPr>
          <w:color w:val="000000" w:themeColor="text1"/>
        </w:rPr>
      </w:pPr>
    </w:p>
    <w:p w14:paraId="6B205864" w14:textId="77777777" w:rsidR="000A2C83" w:rsidRPr="00781112" w:rsidRDefault="000A2C83" w:rsidP="004369B2">
      <w:pPr>
        <w:rPr>
          <w:b/>
          <w:color w:val="000000" w:themeColor="text1"/>
        </w:rPr>
      </w:pPr>
      <w:r w:rsidRPr="00781112">
        <w:rPr>
          <w:b/>
          <w:color w:val="000000" w:themeColor="text1"/>
        </w:rPr>
        <w:t xml:space="preserve">Targets: Description of Stakeholder Input </w:t>
      </w:r>
    </w:p>
    <w:p w14:paraId="52EBEC84" w14:textId="77777777" w:rsidR="000A2C83" w:rsidRPr="00781112" w:rsidRDefault="002B7490" w:rsidP="000A2C83">
      <w:pPr>
        <w:rPr>
          <w:rFonts w:cs="Arial"/>
          <w:color w:val="000000" w:themeColor="text1"/>
          <w:szCs w:val="16"/>
        </w:rPr>
      </w:pPr>
      <w:r w:rsidRPr="00781112">
        <w:rPr>
          <w:rFonts w:cs="Arial"/>
          <w:color w:val="000000" w:themeColor="text1"/>
          <w:szCs w:val="16"/>
        </w:rPr>
        <w:t>WVDE/OSE maintains robust stakeholder engagement through multiple communication and collaboration channels:</w:t>
      </w:r>
    </w:p>
    <w:p w14:paraId="3FDD5BFF" w14:textId="77777777" w:rsidR="00CA787A" w:rsidRDefault="003169E9">
      <w:r>
        <w:rPr>
          <w:color w:val="000000"/>
        </w:rPr>
        <w:t>*DIRECT COMMUNICATION/CONSULTATION*</w:t>
      </w:r>
    </w:p>
    <w:p w14:paraId="2A1F0986" w14:textId="77777777" w:rsidR="00CA787A" w:rsidRDefault="003169E9">
      <w:r>
        <w:rPr>
          <w:color w:val="000000"/>
        </w:rPr>
        <w:t>—Engaging in one-on-one calls with parents, advocates, educators, and community stakeholders.</w:t>
      </w:r>
    </w:p>
    <w:p w14:paraId="03BD22E3" w14:textId="77777777" w:rsidR="00CA787A" w:rsidRDefault="003169E9">
      <w:r>
        <w:rPr>
          <w:color w:val="000000"/>
        </w:rPr>
        <w:t>—Distributing emails and surveys to solicit input from diverse stakeholder groups.</w:t>
      </w:r>
    </w:p>
    <w:p w14:paraId="09F023B4" w14:textId="77777777" w:rsidR="00CA787A" w:rsidRDefault="003169E9">
      <w:r>
        <w:rPr>
          <w:color w:val="000000"/>
        </w:rPr>
        <w:t>—Hosting bi-monthly secondary transition office hours to address Indicator 13 compliance and results, and to provide technical assistance for IEP development.</w:t>
      </w:r>
    </w:p>
    <w:p w14:paraId="5C965D92" w14:textId="77777777" w:rsidR="00CA787A" w:rsidRDefault="003169E9">
      <w:r>
        <w:rPr>
          <w:color w:val="000000"/>
        </w:rPr>
        <w:t>—Monthly virtual meetings with stakeholders to identify and troubleshoot areas of concern throughout the state.</w:t>
      </w:r>
    </w:p>
    <w:p w14:paraId="0F909830" w14:textId="77777777" w:rsidR="00CA787A" w:rsidRDefault="003169E9">
      <w:r>
        <w:rPr>
          <w:color w:val="000000"/>
        </w:rPr>
        <w:t>*INFORMATION SHARING*</w:t>
      </w:r>
    </w:p>
    <w:p w14:paraId="392B1D5D" w14:textId="77777777" w:rsidR="00CA787A" w:rsidRDefault="003169E9">
      <w:r>
        <w:rPr>
          <w:color w:val="000000"/>
        </w:rPr>
        <w:t>—Utilizing a dedicated Microsoft Teams platform for communication with LEAs.</w:t>
      </w:r>
    </w:p>
    <w:p w14:paraId="46124DE7" w14:textId="77777777" w:rsidR="00CA787A" w:rsidRDefault="003169E9">
      <w:r>
        <w:rPr>
          <w:color w:val="000000"/>
        </w:rPr>
        <w:t>—Maintaining a public input form on the WVDE website specifically for SSIP feedback.</w:t>
      </w:r>
    </w:p>
    <w:p w14:paraId="47437DF2" w14:textId="77777777" w:rsidR="00CA787A" w:rsidRDefault="003169E9">
      <w:r>
        <w:rPr>
          <w:color w:val="000000"/>
        </w:rPr>
        <w:t xml:space="preserve">—Collecting input from parents, students, and school personnel as required components of monitoring activities. </w:t>
      </w:r>
    </w:p>
    <w:p w14:paraId="03437D64" w14:textId="77777777" w:rsidR="00CA787A" w:rsidRDefault="003169E9">
      <w:r>
        <w:rPr>
          <w:color w:val="000000"/>
        </w:rPr>
        <w:t>—Facilitating cross-office communication and coordination on general and special education initiatives.</w:t>
      </w:r>
    </w:p>
    <w:p w14:paraId="4F2E1BF3" w14:textId="77777777" w:rsidR="00CA787A" w:rsidRDefault="003169E9">
      <w:r>
        <w:rPr>
          <w:color w:val="000000"/>
        </w:rPr>
        <w:t>*COLLABORATIVE PARTNERSHIPS*</w:t>
      </w:r>
    </w:p>
    <w:p w14:paraId="36F32314" w14:textId="77777777" w:rsidR="00CA787A" w:rsidRDefault="003169E9">
      <w:r>
        <w:rPr>
          <w:color w:val="000000"/>
        </w:rPr>
        <w:t>—Engaging in ongoing meetings and interagency teams dedicated to enhancing outcomes for individuals with disabilities.</w:t>
      </w:r>
    </w:p>
    <w:p w14:paraId="28959307" w14:textId="77777777" w:rsidR="00CA787A" w:rsidRDefault="003169E9">
      <w:r>
        <w:rPr>
          <w:color w:val="000000"/>
        </w:rPr>
        <w:t>—Ensuring the state director's active participation in all WVACEEC meetings, including involvement in sessions, capacity-building efforts, and feedback collection from LEAs, parents, and community organizations.</w:t>
      </w:r>
    </w:p>
    <w:p w14:paraId="0D364871" w14:textId="77777777" w:rsidR="00CA787A" w:rsidRDefault="003169E9">
      <w:r>
        <w:rPr>
          <w:color w:val="000000"/>
        </w:rPr>
        <w:t>—Maintaining regular meetings and collaborative relationships with legislators, advocacy organizations, educator associations, and other stakeholders to strengthen stakeholder knowledge of IDEA procedures, improve SEA-stakeholder dialogue, and collaboratively develop strategies for ongoing improvement toward special education goals (e.g., the Developmental Disability Council (DD Council), Statewide Independent Living Council (SILC), State Rehabilitation Council (SRC), Employment First Task Force, Olmstead Council).</w:t>
      </w:r>
    </w:p>
    <w:p w14:paraId="7685C2CE" w14:textId="77777777" w:rsidR="000A2C83" w:rsidRPr="00781112" w:rsidRDefault="002B7490" w:rsidP="000A2C83">
      <w:pPr>
        <w:rPr>
          <w:rFonts w:cs="Arial"/>
          <w:color w:val="000000" w:themeColor="text1"/>
          <w:szCs w:val="16"/>
        </w:rPr>
      </w:pPr>
      <w:r w:rsidRPr="00781112">
        <w:rPr>
          <w:rFonts w:cs="Arial"/>
          <w:color w:val="000000" w:themeColor="text1"/>
          <w:szCs w:val="16"/>
        </w:rPr>
        <w:lastRenderedPageBreak/>
        <w:t>Stakeholders did not express interest in revising the Mediation targets during any meetings throughout the reporting period; however, WVDE/OSE is receptive to any potential recommendations that stakeholders may have regarding these targets.</w:t>
      </w:r>
    </w:p>
    <w:p w14:paraId="048F5C0A" w14:textId="77777777" w:rsidR="00E8514E" w:rsidRPr="00781112" w:rsidRDefault="00E8514E" w:rsidP="000A2C83">
      <w:pPr>
        <w:rPr>
          <w:rFonts w:cs="Arial"/>
          <w:color w:val="000000" w:themeColor="text1"/>
          <w:szCs w:val="16"/>
        </w:rPr>
      </w:pPr>
    </w:p>
    <w:p w14:paraId="0ACAA136" w14:textId="77777777" w:rsidR="008E31C4" w:rsidRPr="00781112" w:rsidRDefault="008E31C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6BASELINEDATA"/>
      </w:tblPr>
      <w:tblGrid>
        <w:gridCol w:w="1797"/>
        <w:gridCol w:w="1798"/>
      </w:tblGrid>
      <w:tr w:rsidR="00D75351" w:rsidRPr="00781112" w14:paraId="28DCFCD4" w14:textId="77777777" w:rsidTr="00123D76">
        <w:trPr>
          <w:trHeight w:val="311"/>
          <w:tblHeader/>
        </w:trPr>
        <w:tc>
          <w:tcPr>
            <w:tcW w:w="1797" w:type="dxa"/>
          </w:tcPr>
          <w:p w14:paraId="1A97433A" w14:textId="77777777" w:rsidR="00D75351" w:rsidRPr="00781112" w:rsidRDefault="00D75351" w:rsidP="00123D76">
            <w:pPr>
              <w:jc w:val="center"/>
              <w:rPr>
                <w:b/>
                <w:color w:val="000000" w:themeColor="text1"/>
              </w:rPr>
            </w:pPr>
            <w:r w:rsidRPr="00781112">
              <w:rPr>
                <w:rFonts w:cs="Arial"/>
                <w:b/>
                <w:color w:val="000000" w:themeColor="text1"/>
                <w:szCs w:val="16"/>
              </w:rPr>
              <w:t>Baseline Year</w:t>
            </w:r>
          </w:p>
        </w:tc>
        <w:tc>
          <w:tcPr>
            <w:tcW w:w="1798" w:type="dxa"/>
          </w:tcPr>
          <w:p w14:paraId="37FABACC" w14:textId="77777777" w:rsidR="00D75351" w:rsidRPr="00781112" w:rsidRDefault="00D75351" w:rsidP="00123D76">
            <w:pPr>
              <w:jc w:val="center"/>
              <w:rPr>
                <w:b/>
                <w:color w:val="000000" w:themeColor="text1"/>
              </w:rPr>
            </w:pPr>
            <w:r w:rsidRPr="00781112">
              <w:rPr>
                <w:b/>
                <w:color w:val="000000" w:themeColor="text1"/>
              </w:rPr>
              <w:t>Baseline Data</w:t>
            </w:r>
          </w:p>
        </w:tc>
      </w:tr>
      <w:tr w:rsidR="00D75351" w:rsidRPr="00781112" w14:paraId="4AB4564E" w14:textId="77777777" w:rsidTr="00123D76">
        <w:trPr>
          <w:trHeight w:val="311"/>
        </w:trPr>
        <w:tc>
          <w:tcPr>
            <w:tcW w:w="1797" w:type="dxa"/>
            <w:vAlign w:val="center"/>
          </w:tcPr>
          <w:p w14:paraId="40DC06E4" w14:textId="77777777" w:rsidR="00D75351" w:rsidRPr="00781112" w:rsidRDefault="00D75351" w:rsidP="00123D76">
            <w:pPr>
              <w:jc w:val="center"/>
              <w:rPr>
                <w:bCs/>
                <w:color w:val="000000" w:themeColor="text1"/>
              </w:rPr>
            </w:pPr>
            <w:r w:rsidRPr="00781112">
              <w:rPr>
                <w:bCs/>
                <w:color w:val="000000" w:themeColor="text1"/>
              </w:rPr>
              <w:t>2018</w:t>
            </w:r>
          </w:p>
        </w:tc>
        <w:tc>
          <w:tcPr>
            <w:tcW w:w="1798" w:type="dxa"/>
            <w:vAlign w:val="center"/>
          </w:tcPr>
          <w:p w14:paraId="5401234E" w14:textId="77777777" w:rsidR="00D75351" w:rsidRPr="00781112" w:rsidRDefault="00D75351" w:rsidP="00123D76">
            <w:pPr>
              <w:jc w:val="center"/>
              <w:rPr>
                <w:bCs/>
                <w:color w:val="000000" w:themeColor="text1"/>
              </w:rPr>
            </w:pPr>
            <w:r w:rsidRPr="00781112">
              <w:rPr>
                <w:bCs/>
                <w:color w:val="000000" w:themeColor="text1"/>
              </w:rPr>
              <w:t>57.14%</w:t>
            </w:r>
          </w:p>
        </w:tc>
      </w:tr>
    </w:tbl>
    <w:p w14:paraId="035FC88E" w14:textId="77777777" w:rsidR="00D75351" w:rsidRPr="00781112" w:rsidRDefault="00D75351"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6HISTDATA"/>
      </w:tblPr>
      <w:tblGrid>
        <w:gridCol w:w="1615"/>
        <w:gridCol w:w="1799"/>
        <w:gridCol w:w="1981"/>
        <w:gridCol w:w="1798"/>
        <w:gridCol w:w="1709"/>
        <w:gridCol w:w="1888"/>
      </w:tblGrid>
      <w:tr w:rsidR="005C29F8" w:rsidRPr="00781112" w14:paraId="725FDCB6" w14:textId="77777777" w:rsidTr="004B2960">
        <w:trPr>
          <w:trHeight w:val="350"/>
        </w:trPr>
        <w:tc>
          <w:tcPr>
            <w:tcW w:w="748" w:type="pct"/>
            <w:tcBorders>
              <w:bottom w:val="single" w:sz="4" w:space="0" w:color="auto"/>
            </w:tcBorders>
          </w:tcPr>
          <w:p w14:paraId="0C9D9760" w14:textId="77777777" w:rsidR="008E31C4" w:rsidRPr="00781112" w:rsidRDefault="008E31C4" w:rsidP="004369B2">
            <w:pPr>
              <w:jc w:val="center"/>
              <w:rPr>
                <w:rFonts w:cs="Arial"/>
                <w:b/>
                <w:color w:val="000000" w:themeColor="text1"/>
                <w:szCs w:val="16"/>
              </w:rPr>
            </w:pPr>
            <w:r w:rsidRPr="00781112">
              <w:rPr>
                <w:rFonts w:cs="Arial"/>
                <w:b/>
                <w:color w:val="000000" w:themeColor="text1"/>
                <w:szCs w:val="16"/>
              </w:rPr>
              <w:t>FFY</w:t>
            </w:r>
          </w:p>
        </w:tc>
        <w:tc>
          <w:tcPr>
            <w:tcW w:w="833" w:type="pct"/>
          </w:tcPr>
          <w:p w14:paraId="14C502AA" w14:textId="77777777" w:rsidR="008E31C4"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918" w:type="pct"/>
          </w:tcPr>
          <w:p w14:paraId="6503DD7E" w14:textId="77777777" w:rsidR="008E31C4"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833" w:type="pct"/>
          </w:tcPr>
          <w:p w14:paraId="60550B48" w14:textId="77777777" w:rsidR="008E31C4" w:rsidRPr="00781112" w:rsidRDefault="002B7490" w:rsidP="008E31C4">
            <w:pPr>
              <w:jc w:val="center"/>
              <w:rPr>
                <w:rFonts w:cs="Arial"/>
                <w:b/>
                <w:color w:val="000000" w:themeColor="text1"/>
                <w:szCs w:val="16"/>
              </w:rPr>
            </w:pPr>
            <w:r w:rsidRPr="00781112">
              <w:rPr>
                <w:rFonts w:cs="Arial"/>
                <w:b/>
                <w:color w:val="000000" w:themeColor="text1"/>
                <w:szCs w:val="16"/>
              </w:rPr>
              <w:t>2021</w:t>
            </w:r>
          </w:p>
        </w:tc>
        <w:tc>
          <w:tcPr>
            <w:tcW w:w="792" w:type="pct"/>
          </w:tcPr>
          <w:p w14:paraId="399EA133" w14:textId="77777777" w:rsidR="008E31C4" w:rsidRPr="00781112" w:rsidRDefault="002B7490" w:rsidP="008E31C4">
            <w:pPr>
              <w:jc w:val="center"/>
              <w:rPr>
                <w:rFonts w:cs="Arial"/>
                <w:b/>
                <w:color w:val="000000" w:themeColor="text1"/>
                <w:szCs w:val="16"/>
              </w:rPr>
            </w:pPr>
            <w:r w:rsidRPr="00781112">
              <w:rPr>
                <w:rFonts w:cs="Arial"/>
                <w:b/>
                <w:color w:val="000000" w:themeColor="text1"/>
                <w:szCs w:val="16"/>
              </w:rPr>
              <w:t>2022</w:t>
            </w:r>
          </w:p>
        </w:tc>
        <w:tc>
          <w:tcPr>
            <w:tcW w:w="875" w:type="pct"/>
          </w:tcPr>
          <w:p w14:paraId="159AE56A" w14:textId="77777777" w:rsidR="008E31C4" w:rsidRPr="00781112" w:rsidRDefault="002B7490" w:rsidP="008E31C4">
            <w:pPr>
              <w:jc w:val="center"/>
              <w:rPr>
                <w:rFonts w:cs="Arial"/>
                <w:b/>
                <w:color w:val="000000" w:themeColor="text1"/>
                <w:szCs w:val="16"/>
              </w:rPr>
            </w:pPr>
            <w:r w:rsidRPr="00781112">
              <w:rPr>
                <w:rFonts w:cs="Arial"/>
                <w:b/>
                <w:color w:val="000000" w:themeColor="text1"/>
                <w:szCs w:val="16"/>
              </w:rPr>
              <w:t>2023</w:t>
            </w:r>
          </w:p>
        </w:tc>
      </w:tr>
      <w:tr w:rsidR="005C29F8" w:rsidRPr="00781112" w14:paraId="1A3B91AC" w14:textId="77777777" w:rsidTr="004B2960">
        <w:trPr>
          <w:trHeight w:val="357"/>
        </w:trPr>
        <w:tc>
          <w:tcPr>
            <w:tcW w:w="748" w:type="pct"/>
          </w:tcPr>
          <w:p w14:paraId="62A31DB6" w14:textId="77777777" w:rsidR="008E31C4" w:rsidRPr="00781112" w:rsidRDefault="008E31C4" w:rsidP="00BA3DBE">
            <w:pPr>
              <w:jc w:val="center"/>
              <w:rPr>
                <w:rFonts w:cs="Arial"/>
                <w:color w:val="000000" w:themeColor="text1"/>
                <w:szCs w:val="16"/>
              </w:rPr>
            </w:pPr>
            <w:r w:rsidRPr="00781112">
              <w:rPr>
                <w:rFonts w:cs="Arial"/>
                <w:color w:val="000000" w:themeColor="text1"/>
                <w:szCs w:val="16"/>
              </w:rPr>
              <w:t>Target &gt;=</w:t>
            </w:r>
          </w:p>
        </w:tc>
        <w:tc>
          <w:tcPr>
            <w:tcW w:w="833" w:type="pct"/>
          </w:tcPr>
          <w:p w14:paraId="26B7C907" w14:textId="77777777" w:rsidR="008E31C4" w:rsidRPr="00781112" w:rsidRDefault="002B7490">
            <w:pPr>
              <w:jc w:val="center"/>
              <w:rPr>
                <w:rFonts w:cs="Arial"/>
                <w:color w:val="000000" w:themeColor="text1"/>
                <w:szCs w:val="16"/>
              </w:rPr>
            </w:pPr>
            <w:r w:rsidRPr="00781112">
              <w:rPr>
                <w:rFonts w:cs="Arial"/>
                <w:color w:val="000000" w:themeColor="text1"/>
                <w:szCs w:val="16"/>
              </w:rPr>
              <w:t>75.00%</w:t>
            </w:r>
          </w:p>
        </w:tc>
        <w:tc>
          <w:tcPr>
            <w:tcW w:w="918" w:type="pct"/>
          </w:tcPr>
          <w:p w14:paraId="73A7D952" w14:textId="77777777" w:rsidR="008E31C4" w:rsidRPr="00781112" w:rsidRDefault="002B7490">
            <w:pPr>
              <w:jc w:val="center"/>
              <w:rPr>
                <w:rFonts w:cs="Arial"/>
                <w:color w:val="000000" w:themeColor="text1"/>
                <w:szCs w:val="16"/>
              </w:rPr>
            </w:pPr>
            <w:r w:rsidRPr="00781112">
              <w:rPr>
                <w:rFonts w:cs="Arial"/>
                <w:color w:val="000000" w:themeColor="text1"/>
                <w:szCs w:val="16"/>
              </w:rPr>
              <w:t>58.00%</w:t>
            </w:r>
          </w:p>
        </w:tc>
        <w:tc>
          <w:tcPr>
            <w:tcW w:w="833" w:type="pct"/>
            <w:vAlign w:val="center"/>
          </w:tcPr>
          <w:p w14:paraId="09491F72" w14:textId="77777777" w:rsidR="008E31C4" w:rsidRPr="00781112" w:rsidRDefault="008E31C4">
            <w:pPr>
              <w:jc w:val="center"/>
              <w:rPr>
                <w:rFonts w:cs="Arial"/>
                <w:color w:val="000000" w:themeColor="text1"/>
                <w:szCs w:val="16"/>
              </w:rPr>
            </w:pPr>
          </w:p>
        </w:tc>
        <w:tc>
          <w:tcPr>
            <w:tcW w:w="792" w:type="pct"/>
            <w:vAlign w:val="center"/>
          </w:tcPr>
          <w:p w14:paraId="5548073E" w14:textId="77777777" w:rsidR="008E31C4" w:rsidRPr="00781112" w:rsidRDefault="002B7490">
            <w:pPr>
              <w:jc w:val="center"/>
              <w:rPr>
                <w:rFonts w:cs="Arial"/>
                <w:color w:val="000000" w:themeColor="text1"/>
                <w:szCs w:val="16"/>
              </w:rPr>
            </w:pPr>
            <w:r w:rsidRPr="00781112">
              <w:rPr>
                <w:rFonts w:cs="Arial"/>
                <w:color w:val="000000" w:themeColor="text1"/>
                <w:szCs w:val="16"/>
              </w:rPr>
              <w:t>59.00%</w:t>
            </w:r>
          </w:p>
        </w:tc>
        <w:tc>
          <w:tcPr>
            <w:tcW w:w="875" w:type="pct"/>
            <w:vAlign w:val="center"/>
          </w:tcPr>
          <w:p w14:paraId="474AC385" w14:textId="77777777" w:rsidR="008E31C4" w:rsidRPr="00781112" w:rsidRDefault="002B7490">
            <w:pPr>
              <w:jc w:val="center"/>
              <w:rPr>
                <w:rFonts w:cs="Arial"/>
                <w:color w:val="000000" w:themeColor="text1"/>
                <w:szCs w:val="16"/>
              </w:rPr>
            </w:pPr>
            <w:r w:rsidRPr="00781112">
              <w:rPr>
                <w:rFonts w:cs="Arial"/>
                <w:color w:val="000000" w:themeColor="text1"/>
                <w:szCs w:val="16"/>
              </w:rPr>
              <w:t>59.50%</w:t>
            </w:r>
          </w:p>
        </w:tc>
      </w:tr>
      <w:tr w:rsidR="005C29F8" w:rsidRPr="00781112" w14:paraId="25D9251A" w14:textId="77777777" w:rsidTr="004B2960">
        <w:trPr>
          <w:trHeight w:val="85"/>
        </w:trPr>
        <w:tc>
          <w:tcPr>
            <w:tcW w:w="748" w:type="pct"/>
          </w:tcPr>
          <w:p w14:paraId="7A502A7A" w14:textId="77777777" w:rsidR="008E31C4" w:rsidRPr="00781112" w:rsidRDefault="008E31C4" w:rsidP="00BA3DBE">
            <w:pPr>
              <w:jc w:val="center"/>
              <w:rPr>
                <w:rFonts w:cs="Arial"/>
                <w:color w:val="000000" w:themeColor="text1"/>
                <w:szCs w:val="16"/>
              </w:rPr>
            </w:pPr>
            <w:r w:rsidRPr="00781112">
              <w:rPr>
                <w:rFonts w:cs="Arial"/>
                <w:color w:val="000000" w:themeColor="text1"/>
                <w:szCs w:val="16"/>
              </w:rPr>
              <w:t>Data</w:t>
            </w:r>
          </w:p>
        </w:tc>
        <w:tc>
          <w:tcPr>
            <w:tcW w:w="833" w:type="pct"/>
          </w:tcPr>
          <w:p w14:paraId="707A96F5" w14:textId="77777777" w:rsidR="008E31C4" w:rsidRPr="00781112" w:rsidRDefault="002B7490">
            <w:pPr>
              <w:jc w:val="center"/>
              <w:rPr>
                <w:rFonts w:cs="Arial"/>
                <w:color w:val="000000" w:themeColor="text1"/>
                <w:szCs w:val="16"/>
              </w:rPr>
            </w:pPr>
            <w:r w:rsidRPr="00781112">
              <w:rPr>
                <w:rFonts w:cs="Arial"/>
                <w:color w:val="000000" w:themeColor="text1"/>
                <w:szCs w:val="16"/>
              </w:rPr>
              <w:t>100.00%</w:t>
            </w:r>
          </w:p>
        </w:tc>
        <w:tc>
          <w:tcPr>
            <w:tcW w:w="918" w:type="pct"/>
          </w:tcPr>
          <w:p w14:paraId="29FE32F6" w14:textId="77777777" w:rsidR="008E31C4" w:rsidRPr="00781112" w:rsidRDefault="002B7490">
            <w:pPr>
              <w:jc w:val="center"/>
              <w:rPr>
                <w:rFonts w:cs="Arial"/>
                <w:color w:val="000000" w:themeColor="text1"/>
                <w:szCs w:val="16"/>
              </w:rPr>
            </w:pPr>
            <w:r w:rsidRPr="00781112">
              <w:rPr>
                <w:rFonts w:cs="Arial"/>
                <w:color w:val="000000" w:themeColor="text1"/>
                <w:szCs w:val="16"/>
              </w:rPr>
              <w:t>100.00%</w:t>
            </w:r>
          </w:p>
        </w:tc>
        <w:tc>
          <w:tcPr>
            <w:tcW w:w="833" w:type="pct"/>
            <w:tcBorders>
              <w:bottom w:val="single" w:sz="4" w:space="0" w:color="auto"/>
            </w:tcBorders>
            <w:vAlign w:val="center"/>
          </w:tcPr>
          <w:p w14:paraId="17F5C7E2" w14:textId="77777777" w:rsidR="008E31C4" w:rsidRPr="00781112" w:rsidRDefault="002B7490">
            <w:pPr>
              <w:jc w:val="center"/>
              <w:rPr>
                <w:rFonts w:cs="Arial"/>
                <w:color w:val="000000" w:themeColor="text1"/>
                <w:szCs w:val="16"/>
              </w:rPr>
            </w:pPr>
            <w:r w:rsidRPr="00781112">
              <w:rPr>
                <w:rFonts w:cs="Arial"/>
                <w:color w:val="000000" w:themeColor="text1"/>
                <w:szCs w:val="16"/>
              </w:rPr>
              <w:t>0.00%</w:t>
            </w:r>
          </w:p>
        </w:tc>
        <w:tc>
          <w:tcPr>
            <w:tcW w:w="792" w:type="pct"/>
            <w:tcBorders>
              <w:bottom w:val="single" w:sz="4" w:space="0" w:color="auto"/>
            </w:tcBorders>
            <w:vAlign w:val="center"/>
          </w:tcPr>
          <w:p w14:paraId="4B01EBA3" w14:textId="77777777" w:rsidR="008E31C4" w:rsidRPr="00781112" w:rsidRDefault="002B7490">
            <w:pPr>
              <w:jc w:val="center"/>
              <w:rPr>
                <w:rFonts w:cs="Arial"/>
                <w:color w:val="000000" w:themeColor="text1"/>
                <w:szCs w:val="16"/>
              </w:rPr>
            </w:pPr>
            <w:r w:rsidRPr="00781112">
              <w:rPr>
                <w:rFonts w:cs="Arial"/>
                <w:color w:val="000000" w:themeColor="text1"/>
                <w:szCs w:val="16"/>
              </w:rPr>
              <w:t>75.00%</w:t>
            </w:r>
          </w:p>
        </w:tc>
        <w:tc>
          <w:tcPr>
            <w:tcW w:w="875" w:type="pct"/>
            <w:tcBorders>
              <w:bottom w:val="single" w:sz="4" w:space="0" w:color="auto"/>
            </w:tcBorders>
            <w:vAlign w:val="center"/>
          </w:tcPr>
          <w:p w14:paraId="23B9B172" w14:textId="77777777" w:rsidR="008E31C4" w:rsidRPr="00781112" w:rsidRDefault="002B7490">
            <w:pPr>
              <w:jc w:val="center"/>
              <w:rPr>
                <w:rFonts w:cs="Arial"/>
                <w:color w:val="000000" w:themeColor="text1"/>
                <w:szCs w:val="16"/>
              </w:rPr>
            </w:pPr>
            <w:r w:rsidRPr="00781112">
              <w:rPr>
                <w:rFonts w:cs="Arial"/>
                <w:color w:val="000000" w:themeColor="text1"/>
                <w:szCs w:val="16"/>
              </w:rPr>
              <w:t>50.00%</w:t>
            </w:r>
          </w:p>
        </w:tc>
      </w:tr>
    </w:tbl>
    <w:p w14:paraId="16712340" w14:textId="77777777" w:rsidR="00DA3157" w:rsidRPr="00781112" w:rsidRDefault="00DA3157">
      <w:pPr>
        <w:rPr>
          <w:color w:val="000000" w:themeColor="text1"/>
        </w:rPr>
      </w:pPr>
    </w:p>
    <w:p w14:paraId="0D6208B3" w14:textId="77777777" w:rsidR="008E31C4" w:rsidRPr="00781112" w:rsidRDefault="008E31C4" w:rsidP="004369B2">
      <w:pPr>
        <w:rPr>
          <w:color w:val="000000" w:themeColor="text1"/>
        </w:rPr>
      </w:pPr>
      <w:r w:rsidRPr="00781112">
        <w:rPr>
          <w:b/>
          <w:color w:val="000000" w:themeColor="text1"/>
        </w:rPr>
        <w:t>Targets</w:t>
      </w:r>
    </w:p>
    <w:tbl>
      <w:tblPr>
        <w:tblW w:w="1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6TARGETSOPT1"/>
      </w:tblPr>
      <w:tblGrid>
        <w:gridCol w:w="772"/>
        <w:gridCol w:w="1684"/>
        <w:gridCol w:w="1683"/>
      </w:tblGrid>
      <w:tr w:rsidR="008B52D3" w:rsidRPr="00781112" w14:paraId="68B7CADD" w14:textId="77777777" w:rsidTr="00924AD9">
        <w:trPr>
          <w:trHeight w:val="161"/>
        </w:trPr>
        <w:tc>
          <w:tcPr>
            <w:tcW w:w="933" w:type="pct"/>
            <w:tcBorders>
              <w:bottom w:val="single" w:sz="4" w:space="0" w:color="auto"/>
            </w:tcBorders>
          </w:tcPr>
          <w:p w14:paraId="04F46238" w14:textId="77777777" w:rsidR="008B52D3" w:rsidRPr="00781112" w:rsidRDefault="008B52D3" w:rsidP="00C91F30">
            <w:pPr>
              <w:jc w:val="center"/>
              <w:rPr>
                <w:b/>
                <w:color w:val="000000" w:themeColor="text1"/>
              </w:rPr>
            </w:pPr>
            <w:r w:rsidRPr="00781112">
              <w:rPr>
                <w:b/>
                <w:color w:val="000000" w:themeColor="text1"/>
              </w:rPr>
              <w:t>FFY</w:t>
            </w:r>
          </w:p>
        </w:tc>
        <w:tc>
          <w:tcPr>
            <w:tcW w:w="2034" w:type="pct"/>
          </w:tcPr>
          <w:p w14:paraId="2E68B1BF" w14:textId="77777777" w:rsidR="008B52D3" w:rsidRPr="00781112" w:rsidRDefault="008B52D3" w:rsidP="00C91F30">
            <w:pPr>
              <w:jc w:val="center"/>
              <w:rPr>
                <w:b/>
                <w:color w:val="000000" w:themeColor="text1"/>
              </w:rPr>
            </w:pPr>
            <w:r w:rsidRPr="00781112">
              <w:rPr>
                <w:b/>
                <w:color w:val="000000" w:themeColor="text1"/>
              </w:rPr>
              <w:t>2024</w:t>
            </w:r>
          </w:p>
        </w:tc>
        <w:tc>
          <w:tcPr>
            <w:tcW w:w="2033" w:type="pct"/>
          </w:tcPr>
          <w:p w14:paraId="0177B718" w14:textId="77777777" w:rsidR="008B52D3" w:rsidRPr="00781112" w:rsidRDefault="008B52D3" w:rsidP="00C91F30">
            <w:pPr>
              <w:jc w:val="center"/>
              <w:rPr>
                <w:b/>
                <w:color w:val="000000" w:themeColor="text1"/>
              </w:rPr>
            </w:pPr>
            <w:r w:rsidRPr="00781112">
              <w:rPr>
                <w:rFonts w:cs="Arial"/>
                <w:b/>
                <w:color w:val="000000" w:themeColor="text1"/>
                <w:szCs w:val="16"/>
              </w:rPr>
              <w:t>2025</w:t>
            </w:r>
          </w:p>
        </w:tc>
      </w:tr>
      <w:tr w:rsidR="008B52D3" w:rsidRPr="00781112" w14:paraId="6BA46ED0" w14:textId="77777777" w:rsidTr="00924AD9">
        <w:trPr>
          <w:trHeight w:val="60"/>
        </w:trPr>
        <w:tc>
          <w:tcPr>
            <w:tcW w:w="933" w:type="pct"/>
          </w:tcPr>
          <w:p w14:paraId="6DEE747F" w14:textId="77777777" w:rsidR="008B52D3" w:rsidRPr="00781112" w:rsidRDefault="008B52D3" w:rsidP="00C91F30">
            <w:pPr>
              <w:jc w:val="center"/>
              <w:rPr>
                <w:rFonts w:cs="Arial"/>
                <w:color w:val="000000" w:themeColor="text1"/>
                <w:szCs w:val="16"/>
              </w:rPr>
            </w:pPr>
            <w:r w:rsidRPr="00781112">
              <w:rPr>
                <w:rFonts w:cs="Arial"/>
                <w:color w:val="000000" w:themeColor="text1"/>
                <w:szCs w:val="16"/>
              </w:rPr>
              <w:t>Target &gt;=</w:t>
            </w:r>
          </w:p>
        </w:tc>
        <w:tc>
          <w:tcPr>
            <w:tcW w:w="2034" w:type="pct"/>
            <w:vAlign w:val="center"/>
          </w:tcPr>
          <w:p w14:paraId="6FF82D3C" w14:textId="77777777" w:rsidR="008B52D3" w:rsidRPr="00781112" w:rsidRDefault="008B52D3" w:rsidP="00C91F30">
            <w:pPr>
              <w:jc w:val="center"/>
              <w:rPr>
                <w:rFonts w:cs="Arial"/>
                <w:color w:val="000000" w:themeColor="text1"/>
                <w:szCs w:val="16"/>
              </w:rPr>
            </w:pPr>
            <w:r w:rsidRPr="00781112">
              <w:rPr>
                <w:rFonts w:cs="Arial"/>
                <w:color w:val="000000" w:themeColor="text1"/>
                <w:szCs w:val="16"/>
              </w:rPr>
              <w:t>60.00%</w:t>
            </w:r>
          </w:p>
        </w:tc>
        <w:tc>
          <w:tcPr>
            <w:tcW w:w="2033" w:type="pct"/>
          </w:tcPr>
          <w:p w14:paraId="1EEC55CD" w14:textId="77777777" w:rsidR="008B52D3" w:rsidRPr="00781112" w:rsidRDefault="008B52D3" w:rsidP="00C91F30">
            <w:pPr>
              <w:jc w:val="center"/>
              <w:rPr>
                <w:rFonts w:cs="Arial"/>
                <w:color w:val="000000" w:themeColor="text1"/>
                <w:szCs w:val="16"/>
              </w:rPr>
            </w:pPr>
            <w:r w:rsidRPr="00781112">
              <w:rPr>
                <w:color w:val="000000" w:themeColor="text1"/>
                <w:szCs w:val="16"/>
              </w:rPr>
              <w:t>60.50%</w:t>
            </w:r>
          </w:p>
        </w:tc>
      </w:tr>
    </w:tbl>
    <w:p w14:paraId="1E3C1D7F" w14:textId="77777777" w:rsidR="00DA3157" w:rsidRPr="00781112" w:rsidRDefault="00DA3157" w:rsidP="004369B2">
      <w:pPr>
        <w:rPr>
          <w:color w:val="000000" w:themeColor="text1"/>
        </w:rPr>
      </w:pPr>
    </w:p>
    <w:p w14:paraId="03445567" w14:textId="77777777" w:rsidR="008E31C4" w:rsidRPr="00781112" w:rsidRDefault="0047313F">
      <w:pPr>
        <w:rPr>
          <w:b/>
          <w:color w:val="000000" w:themeColor="text1"/>
        </w:rPr>
      </w:pPr>
      <w:r>
        <w:rPr>
          <w:b/>
          <w:color w:val="000000" w:themeColor="text1"/>
        </w:rPr>
        <w:t>FFY 2024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6CFFYAPRDATA1OPT1"/>
      </w:tblPr>
      <w:tblGrid>
        <w:gridCol w:w="1438"/>
        <w:gridCol w:w="1437"/>
        <w:gridCol w:w="1405"/>
        <w:gridCol w:w="1107"/>
        <w:gridCol w:w="1640"/>
        <w:gridCol w:w="1290"/>
        <w:gridCol w:w="1256"/>
        <w:gridCol w:w="1217"/>
      </w:tblGrid>
      <w:tr w:rsidR="00B21923" w:rsidRPr="00781112" w14:paraId="26E56740" w14:textId="77777777" w:rsidTr="0033429D">
        <w:trPr>
          <w:trHeight w:val="354"/>
          <w:tblHeader/>
        </w:trPr>
        <w:tc>
          <w:tcPr>
            <w:tcW w:w="666" w:type="pct"/>
          </w:tcPr>
          <w:p w14:paraId="6F8CEFBC"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2.1.a.i Mediation agreements related to due process complaints</w:t>
            </w:r>
          </w:p>
        </w:tc>
        <w:tc>
          <w:tcPr>
            <w:tcW w:w="666" w:type="pct"/>
            <w:vAlign w:val="bottom"/>
          </w:tcPr>
          <w:p w14:paraId="0CD5FCA8"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2.1.b.i Mediation agreements not related to due process complaints</w:t>
            </w:r>
          </w:p>
        </w:tc>
        <w:tc>
          <w:tcPr>
            <w:tcW w:w="651" w:type="pct"/>
            <w:vAlign w:val="bottom"/>
          </w:tcPr>
          <w:p w14:paraId="084A7F18"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2.1 Number of mediations held</w:t>
            </w:r>
          </w:p>
        </w:tc>
        <w:tc>
          <w:tcPr>
            <w:tcW w:w="513" w:type="pct"/>
            <w:vAlign w:val="bottom"/>
          </w:tcPr>
          <w:p w14:paraId="2CFA68D4" w14:textId="77777777" w:rsidR="00B21923" w:rsidRPr="006D0A52" w:rsidRDefault="00B21923" w:rsidP="00B21923">
            <w:pPr>
              <w:jc w:val="center"/>
              <w:rPr>
                <w:rFonts w:cs="Arial"/>
                <w:b/>
                <w:bCs/>
                <w:color w:val="000000" w:themeColor="text1"/>
                <w:szCs w:val="16"/>
              </w:rPr>
            </w:pPr>
            <w:r w:rsidRPr="006D0A52">
              <w:rPr>
                <w:b/>
                <w:bCs/>
              </w:rPr>
              <w:t>FFY 2023 Data</w:t>
            </w:r>
          </w:p>
        </w:tc>
        <w:tc>
          <w:tcPr>
            <w:tcW w:w="760" w:type="pct"/>
            <w:vAlign w:val="bottom"/>
          </w:tcPr>
          <w:p w14:paraId="1D944DD5" w14:textId="77777777" w:rsidR="00B21923" w:rsidRPr="006D0A52" w:rsidRDefault="00B21923" w:rsidP="00B21923">
            <w:pPr>
              <w:jc w:val="center"/>
              <w:rPr>
                <w:rFonts w:cs="Arial"/>
                <w:b/>
                <w:bCs/>
                <w:color w:val="000000" w:themeColor="text1"/>
                <w:szCs w:val="16"/>
              </w:rPr>
            </w:pPr>
            <w:r w:rsidRPr="006D0A52">
              <w:rPr>
                <w:b/>
                <w:bCs/>
              </w:rPr>
              <w:t>FFY 2024 Target</w:t>
            </w:r>
          </w:p>
        </w:tc>
        <w:tc>
          <w:tcPr>
            <w:tcW w:w="598" w:type="pct"/>
            <w:vAlign w:val="bottom"/>
          </w:tcPr>
          <w:p w14:paraId="5D7A9C6C" w14:textId="77777777" w:rsidR="00B21923" w:rsidRPr="006D0A52" w:rsidRDefault="00B21923" w:rsidP="00B21923">
            <w:pPr>
              <w:jc w:val="center"/>
              <w:rPr>
                <w:rFonts w:cs="Arial"/>
                <w:b/>
                <w:bCs/>
                <w:color w:val="000000" w:themeColor="text1"/>
                <w:szCs w:val="16"/>
              </w:rPr>
            </w:pPr>
            <w:r w:rsidRPr="006D0A52">
              <w:rPr>
                <w:b/>
                <w:bCs/>
              </w:rPr>
              <w:t>FFY 2024 Data</w:t>
            </w:r>
          </w:p>
        </w:tc>
        <w:tc>
          <w:tcPr>
            <w:tcW w:w="582" w:type="pct"/>
            <w:vAlign w:val="bottom"/>
          </w:tcPr>
          <w:p w14:paraId="43CFD657"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Status</w:t>
            </w:r>
          </w:p>
        </w:tc>
        <w:tc>
          <w:tcPr>
            <w:tcW w:w="564" w:type="pct"/>
            <w:vAlign w:val="bottom"/>
          </w:tcPr>
          <w:p w14:paraId="175EB228"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Slippage</w:t>
            </w:r>
          </w:p>
        </w:tc>
      </w:tr>
      <w:tr w:rsidR="005C29F8" w:rsidRPr="00781112" w14:paraId="7CE83C00" w14:textId="77777777" w:rsidTr="00326814">
        <w:trPr>
          <w:trHeight w:val="361"/>
        </w:trPr>
        <w:tc>
          <w:tcPr>
            <w:tcW w:w="666" w:type="pct"/>
          </w:tcPr>
          <w:p w14:paraId="49B6B700" w14:textId="77777777" w:rsidR="00ED71A6" w:rsidRPr="00781112" w:rsidRDefault="002B7490" w:rsidP="004369B2">
            <w:pPr>
              <w:jc w:val="center"/>
              <w:rPr>
                <w:rFonts w:cs="Arial"/>
                <w:color w:val="000000" w:themeColor="text1"/>
                <w:szCs w:val="16"/>
              </w:rPr>
            </w:pPr>
            <w:r w:rsidRPr="00781112">
              <w:rPr>
                <w:rFonts w:cs="Arial"/>
                <w:color w:val="000000" w:themeColor="text1"/>
                <w:szCs w:val="16"/>
              </w:rPr>
              <w:t>1</w:t>
            </w:r>
          </w:p>
        </w:tc>
        <w:tc>
          <w:tcPr>
            <w:tcW w:w="666" w:type="pct"/>
          </w:tcPr>
          <w:p w14:paraId="0197500C" w14:textId="77777777" w:rsidR="00ED71A6" w:rsidRPr="00781112" w:rsidRDefault="002B7490" w:rsidP="004369B2">
            <w:pPr>
              <w:jc w:val="center"/>
              <w:rPr>
                <w:rFonts w:cs="Arial"/>
                <w:color w:val="000000" w:themeColor="text1"/>
                <w:szCs w:val="16"/>
              </w:rPr>
            </w:pPr>
            <w:r w:rsidRPr="00781112">
              <w:rPr>
                <w:rFonts w:cs="Arial"/>
                <w:color w:val="000000" w:themeColor="text1"/>
                <w:szCs w:val="16"/>
              </w:rPr>
              <w:t>1</w:t>
            </w:r>
          </w:p>
        </w:tc>
        <w:tc>
          <w:tcPr>
            <w:tcW w:w="651" w:type="pct"/>
            <w:vAlign w:val="center"/>
          </w:tcPr>
          <w:p w14:paraId="24E6960E" w14:textId="77777777" w:rsidR="00ED71A6" w:rsidRPr="00781112" w:rsidRDefault="002B7490" w:rsidP="004369B2">
            <w:pPr>
              <w:jc w:val="center"/>
              <w:rPr>
                <w:rFonts w:cs="Arial"/>
                <w:color w:val="000000" w:themeColor="text1"/>
                <w:szCs w:val="16"/>
              </w:rPr>
            </w:pPr>
            <w:r w:rsidRPr="00781112">
              <w:rPr>
                <w:rFonts w:cs="Arial"/>
                <w:color w:val="000000" w:themeColor="text1"/>
                <w:szCs w:val="16"/>
              </w:rPr>
              <w:t>4</w:t>
            </w:r>
          </w:p>
        </w:tc>
        <w:tc>
          <w:tcPr>
            <w:tcW w:w="513" w:type="pct"/>
          </w:tcPr>
          <w:p w14:paraId="3D176BAF" w14:textId="77777777" w:rsidR="00ED71A6" w:rsidRPr="00781112" w:rsidRDefault="002B7490" w:rsidP="004369B2">
            <w:pPr>
              <w:jc w:val="center"/>
              <w:rPr>
                <w:rFonts w:cs="Arial"/>
                <w:color w:val="000000" w:themeColor="text1"/>
                <w:szCs w:val="16"/>
              </w:rPr>
            </w:pPr>
            <w:r w:rsidRPr="00781112">
              <w:rPr>
                <w:rFonts w:cs="Arial"/>
                <w:color w:val="000000" w:themeColor="text1"/>
                <w:szCs w:val="16"/>
              </w:rPr>
              <w:t>50.00%</w:t>
            </w:r>
          </w:p>
        </w:tc>
        <w:tc>
          <w:tcPr>
            <w:tcW w:w="760" w:type="pct"/>
          </w:tcPr>
          <w:p w14:paraId="468ADA53" w14:textId="77777777" w:rsidR="00ED71A6" w:rsidRPr="00781112" w:rsidRDefault="002B7490" w:rsidP="004369B2">
            <w:pPr>
              <w:jc w:val="center"/>
              <w:rPr>
                <w:rFonts w:cs="Arial"/>
                <w:color w:val="000000" w:themeColor="text1"/>
                <w:szCs w:val="16"/>
              </w:rPr>
            </w:pPr>
            <w:r w:rsidRPr="00781112">
              <w:rPr>
                <w:rFonts w:cs="Arial"/>
                <w:color w:val="000000" w:themeColor="text1"/>
                <w:szCs w:val="16"/>
              </w:rPr>
              <w:t>60.00%</w:t>
            </w:r>
          </w:p>
        </w:tc>
        <w:tc>
          <w:tcPr>
            <w:tcW w:w="598" w:type="pct"/>
          </w:tcPr>
          <w:p w14:paraId="57E677B8" w14:textId="77777777" w:rsidR="00ED71A6" w:rsidRPr="00781112" w:rsidRDefault="002B7490" w:rsidP="004369B2">
            <w:pPr>
              <w:jc w:val="center"/>
              <w:rPr>
                <w:rFonts w:cs="Arial"/>
                <w:color w:val="000000" w:themeColor="text1"/>
                <w:szCs w:val="16"/>
              </w:rPr>
            </w:pPr>
            <w:r w:rsidRPr="00781112">
              <w:rPr>
                <w:rFonts w:cs="Arial"/>
                <w:color w:val="000000" w:themeColor="text1"/>
                <w:szCs w:val="16"/>
              </w:rPr>
              <w:t>50.00%</w:t>
            </w:r>
          </w:p>
        </w:tc>
        <w:tc>
          <w:tcPr>
            <w:tcW w:w="582" w:type="pct"/>
          </w:tcPr>
          <w:p w14:paraId="3F8BB851" w14:textId="77777777" w:rsidR="00ED71A6"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564" w:type="pct"/>
          </w:tcPr>
          <w:p w14:paraId="6E2AD989" w14:textId="77777777" w:rsidR="00ED71A6"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7452C71B" w14:textId="77777777" w:rsidR="00BB79DA" w:rsidRPr="00781112" w:rsidRDefault="00BB79DA">
      <w:pPr>
        <w:rPr>
          <w:color w:val="000000" w:themeColor="text1"/>
        </w:rPr>
      </w:pPr>
    </w:p>
    <w:p w14:paraId="26AD416F" w14:textId="77777777" w:rsidR="00913A33" w:rsidRPr="00781112" w:rsidRDefault="00913A33" w:rsidP="00913A33">
      <w:pPr>
        <w:rPr>
          <w:rFonts w:cs="Arial"/>
          <w:b/>
          <w:color w:val="000000" w:themeColor="text1"/>
          <w:szCs w:val="16"/>
        </w:rPr>
      </w:pPr>
      <w:r w:rsidRPr="00781112">
        <w:rPr>
          <w:rFonts w:cs="Arial"/>
          <w:b/>
          <w:color w:val="000000" w:themeColor="text1"/>
          <w:szCs w:val="16"/>
        </w:rPr>
        <w:t>Provide additional information about this indicator (optional)</w:t>
      </w:r>
    </w:p>
    <w:p w14:paraId="5FB40515" w14:textId="77777777" w:rsidR="00293C7E" w:rsidRPr="00781112" w:rsidRDefault="00293C7E" w:rsidP="007D435F">
      <w:pPr>
        <w:rPr>
          <w:rFonts w:cs="Arial"/>
          <w:color w:val="000000" w:themeColor="text1"/>
          <w:szCs w:val="16"/>
        </w:rPr>
      </w:pPr>
    </w:p>
    <w:p w14:paraId="1833D497" w14:textId="77777777" w:rsidR="00293C7E" w:rsidRPr="00781112" w:rsidRDefault="001C46DC" w:rsidP="00123D76">
      <w:pPr>
        <w:pStyle w:val="Heading2"/>
      </w:pPr>
      <w:r w:rsidRPr="00781112">
        <w:t>16</w:t>
      </w:r>
      <w:r w:rsidR="001D508D" w:rsidRPr="00781112">
        <w:t xml:space="preserve"> </w:t>
      </w:r>
      <w:r w:rsidRPr="00781112">
        <w:t xml:space="preserve">- </w:t>
      </w:r>
      <w:r w:rsidR="00293C7E" w:rsidRPr="00781112">
        <w:t>Prior FFY Required Actions</w:t>
      </w:r>
    </w:p>
    <w:p w14:paraId="176F7628" w14:textId="77777777" w:rsidR="009F69E7" w:rsidRPr="00781112" w:rsidRDefault="002B7490" w:rsidP="00293C7E">
      <w:pPr>
        <w:rPr>
          <w:rFonts w:cs="Arial"/>
          <w:color w:val="000000" w:themeColor="text1"/>
          <w:szCs w:val="16"/>
        </w:rPr>
      </w:pPr>
      <w:r w:rsidRPr="00781112">
        <w:rPr>
          <w:rFonts w:cs="Arial"/>
          <w:color w:val="000000" w:themeColor="text1"/>
          <w:szCs w:val="16"/>
        </w:rPr>
        <w:t>None</w:t>
      </w:r>
    </w:p>
    <w:p w14:paraId="2A149315" w14:textId="77777777" w:rsidR="00913A33" w:rsidRPr="00781112" w:rsidRDefault="001C46DC" w:rsidP="00123D76">
      <w:pPr>
        <w:pStyle w:val="Heading2"/>
      </w:pPr>
      <w:r w:rsidRPr="00781112">
        <w:t>16 - OSEP Response</w:t>
      </w:r>
    </w:p>
    <w:p w14:paraId="725B4918" w14:textId="77777777" w:rsidR="00293C7E" w:rsidRPr="00781112" w:rsidRDefault="002B7490" w:rsidP="001F692C">
      <w:pPr>
        <w:rPr>
          <w:rFonts w:cs="Arial"/>
          <w:color w:val="000000" w:themeColor="text1"/>
          <w:szCs w:val="16"/>
        </w:rPr>
      </w:pPr>
      <w:r w:rsidRPr="00781112">
        <w:rPr>
          <w:rFonts w:cs="Arial"/>
          <w:color w:val="000000" w:themeColor="text1"/>
          <w:szCs w:val="16"/>
        </w:rPr>
        <w:t>The State reported fewer than ten mediations held in FFY 2024. The State is not required to meet its targets until any fiscal year in which ten or more mediations were held.</w:t>
      </w:r>
    </w:p>
    <w:p w14:paraId="33100DF6" w14:textId="77777777" w:rsidR="00913A33" w:rsidRPr="00781112" w:rsidRDefault="001C46DC" w:rsidP="00123D76">
      <w:pPr>
        <w:pStyle w:val="Heading2"/>
      </w:pPr>
      <w:r w:rsidRPr="00781112">
        <w:t>16 - Required Actions</w:t>
      </w:r>
    </w:p>
    <w:p w14:paraId="09F4741B" w14:textId="77777777" w:rsidR="00293C7E" w:rsidRPr="00781112" w:rsidRDefault="00293C7E" w:rsidP="001F692C">
      <w:pPr>
        <w:rPr>
          <w:rFonts w:cs="Arial"/>
          <w:color w:val="000000" w:themeColor="text1"/>
          <w:szCs w:val="16"/>
        </w:rPr>
      </w:pPr>
    </w:p>
    <w:p w14:paraId="0216EC34" w14:textId="77777777" w:rsidR="00755AF7" w:rsidRPr="00781112" w:rsidRDefault="00755AF7">
      <w:pPr>
        <w:spacing w:before="0" w:after="200" w:line="276" w:lineRule="auto"/>
        <w:rPr>
          <w:rFonts w:cs="Arial"/>
          <w:color w:val="000000" w:themeColor="text1"/>
          <w:szCs w:val="16"/>
        </w:rPr>
      </w:pPr>
    </w:p>
    <w:p w14:paraId="447049CD" w14:textId="77777777" w:rsidR="00AE1972" w:rsidRPr="00781112" w:rsidRDefault="00AE1972">
      <w:pPr>
        <w:spacing w:before="0" w:after="200" w:line="276" w:lineRule="auto"/>
        <w:rPr>
          <w:color w:val="000000" w:themeColor="text1"/>
        </w:rPr>
      </w:pPr>
      <w:r w:rsidRPr="00781112">
        <w:rPr>
          <w:color w:val="000000" w:themeColor="text1"/>
        </w:rPr>
        <w:br w:type="page"/>
      </w:r>
    </w:p>
    <w:p w14:paraId="22CC1F2F" w14:textId="77777777" w:rsidR="00AE1972" w:rsidRPr="00781112" w:rsidRDefault="00AE1972" w:rsidP="00AE1972">
      <w:pPr>
        <w:pStyle w:val="Heading1"/>
        <w:rPr>
          <w:color w:val="000000" w:themeColor="text1"/>
        </w:rPr>
      </w:pPr>
      <w:r w:rsidRPr="00781112">
        <w:rPr>
          <w:color w:val="000000" w:themeColor="text1"/>
        </w:rPr>
        <w:lastRenderedPageBreak/>
        <w:t>Indicator 17: State Systemic Improvement Plan</w:t>
      </w:r>
    </w:p>
    <w:p w14:paraId="0BD51329" w14:textId="77777777" w:rsidR="00AE1972" w:rsidRPr="002C274F" w:rsidRDefault="00AE1972" w:rsidP="002C274F">
      <w:pPr>
        <w:rPr>
          <w:b/>
          <w:bCs/>
          <w:sz w:val="20"/>
          <w:szCs w:val="20"/>
        </w:rPr>
      </w:pPr>
      <w:r w:rsidRPr="002C274F">
        <w:rPr>
          <w:b/>
          <w:bCs/>
          <w:sz w:val="20"/>
          <w:szCs w:val="20"/>
        </w:rPr>
        <w:t>Instructions and Measurement</w:t>
      </w:r>
    </w:p>
    <w:p w14:paraId="084CD182" w14:textId="77777777" w:rsidR="00AE1972" w:rsidRPr="00781112" w:rsidRDefault="00AE1972" w:rsidP="00AE1972">
      <w:pPr>
        <w:rPr>
          <w:color w:val="000000" w:themeColor="text1"/>
          <w:szCs w:val="16"/>
        </w:rPr>
      </w:pPr>
      <w:r w:rsidRPr="00781112">
        <w:rPr>
          <w:b/>
          <w:color w:val="000000" w:themeColor="text1"/>
          <w:szCs w:val="16"/>
        </w:rPr>
        <w:t xml:space="preserve">Monitoring Priority: </w:t>
      </w:r>
      <w:r w:rsidRPr="00781112">
        <w:rPr>
          <w:color w:val="000000" w:themeColor="text1"/>
          <w:szCs w:val="16"/>
        </w:rPr>
        <w:t xml:space="preserve">General Supervision </w:t>
      </w:r>
    </w:p>
    <w:p w14:paraId="060E11E4" w14:textId="77777777" w:rsidR="00AE1972" w:rsidRPr="00781112" w:rsidRDefault="00A9762F" w:rsidP="00AE1972">
      <w:pPr>
        <w:rPr>
          <w:b/>
          <w:color w:val="000000" w:themeColor="text1"/>
          <w:szCs w:val="16"/>
        </w:rPr>
      </w:pPr>
      <w:r w:rsidRPr="00924AD9">
        <w:rPr>
          <w:b/>
          <w:bCs/>
          <w:color w:val="000000" w:themeColor="text1"/>
          <w:szCs w:val="16"/>
        </w:rPr>
        <w:t>Results indicator:</w:t>
      </w:r>
      <w:r>
        <w:rPr>
          <w:color w:val="000000" w:themeColor="text1"/>
          <w:szCs w:val="16"/>
        </w:rPr>
        <w:t xml:space="preserve"> </w:t>
      </w:r>
      <w:r w:rsidR="00AE1972" w:rsidRPr="00781112">
        <w:rPr>
          <w:color w:val="000000" w:themeColor="text1"/>
          <w:szCs w:val="16"/>
        </w:rPr>
        <w:t>The State’s SPP/APR includes a State Systemic Improvement Plan (SSIP) that meets the requirements set forth for this indicator.</w:t>
      </w:r>
    </w:p>
    <w:p w14:paraId="64D10B01" w14:textId="77777777" w:rsidR="00AE1972" w:rsidRPr="00781112" w:rsidRDefault="00AE1972" w:rsidP="00AE1972">
      <w:pPr>
        <w:rPr>
          <w:b/>
          <w:color w:val="000000" w:themeColor="text1"/>
        </w:rPr>
      </w:pPr>
      <w:r w:rsidRPr="00781112">
        <w:rPr>
          <w:b/>
          <w:color w:val="000000" w:themeColor="text1"/>
        </w:rPr>
        <w:t>Measurement</w:t>
      </w:r>
    </w:p>
    <w:p w14:paraId="42A00186" w14:textId="77777777" w:rsidR="00AE1972" w:rsidRPr="00781112" w:rsidRDefault="00AE1972" w:rsidP="00AE1972">
      <w:r w:rsidRPr="00781112">
        <w:t xml:space="preserve">The State’s SPP/APR includes an SSIP that is a comprehensive, ambitious, yet achievable multi-year plan for improving results </w:t>
      </w:r>
      <w:r w:rsidR="00002E37" w:rsidRPr="00651E83">
        <w:rPr>
          <w:rFonts w:cs="Arial"/>
          <w:szCs w:val="16"/>
        </w:rPr>
        <w:t xml:space="preserve">for </w:t>
      </w:r>
      <w:r w:rsidR="006B5750">
        <w:rPr>
          <w:rFonts w:cs="Arial"/>
          <w:szCs w:val="16"/>
        </w:rPr>
        <w:t>children</w:t>
      </w:r>
      <w:r w:rsidR="006B5750" w:rsidRPr="00651E83">
        <w:rPr>
          <w:rFonts w:cs="Arial"/>
          <w:szCs w:val="16"/>
        </w:rPr>
        <w:t xml:space="preserve"> </w:t>
      </w:r>
      <w:r w:rsidR="00002E37" w:rsidRPr="00651E83">
        <w:rPr>
          <w:rFonts w:cs="Arial"/>
          <w:szCs w:val="16"/>
        </w:rPr>
        <w:t>with disabilities</w:t>
      </w:r>
      <w:r w:rsidRPr="00781112">
        <w:t>. The SSIP includes each of the components described below.</w:t>
      </w:r>
    </w:p>
    <w:p w14:paraId="0F675B8F" w14:textId="77777777" w:rsidR="00AE1972" w:rsidRPr="00781112" w:rsidRDefault="00AE1972" w:rsidP="00AE1972">
      <w:pPr>
        <w:rPr>
          <w:b/>
          <w:color w:val="000000" w:themeColor="text1"/>
        </w:rPr>
      </w:pPr>
      <w:r w:rsidRPr="00781112">
        <w:rPr>
          <w:b/>
          <w:color w:val="000000" w:themeColor="text1"/>
        </w:rPr>
        <w:t>Instructions</w:t>
      </w:r>
    </w:p>
    <w:p w14:paraId="0B302351" w14:textId="77777777" w:rsidR="00AE1972" w:rsidRPr="00781112" w:rsidRDefault="00AE1972" w:rsidP="00AE1972">
      <w:r w:rsidRPr="00781112">
        <w:rPr>
          <w:b/>
          <w:iCs/>
          <w:u w:val="single"/>
        </w:rPr>
        <w:t>Baseline Data</w:t>
      </w:r>
      <w:r w:rsidRPr="00781112">
        <w:rPr>
          <w:b/>
          <w:i/>
        </w:rPr>
        <w:t>:</w:t>
      </w:r>
      <w:r w:rsidRPr="00781112">
        <w:t xml:space="preserve"> The State must provide baseline data that must be expressed as a percentage</w:t>
      </w:r>
      <w:r w:rsidR="00857A31">
        <w:t>,</w:t>
      </w:r>
      <w:r w:rsidRPr="00781112">
        <w:t xml:space="preserve"> and which is aligned with the State-identified Measurable Result(s) </w:t>
      </w:r>
      <w:r w:rsidR="00EE0EC5">
        <w:t>(</w:t>
      </w:r>
      <w:proofErr w:type="spellStart"/>
      <w:r w:rsidR="00EE0EC5">
        <w:t>SiMR</w:t>
      </w:r>
      <w:proofErr w:type="spellEnd"/>
      <w:r w:rsidR="00EE0EC5">
        <w:t xml:space="preserve">) </w:t>
      </w:r>
      <w:r w:rsidRPr="00781112">
        <w:t xml:space="preserve">for </w:t>
      </w:r>
      <w:r w:rsidR="00B00A11" w:rsidRPr="00781112">
        <w:rPr>
          <w:rFonts w:cs="Arial"/>
          <w:szCs w:val="16"/>
        </w:rPr>
        <w:t>Children with Disabilities.</w:t>
      </w:r>
    </w:p>
    <w:p w14:paraId="50C78DE7" w14:textId="77777777" w:rsidR="00AE1972" w:rsidRPr="00781112" w:rsidRDefault="00AE1972" w:rsidP="00AE1972">
      <w:r w:rsidRPr="00781112">
        <w:rPr>
          <w:b/>
          <w:iCs/>
          <w:u w:val="single"/>
        </w:rPr>
        <w:t>Targets</w:t>
      </w:r>
      <w:r w:rsidRPr="00781112">
        <w:rPr>
          <w:b/>
          <w:i/>
        </w:rPr>
        <w:t>:</w:t>
      </w:r>
      <w:r w:rsidRPr="00781112">
        <w:t xml:space="preserve"> </w:t>
      </w:r>
      <w:r w:rsidR="00E101A7" w:rsidRPr="00781112">
        <w:rPr>
          <w:rFonts w:cs="Arial"/>
          <w:szCs w:val="16"/>
        </w:rPr>
        <w:t xml:space="preserve">In its </w:t>
      </w:r>
      <w:r w:rsidR="0047313F">
        <w:rPr>
          <w:rFonts w:cs="Arial"/>
          <w:szCs w:val="16"/>
        </w:rPr>
        <w:t>FFY 202</w:t>
      </w:r>
      <w:r w:rsidR="00B632B8">
        <w:rPr>
          <w:rFonts w:cs="Arial"/>
          <w:szCs w:val="16"/>
        </w:rPr>
        <w:t>0</w:t>
      </w:r>
      <w:r w:rsidR="0047313F">
        <w:rPr>
          <w:rFonts w:cs="Arial"/>
          <w:szCs w:val="16"/>
        </w:rPr>
        <w:t xml:space="preserve"> SPP/APR, due </w:t>
      </w:r>
      <w:r w:rsidR="00AD1B29">
        <w:rPr>
          <w:rFonts w:cs="Arial"/>
          <w:szCs w:val="16"/>
        </w:rPr>
        <w:t>February 1, 202</w:t>
      </w:r>
      <w:r w:rsidR="00B632B8">
        <w:rPr>
          <w:rFonts w:cs="Arial"/>
          <w:szCs w:val="16"/>
        </w:rPr>
        <w:t>2</w:t>
      </w:r>
      <w:r w:rsidR="00E101A7" w:rsidRPr="00781112">
        <w:rPr>
          <w:rFonts w:cs="Arial"/>
          <w:szCs w:val="16"/>
        </w:rPr>
        <w:t xml:space="preserve">, the State must provide measurable and rigorous targets (expressed as percentages) for each of the </w:t>
      </w:r>
      <w:r w:rsidR="00F35094">
        <w:rPr>
          <w:rFonts w:cs="Arial"/>
          <w:szCs w:val="16"/>
        </w:rPr>
        <w:t xml:space="preserve">six </w:t>
      </w:r>
      <w:r w:rsidR="00E101A7" w:rsidRPr="00781112">
        <w:rPr>
          <w:rFonts w:cs="Arial"/>
          <w:szCs w:val="16"/>
        </w:rPr>
        <w:t xml:space="preserve">years from FFY </w:t>
      </w:r>
      <w:r w:rsidR="00B21923" w:rsidRPr="00781112">
        <w:rPr>
          <w:rFonts w:cs="Arial"/>
          <w:szCs w:val="16"/>
        </w:rPr>
        <w:t>202</w:t>
      </w:r>
      <w:r w:rsidR="00B632B8">
        <w:rPr>
          <w:rFonts w:cs="Arial"/>
          <w:szCs w:val="16"/>
        </w:rPr>
        <w:t>0</w:t>
      </w:r>
      <w:r w:rsidR="00B21923" w:rsidRPr="00781112">
        <w:rPr>
          <w:rFonts w:cs="Arial"/>
          <w:szCs w:val="16"/>
        </w:rPr>
        <w:t xml:space="preserve"> </w:t>
      </w:r>
      <w:r w:rsidR="00E101A7" w:rsidRPr="00781112">
        <w:rPr>
          <w:rFonts w:cs="Arial"/>
          <w:szCs w:val="16"/>
        </w:rPr>
        <w:t>through FFY 2025. The State’s FFY 2025 target must demonstrate improvement over the State’s</w:t>
      </w:r>
      <w:r w:rsidR="00635660" w:rsidRPr="00635660">
        <w:rPr>
          <w:rFonts w:cs="Arial"/>
          <w:szCs w:val="16"/>
        </w:rPr>
        <w:t xml:space="preserve"> </w:t>
      </w:r>
      <w:r w:rsidR="00635660">
        <w:rPr>
          <w:rFonts w:cs="Arial"/>
          <w:szCs w:val="16"/>
        </w:rPr>
        <w:t>b</w:t>
      </w:r>
      <w:r w:rsidR="00E101A7" w:rsidRPr="00781112">
        <w:rPr>
          <w:rFonts w:cs="Arial"/>
          <w:szCs w:val="16"/>
        </w:rPr>
        <w:t>aseline data.</w:t>
      </w:r>
      <w:r w:rsidR="00404B50">
        <w:rPr>
          <w:rFonts w:cs="Arial"/>
          <w:szCs w:val="16"/>
        </w:rPr>
        <w:t xml:space="preserve"> </w:t>
      </w:r>
    </w:p>
    <w:p w14:paraId="129BA898" w14:textId="77777777" w:rsidR="00AE1972" w:rsidRPr="00781112" w:rsidRDefault="00AE1972" w:rsidP="00AE1972">
      <w:r w:rsidRPr="00781112">
        <w:rPr>
          <w:b/>
          <w:iCs/>
          <w:u w:val="single"/>
        </w:rPr>
        <w:t>Updated Data:</w:t>
      </w:r>
      <w:r w:rsidRPr="00781112">
        <w:t xml:space="preserve"> </w:t>
      </w:r>
      <w:r w:rsidR="00B00A11" w:rsidRPr="00781112">
        <w:rPr>
          <w:rFonts w:cs="Arial"/>
          <w:szCs w:val="16"/>
        </w:rPr>
        <w:t xml:space="preserve">In its FFYs </w:t>
      </w:r>
      <w:r w:rsidR="00935E2F" w:rsidRPr="00781112">
        <w:rPr>
          <w:rFonts w:cs="Arial"/>
          <w:szCs w:val="16"/>
        </w:rPr>
        <w:t>202</w:t>
      </w:r>
      <w:r w:rsidR="00935E2F">
        <w:rPr>
          <w:rFonts w:cs="Arial"/>
          <w:szCs w:val="16"/>
        </w:rPr>
        <w:t>0</w:t>
      </w:r>
      <w:r w:rsidR="00935E2F" w:rsidRPr="00781112">
        <w:rPr>
          <w:rFonts w:cs="Arial"/>
          <w:szCs w:val="16"/>
        </w:rPr>
        <w:t xml:space="preserve"> </w:t>
      </w:r>
      <w:r w:rsidR="00B00A11" w:rsidRPr="00781112">
        <w:rPr>
          <w:rFonts w:cs="Arial"/>
          <w:szCs w:val="16"/>
        </w:rPr>
        <w:t xml:space="preserve">through FFY 2025 SPPs/APRs, due </w:t>
      </w:r>
      <w:r w:rsidR="00AD1B29">
        <w:rPr>
          <w:rFonts w:cs="Arial"/>
          <w:szCs w:val="16"/>
        </w:rPr>
        <w:t xml:space="preserve">February </w:t>
      </w:r>
      <w:r w:rsidR="00935E2F">
        <w:rPr>
          <w:rFonts w:cs="Arial"/>
          <w:szCs w:val="16"/>
        </w:rPr>
        <w:t>2022 through February 2027</w:t>
      </w:r>
      <w:r w:rsidR="00B00A11" w:rsidRPr="00781112">
        <w:rPr>
          <w:rFonts w:cs="Arial"/>
          <w:szCs w:val="16"/>
        </w:rPr>
        <w:t xml:space="preserve">, the State must provide updated data for that specific FFY (expressed as percentages) and that data must be aligned with the State-identified Measurable Result(s) </w:t>
      </w:r>
      <w:r w:rsidR="00F35094">
        <w:rPr>
          <w:rFonts w:cs="Arial"/>
          <w:szCs w:val="16"/>
        </w:rPr>
        <w:t xml:space="preserve">Children with Disabilities. </w:t>
      </w:r>
      <w:r w:rsidR="00B00A11" w:rsidRPr="00781112">
        <w:rPr>
          <w:rFonts w:cs="Arial"/>
          <w:szCs w:val="16"/>
        </w:rPr>
        <w:t>In its FFY</w:t>
      </w:r>
      <w:r w:rsidR="00F35094">
        <w:rPr>
          <w:rFonts w:cs="Arial"/>
          <w:szCs w:val="16"/>
        </w:rPr>
        <w:t>s</w:t>
      </w:r>
      <w:r w:rsidR="00B00A11" w:rsidRPr="00781112">
        <w:rPr>
          <w:rFonts w:cs="Arial"/>
          <w:szCs w:val="16"/>
        </w:rPr>
        <w:t xml:space="preserve"> </w:t>
      </w:r>
      <w:r w:rsidR="00935E2F">
        <w:rPr>
          <w:rFonts w:cs="Arial"/>
          <w:szCs w:val="16"/>
        </w:rPr>
        <w:t>2020</w:t>
      </w:r>
      <w:r w:rsidR="00B21923" w:rsidRPr="00781112">
        <w:rPr>
          <w:rFonts w:cs="Arial"/>
          <w:szCs w:val="16"/>
        </w:rPr>
        <w:t xml:space="preserve"> </w:t>
      </w:r>
      <w:r w:rsidR="00B00A11" w:rsidRPr="00781112">
        <w:rPr>
          <w:rFonts w:cs="Arial"/>
          <w:szCs w:val="16"/>
        </w:rPr>
        <w:t>through FFY 2025 SPPs/APRs, the State must report on whether it met its target.</w:t>
      </w:r>
    </w:p>
    <w:p w14:paraId="789F823E" w14:textId="77777777" w:rsidR="00AE1972" w:rsidRPr="00781112" w:rsidRDefault="00AE1972" w:rsidP="00AE1972">
      <w:pPr>
        <w:pStyle w:val="Subhed"/>
      </w:pPr>
      <w:r w:rsidRPr="00781112">
        <w:t>Overview of the Three Phases of the SSIP</w:t>
      </w:r>
    </w:p>
    <w:p w14:paraId="1A54791D" w14:textId="77777777" w:rsidR="00AE1972" w:rsidRPr="00781112" w:rsidRDefault="00B00A11" w:rsidP="00AE1972">
      <w:pPr>
        <w:rPr>
          <w:rFonts w:cs="Arial"/>
          <w:szCs w:val="16"/>
        </w:rPr>
      </w:pPr>
      <w:r w:rsidRPr="00781112">
        <w:rPr>
          <w:rFonts w:cs="Arial"/>
          <w:szCs w:val="16"/>
        </w:rPr>
        <w:t>It is of the utmost importance to improve results for children with disabilities by improving educational services, including special education and related services. Stakeholders, including parents of children with disabilities, local educational agencies, the State Advisory Panel, and others, are critical participants in improving results for children with disabilities and should be included in developing, implementing, evaluating, and revising the SSIP and included in establishing the State’s targets under Indicator 17. The SSIP should include information about stakeholder involvement in all three phases.</w:t>
      </w:r>
    </w:p>
    <w:p w14:paraId="35B7194A" w14:textId="77777777" w:rsidR="00AE1972" w:rsidRPr="00781112" w:rsidRDefault="00AE1972" w:rsidP="00AE1972">
      <w:pPr>
        <w:pStyle w:val="Subhed"/>
        <w:rPr>
          <w:b w:val="0"/>
        </w:rPr>
      </w:pPr>
      <w:r w:rsidRPr="00781112">
        <w:rPr>
          <w:i/>
        </w:rPr>
        <w:t>Phase I: Analysis:</w:t>
      </w:r>
      <w:r w:rsidRPr="00781112">
        <w:rPr>
          <w:b w:val="0"/>
        </w:rPr>
        <w:t xml:space="preserve"> </w:t>
      </w:r>
    </w:p>
    <w:p w14:paraId="4C51F7DC" w14:textId="77777777" w:rsidR="00AE1972" w:rsidRPr="00781112" w:rsidRDefault="00AE1972" w:rsidP="00AE1972">
      <w:pPr>
        <w:ind w:left="360"/>
      </w:pPr>
      <w:r w:rsidRPr="00781112">
        <w:t>- Data Analysis;</w:t>
      </w:r>
    </w:p>
    <w:p w14:paraId="7F9E93CD" w14:textId="77777777" w:rsidR="00AE1972" w:rsidRPr="00781112" w:rsidRDefault="00AE1972" w:rsidP="00AE1972">
      <w:pPr>
        <w:ind w:left="360"/>
      </w:pPr>
      <w:r w:rsidRPr="00781112">
        <w:t>- Analysis of State Infrastructure to Support Improvement and Build Capacity;</w:t>
      </w:r>
    </w:p>
    <w:p w14:paraId="01991A5C" w14:textId="77777777" w:rsidR="00AE1972" w:rsidRPr="00781112" w:rsidRDefault="00AE1972" w:rsidP="00AE1972">
      <w:pPr>
        <w:ind w:left="360"/>
      </w:pPr>
      <w:r w:rsidRPr="00781112">
        <w:t xml:space="preserve">- State-identified Measurable Result(s) for </w:t>
      </w:r>
      <w:r w:rsidR="00B00A11" w:rsidRPr="00781112">
        <w:rPr>
          <w:rFonts w:cs="Arial"/>
          <w:szCs w:val="16"/>
        </w:rPr>
        <w:t>Children with Disabilities</w:t>
      </w:r>
      <w:r w:rsidRPr="00781112">
        <w:t>;</w:t>
      </w:r>
    </w:p>
    <w:p w14:paraId="6994EAB3" w14:textId="77777777" w:rsidR="00AE1972" w:rsidRPr="00781112" w:rsidRDefault="00AE1972" w:rsidP="00AE1972">
      <w:pPr>
        <w:ind w:left="360"/>
      </w:pPr>
      <w:r w:rsidRPr="00781112">
        <w:t>- Selection of Coherent Improvement Strategies; and</w:t>
      </w:r>
    </w:p>
    <w:p w14:paraId="10FCC679" w14:textId="77777777" w:rsidR="00AE1972" w:rsidRPr="00781112" w:rsidRDefault="00AE1972" w:rsidP="00AE1972">
      <w:pPr>
        <w:ind w:left="360"/>
      </w:pPr>
      <w:r w:rsidRPr="00781112">
        <w:t>- Theory of Action.</w:t>
      </w:r>
    </w:p>
    <w:p w14:paraId="4C56CF0C" w14:textId="77777777" w:rsidR="00AE1972" w:rsidRPr="00781112" w:rsidRDefault="00AE1972" w:rsidP="00AE1972">
      <w:pPr>
        <w:pStyle w:val="Subhed"/>
        <w:rPr>
          <w:b w:val="0"/>
        </w:rPr>
      </w:pPr>
      <w:r w:rsidRPr="00781112">
        <w:rPr>
          <w:i/>
        </w:rPr>
        <w:t>Phase II: Plan</w:t>
      </w:r>
      <w:r w:rsidRPr="00781112">
        <w:rPr>
          <w:b w:val="0"/>
        </w:rPr>
        <w:t xml:space="preserve"> (which, </w:t>
      </w:r>
      <w:r w:rsidR="00D14A1B" w:rsidRPr="00781112">
        <w:rPr>
          <w:b w:val="0"/>
        </w:rPr>
        <w:t xml:space="preserve">is </w:t>
      </w:r>
      <w:r w:rsidRPr="00781112">
        <w:rPr>
          <w:b w:val="0"/>
        </w:rPr>
        <w:t>in addition to the Phase I content (including any updates</w:t>
      </w:r>
      <w:r w:rsidR="00F35094">
        <w:rPr>
          <w:b w:val="0"/>
        </w:rPr>
        <w:t>)</w:t>
      </w:r>
      <w:r w:rsidRPr="00781112">
        <w:rPr>
          <w:b w:val="0"/>
        </w:rPr>
        <w:t xml:space="preserve"> outlined above</w:t>
      </w:r>
      <w:r w:rsidR="00F35094">
        <w:rPr>
          <w:b w:val="0"/>
        </w:rPr>
        <w:t>)</w:t>
      </w:r>
      <w:r w:rsidRPr="00781112">
        <w:rPr>
          <w:b w:val="0"/>
        </w:rPr>
        <w:t>:</w:t>
      </w:r>
    </w:p>
    <w:p w14:paraId="3951D6F4" w14:textId="77777777" w:rsidR="006B5750" w:rsidRDefault="00756B33" w:rsidP="008877E3">
      <w:pPr>
        <w:ind w:left="360"/>
      </w:pPr>
      <w:r w:rsidRPr="00781112">
        <w:t xml:space="preserve">- </w:t>
      </w:r>
      <w:r w:rsidR="00AE1972" w:rsidRPr="00781112">
        <w:t>Infrastructure Development;</w:t>
      </w:r>
    </w:p>
    <w:p w14:paraId="13B00F15" w14:textId="77777777" w:rsidR="006B5750" w:rsidRDefault="006B5750" w:rsidP="008877E3">
      <w:pPr>
        <w:ind w:left="360"/>
      </w:pPr>
      <w:r>
        <w:t>- Support for local educational agency (LEA)</w:t>
      </w:r>
      <w:r w:rsidDel="006B5750">
        <w:t xml:space="preserve"> </w:t>
      </w:r>
      <w:r>
        <w:t>Implementation of Evidence-Based Practices; and</w:t>
      </w:r>
      <w:r w:rsidRPr="00781112">
        <w:t xml:space="preserve"> </w:t>
      </w:r>
    </w:p>
    <w:p w14:paraId="643F5432" w14:textId="77777777" w:rsidR="00AE1972" w:rsidRPr="00781112" w:rsidRDefault="00756B33" w:rsidP="008877E3">
      <w:pPr>
        <w:ind w:left="360"/>
      </w:pPr>
      <w:r w:rsidRPr="00781112">
        <w:t xml:space="preserve">- </w:t>
      </w:r>
      <w:r w:rsidR="00AE1972" w:rsidRPr="00781112">
        <w:t>Evaluation.</w:t>
      </w:r>
    </w:p>
    <w:p w14:paraId="6C8DEB83" w14:textId="77777777" w:rsidR="00AE1972" w:rsidRPr="00781112" w:rsidRDefault="00AE1972" w:rsidP="00AE1972">
      <w:pPr>
        <w:pStyle w:val="Subhed"/>
        <w:rPr>
          <w:b w:val="0"/>
        </w:rPr>
      </w:pPr>
      <w:r w:rsidRPr="00781112">
        <w:rPr>
          <w:i/>
        </w:rPr>
        <w:t>Phase III: Implementation and Evaluation</w:t>
      </w:r>
      <w:r w:rsidRPr="00781112">
        <w:rPr>
          <w:b w:val="0"/>
        </w:rPr>
        <w:t xml:space="preserve"> (</w:t>
      </w:r>
      <w:proofErr w:type="gramStart"/>
      <w:r w:rsidRPr="00781112">
        <w:rPr>
          <w:b w:val="0"/>
        </w:rPr>
        <w:t>which,</w:t>
      </w:r>
      <w:proofErr w:type="gramEnd"/>
      <w:r w:rsidRPr="00781112">
        <w:rPr>
          <w:b w:val="0"/>
        </w:rPr>
        <w:t xml:space="preserve"> </w:t>
      </w:r>
      <w:r w:rsidR="00D14A1B" w:rsidRPr="00781112">
        <w:rPr>
          <w:b w:val="0"/>
        </w:rPr>
        <w:t xml:space="preserve">is </w:t>
      </w:r>
      <w:r w:rsidRPr="00781112">
        <w:rPr>
          <w:b w:val="0"/>
        </w:rPr>
        <w:t>in addition to the Phase I and Phase II content (including any updates</w:t>
      </w:r>
      <w:r w:rsidR="00F35094">
        <w:rPr>
          <w:b w:val="0"/>
        </w:rPr>
        <w:t>)</w:t>
      </w:r>
      <w:r w:rsidRPr="00781112">
        <w:rPr>
          <w:b w:val="0"/>
        </w:rPr>
        <w:t xml:space="preserve"> outlined above</w:t>
      </w:r>
      <w:r w:rsidR="00F35094">
        <w:rPr>
          <w:b w:val="0"/>
        </w:rPr>
        <w:t>)</w:t>
      </w:r>
      <w:r w:rsidRPr="00781112">
        <w:rPr>
          <w:b w:val="0"/>
        </w:rPr>
        <w:t>:</w:t>
      </w:r>
    </w:p>
    <w:p w14:paraId="1B90E944" w14:textId="77777777" w:rsidR="00AE1972" w:rsidRPr="00781112" w:rsidRDefault="00AE1972" w:rsidP="00AE1972">
      <w:pPr>
        <w:ind w:left="360"/>
      </w:pPr>
      <w:r w:rsidRPr="00781112">
        <w:t>- Results of Ongoing Evaluation and Revisions to the SSIP.</w:t>
      </w:r>
    </w:p>
    <w:p w14:paraId="2151A61A" w14:textId="77777777" w:rsidR="00AE1972" w:rsidRPr="00781112" w:rsidRDefault="00AE1972" w:rsidP="00AE1972">
      <w:pPr>
        <w:rPr>
          <w:b/>
        </w:rPr>
      </w:pPr>
      <w:r w:rsidRPr="00781112">
        <w:rPr>
          <w:b/>
        </w:rPr>
        <w:t>Specific Content of Each Phase of the SSIP</w:t>
      </w:r>
    </w:p>
    <w:p w14:paraId="545E0976" w14:textId="77777777" w:rsidR="00AE1972" w:rsidRPr="00781112" w:rsidRDefault="00AE1972" w:rsidP="00AE1972">
      <w:r w:rsidRPr="00781112">
        <w:t>Refer to FFY 2013-2015 Measurement Table for detailed requirements of Phase I and Phase II SSIP submissions.</w:t>
      </w:r>
    </w:p>
    <w:p w14:paraId="369DE1CA" w14:textId="77777777" w:rsidR="00AE1972" w:rsidRPr="00781112" w:rsidRDefault="00AE1972" w:rsidP="00AE1972">
      <w:r w:rsidRPr="00781112">
        <w:t>Phase III should only include information from Phase I or Phase II if changes or revisions are being made by the State and/or if information previously required in Phase I or Phase II was not reported.</w:t>
      </w:r>
    </w:p>
    <w:p w14:paraId="61EBC7C4" w14:textId="77777777" w:rsidR="00AE1972" w:rsidRPr="00781112" w:rsidRDefault="00AE1972" w:rsidP="00AE1972">
      <w:pPr>
        <w:rPr>
          <w:b/>
          <w:i/>
        </w:rPr>
      </w:pPr>
      <w:r w:rsidRPr="00781112">
        <w:rPr>
          <w:b/>
          <w:i/>
        </w:rPr>
        <w:t>Phase III: Implementation and Evaluation</w:t>
      </w:r>
    </w:p>
    <w:p w14:paraId="2D5B8BB0" w14:textId="77777777" w:rsidR="00496EF6" w:rsidRPr="00781112" w:rsidRDefault="00496EF6" w:rsidP="00496EF6">
      <w:pPr>
        <w:rPr>
          <w:rFonts w:cs="Arial"/>
          <w:szCs w:val="16"/>
        </w:rPr>
      </w:pPr>
      <w:r w:rsidRPr="00781112">
        <w:rPr>
          <w:rFonts w:cs="Arial"/>
          <w:szCs w:val="16"/>
        </w:rPr>
        <w:t>In Phase III, the State must, consistent with its evaluation plan described in Phase II, assess and report on its progress implementing the SSIP. This includes: (A) data and analysis on the extent to which the State has made progress toward and/or met the State-established short-term and long-term outcomes or objectives for implementation of the SSIP and its progress toward achieving the State-identified Measurable Result(s) for Children with Disabilities (</w:t>
      </w:r>
      <w:proofErr w:type="spellStart"/>
      <w:r w:rsidRPr="00781112">
        <w:rPr>
          <w:rFonts w:cs="Arial"/>
          <w:szCs w:val="16"/>
        </w:rPr>
        <w:t>SiMR</w:t>
      </w:r>
      <w:proofErr w:type="spellEnd"/>
      <w:r w:rsidRPr="00781112">
        <w:rPr>
          <w:rFonts w:cs="Arial"/>
          <w:szCs w:val="16"/>
        </w:rPr>
        <w:t>); (B) the rationale for any revisions that were made, or that the State intends to make, to the SSIP as the result of implementation, analysis, and evaluation; and (C) a description of the meaningful stakeholder engagement. If the State intends to continue implementing the SSIP without modifications, the State must describe how the data from the evaluation support this decision.</w:t>
      </w:r>
    </w:p>
    <w:p w14:paraId="2C0A9E7A" w14:textId="77777777" w:rsidR="00AE1972" w:rsidRPr="00781112" w:rsidRDefault="00AE1972" w:rsidP="00AE1972">
      <w:pPr>
        <w:tabs>
          <w:tab w:val="left" w:pos="270"/>
          <w:tab w:val="left" w:pos="630"/>
        </w:tabs>
      </w:pPr>
      <w:r w:rsidRPr="00781112">
        <w:t xml:space="preserve">A. </w:t>
      </w:r>
      <w:r w:rsidRPr="00781112">
        <w:tab/>
        <w:t>Data Analysis</w:t>
      </w:r>
    </w:p>
    <w:p w14:paraId="2E6E895C" w14:textId="77777777" w:rsidR="000063AC" w:rsidRPr="00781112" w:rsidRDefault="000063AC" w:rsidP="000063AC">
      <w:pPr>
        <w:rPr>
          <w:rFonts w:cs="Arial"/>
          <w:szCs w:val="16"/>
        </w:rPr>
      </w:pPr>
      <w:r w:rsidRPr="00781112">
        <w:rPr>
          <w:rFonts w:cs="Arial"/>
          <w:szCs w:val="16"/>
        </w:rPr>
        <w:t xml:space="preserve">As required in the Instructions for the Indicator/Measurement, in its FFYs 2020 through 2025 SPPs/APRs, the State must report data for that specific FFY (expressed as actual numbers and percentages) that are aligned with the </w:t>
      </w:r>
      <w:proofErr w:type="spellStart"/>
      <w:r w:rsidRPr="00781112">
        <w:rPr>
          <w:rFonts w:cs="Arial"/>
          <w:szCs w:val="16"/>
        </w:rPr>
        <w:t>SiMR</w:t>
      </w:r>
      <w:proofErr w:type="spellEnd"/>
      <w:r w:rsidRPr="00781112">
        <w:rPr>
          <w:rFonts w:cs="Arial"/>
          <w:szCs w:val="16"/>
        </w:rPr>
        <w:t xml:space="preserve">. The State must report on whether the State met its target. In addition, the State may report on any additional data (e.g., progress monitoring data) that were collected and analyzed that would suggest progress toward the </w:t>
      </w:r>
      <w:proofErr w:type="spellStart"/>
      <w:r w:rsidRPr="00781112">
        <w:rPr>
          <w:rFonts w:cs="Arial"/>
          <w:szCs w:val="16"/>
        </w:rPr>
        <w:t>SiMR</w:t>
      </w:r>
      <w:proofErr w:type="spellEnd"/>
      <w:r w:rsidRPr="00781112">
        <w:rPr>
          <w:rFonts w:cs="Arial"/>
          <w:szCs w:val="16"/>
        </w:rPr>
        <w:t xml:space="preserve">. States using a subset of the population from the indicator (e.g., a sample, cohort model) should describe how data are collected and analyzed for the </w:t>
      </w:r>
      <w:proofErr w:type="spellStart"/>
      <w:r w:rsidRPr="00781112">
        <w:rPr>
          <w:rFonts w:cs="Arial"/>
          <w:szCs w:val="16"/>
        </w:rPr>
        <w:t>SiMR</w:t>
      </w:r>
      <w:proofErr w:type="spellEnd"/>
      <w:r w:rsidRPr="00781112">
        <w:rPr>
          <w:rFonts w:cs="Arial"/>
          <w:szCs w:val="16"/>
        </w:rPr>
        <w:t xml:space="preserve"> if that was not described in Phase I or Phase II of the SSIP.</w:t>
      </w:r>
    </w:p>
    <w:p w14:paraId="61985C7F" w14:textId="77777777" w:rsidR="00AE1972" w:rsidRPr="00781112" w:rsidRDefault="00AE1972" w:rsidP="00AE1972">
      <w:pPr>
        <w:tabs>
          <w:tab w:val="left" w:pos="360"/>
        </w:tabs>
      </w:pPr>
      <w:r w:rsidRPr="00781112">
        <w:t xml:space="preserve">B. </w:t>
      </w:r>
      <w:r w:rsidRPr="00781112">
        <w:tab/>
        <w:t>Phase III Implementation, Analysis and Evaluation</w:t>
      </w:r>
    </w:p>
    <w:p w14:paraId="2D215851" w14:textId="77777777" w:rsidR="00AE1972" w:rsidRPr="00781112" w:rsidRDefault="00AE1972" w:rsidP="00AE1972">
      <w:r w:rsidRPr="00781112">
        <w:t xml:space="preserve">The State must provide a narrative or graphic representation, </w:t>
      </w:r>
      <w:r w:rsidR="00F35094">
        <w:t>(</w:t>
      </w:r>
      <w:r w:rsidRPr="00781112">
        <w:t>e.g., a logic model</w:t>
      </w:r>
      <w:r w:rsidR="00F35094">
        <w:t>)</w:t>
      </w:r>
      <w:r w:rsidRPr="00781112">
        <w:t xml:space="preserve"> of the principal activities, measures and outcomes that were implemented since the State’s last SSIP submission (i.e., </w:t>
      </w:r>
      <w:r w:rsidR="00F302A0" w:rsidRPr="00781112">
        <w:t>Feb</w:t>
      </w:r>
      <w:r w:rsidR="00A94276">
        <w:t>ruary</w:t>
      </w:r>
      <w:r w:rsidRPr="00781112">
        <w:t xml:space="preserve"> </w:t>
      </w:r>
      <w:r w:rsidR="00A94276">
        <w:t xml:space="preserve">1, </w:t>
      </w:r>
      <w:r w:rsidR="0039210B">
        <w:t>2025</w:t>
      </w:r>
      <w:r w:rsidRPr="00781112">
        <w:t>). The evaluation should align with the theory of action described in Phase I and the evaluation plan described in Phase II. The State must describe any changes to the activities, strategies, or timelines described in Phase II and include a rationale or justification for the changes. If the State intends to continue implementing the SSIP without modifications, the State must describe how the data from the evaluation support this decision.</w:t>
      </w:r>
    </w:p>
    <w:p w14:paraId="7345EFA4" w14:textId="77777777" w:rsidR="00AE1972" w:rsidRPr="00781112" w:rsidRDefault="00AE1972" w:rsidP="00AE1972">
      <w:r w:rsidRPr="00781112">
        <w:t xml:space="preserve">The State must summarize the infrastructure improvement strategies that were implemented, and the short-term outcomes achieved, including the measures or rationale used by the State and stakeholders to assess and communicate achievement. Relate short-term outcomes to one or more areas of a systems framework (e.g., governance, </w:t>
      </w:r>
      <w:proofErr w:type="gramStart"/>
      <w:r w:rsidRPr="00781112">
        <w:t>data</w:t>
      </w:r>
      <w:proofErr w:type="gramEnd"/>
      <w:r w:rsidRPr="00781112">
        <w:t xml:space="preserve">, finance, accountability/monitoring, quality standards, professional development and/or technical assistance) and explain how these strategies support system change and are necessary for: (a) achievement of the </w:t>
      </w:r>
      <w:proofErr w:type="spellStart"/>
      <w:r w:rsidRPr="00781112">
        <w:t>SiMR</w:t>
      </w:r>
      <w:proofErr w:type="spellEnd"/>
      <w:r w:rsidRPr="00781112">
        <w:t xml:space="preserve">; (b) sustainability of systems improvement efforts; and/or (c) scale-up. The State must describe the next steps for each infrastructure improvement strategy and the anticipated outcomes to be attained during the next fiscal year (e.g., </w:t>
      </w:r>
      <w:r w:rsidR="00B21923">
        <w:rPr>
          <w:rFonts w:cs="Arial"/>
          <w:szCs w:val="16"/>
        </w:rPr>
        <w:t xml:space="preserve">for the FFY </w:t>
      </w:r>
      <w:r w:rsidR="0039210B">
        <w:rPr>
          <w:rFonts w:cs="Arial"/>
          <w:szCs w:val="16"/>
        </w:rPr>
        <w:t>2024</w:t>
      </w:r>
      <w:r w:rsidR="00B21923">
        <w:rPr>
          <w:rFonts w:cs="Arial"/>
          <w:szCs w:val="16"/>
        </w:rPr>
        <w:t xml:space="preserve"> APR, report on anticipated outcomes to be obtained during FFY </w:t>
      </w:r>
      <w:r w:rsidR="0039210B">
        <w:rPr>
          <w:rFonts w:cs="Arial"/>
          <w:szCs w:val="16"/>
        </w:rPr>
        <w:t>2025</w:t>
      </w:r>
      <w:r w:rsidR="00B21923">
        <w:rPr>
          <w:rFonts w:cs="Arial"/>
          <w:szCs w:val="16"/>
        </w:rPr>
        <w:t xml:space="preserve">, i.e., July 1, </w:t>
      </w:r>
      <w:r w:rsidR="0039210B">
        <w:rPr>
          <w:rFonts w:cs="Arial"/>
          <w:szCs w:val="16"/>
        </w:rPr>
        <w:t>2025</w:t>
      </w:r>
      <w:r w:rsidR="00B21923">
        <w:rPr>
          <w:rFonts w:cs="Arial"/>
          <w:szCs w:val="16"/>
        </w:rPr>
        <w:t xml:space="preserve">-June 30, </w:t>
      </w:r>
      <w:r w:rsidR="00237355">
        <w:rPr>
          <w:rFonts w:cs="Arial"/>
          <w:szCs w:val="16"/>
        </w:rPr>
        <w:t>2026</w:t>
      </w:r>
      <w:r w:rsidR="00B21923" w:rsidRPr="00651E83">
        <w:rPr>
          <w:rFonts w:cs="Arial"/>
          <w:szCs w:val="16"/>
        </w:rPr>
        <w:t>).</w:t>
      </w:r>
    </w:p>
    <w:p w14:paraId="5D076D13" w14:textId="77777777" w:rsidR="00AE1972" w:rsidRPr="00781112" w:rsidRDefault="00AE1972" w:rsidP="00AE1972">
      <w:r w:rsidRPr="00781112">
        <w:t xml:space="preserve">The State must summarize the specific evidence-based practices that were implemented and the strategies or activities that supported their selection and ensured their use with fidelity. Describe how the evidence-based practices, and activities or strategies that support their use, are intended to impact the </w:t>
      </w:r>
      <w:proofErr w:type="spellStart"/>
      <w:r w:rsidRPr="00781112">
        <w:t>SiMR</w:t>
      </w:r>
      <w:proofErr w:type="spellEnd"/>
      <w:r w:rsidRPr="00781112">
        <w:t xml:space="preserve"> by changing program/district policies, procedures, and/or practices, teacher/provider practices (</w:t>
      </w:r>
      <w:r w:rsidR="00A94276">
        <w:t>e.g</w:t>
      </w:r>
      <w:r w:rsidRPr="00781112">
        <w:t xml:space="preserve">., behaviors), parent/caregiver outcomes, </w:t>
      </w:r>
      <w:r w:rsidRPr="00781112">
        <w:lastRenderedPageBreak/>
        <w:t>and/or child outcomes. Describe any additional data (</w:t>
      </w:r>
      <w:r w:rsidR="00A94276">
        <w:t>e.g</w:t>
      </w:r>
      <w:r w:rsidRPr="00781112">
        <w:t>., progress monitoring data) that was collected to support the on-going use of the evidence-based practices and inform decision-making for the next year of SSIP implementation.</w:t>
      </w:r>
    </w:p>
    <w:p w14:paraId="00F04D8B" w14:textId="77777777" w:rsidR="00AE1972" w:rsidRPr="00781112" w:rsidRDefault="00AE1972" w:rsidP="00AE1972">
      <w:pPr>
        <w:tabs>
          <w:tab w:val="left" w:pos="270"/>
        </w:tabs>
      </w:pPr>
      <w:r w:rsidRPr="00781112">
        <w:t xml:space="preserve">C. </w:t>
      </w:r>
      <w:r w:rsidRPr="00781112">
        <w:tab/>
        <w:t>Stakeholder Engagement</w:t>
      </w:r>
    </w:p>
    <w:p w14:paraId="1DDB8698" w14:textId="77777777" w:rsidR="00AE1972" w:rsidRPr="00781112" w:rsidRDefault="00AE1972" w:rsidP="00AE1972">
      <w:r w:rsidRPr="00781112">
        <w:t>The State must describe the specific strategies implemented to engage stakeholders in key improvement efforts and how the State addressed concerns, if any, raised by stakeholders through its engagement activities.</w:t>
      </w:r>
    </w:p>
    <w:p w14:paraId="09C7386F" w14:textId="77777777" w:rsidR="00AE1972" w:rsidRPr="00781112" w:rsidRDefault="00AE1972" w:rsidP="00AE1972">
      <w:r w:rsidRPr="00781112">
        <w:t>Additional Implementation Activities</w:t>
      </w:r>
    </w:p>
    <w:p w14:paraId="3ACCB6AE" w14:textId="77777777" w:rsidR="00AE1972" w:rsidRPr="00781112" w:rsidRDefault="00AE1972" w:rsidP="00AE1972">
      <w:r w:rsidRPr="00781112">
        <w:t xml:space="preserve">The State should identify any activities not already described that it intends to implement in the next fiscal year (e.g., </w:t>
      </w:r>
      <w:r w:rsidR="00B21923">
        <w:rPr>
          <w:rFonts w:cs="Arial"/>
          <w:szCs w:val="16"/>
        </w:rPr>
        <w:t xml:space="preserve">for the FFY </w:t>
      </w:r>
      <w:r w:rsidR="0039210B">
        <w:rPr>
          <w:rFonts w:cs="Arial"/>
          <w:szCs w:val="16"/>
        </w:rPr>
        <w:t>2024</w:t>
      </w:r>
      <w:r w:rsidR="00B21923">
        <w:rPr>
          <w:rFonts w:cs="Arial"/>
          <w:szCs w:val="16"/>
        </w:rPr>
        <w:t xml:space="preserve"> APR, report on activities it intends to implement in FFY </w:t>
      </w:r>
      <w:r w:rsidR="0039210B">
        <w:rPr>
          <w:rFonts w:cs="Arial"/>
          <w:szCs w:val="16"/>
        </w:rPr>
        <w:t>2025</w:t>
      </w:r>
      <w:r w:rsidR="00B21923">
        <w:rPr>
          <w:rFonts w:cs="Arial"/>
          <w:szCs w:val="16"/>
        </w:rPr>
        <w:t xml:space="preserve">, i.e., July 1, </w:t>
      </w:r>
      <w:r w:rsidR="0039210B">
        <w:rPr>
          <w:rFonts w:cs="Arial"/>
          <w:szCs w:val="16"/>
        </w:rPr>
        <w:t>2025</w:t>
      </w:r>
      <w:r w:rsidR="00B21923">
        <w:rPr>
          <w:rFonts w:cs="Arial"/>
          <w:szCs w:val="16"/>
        </w:rPr>
        <w:t xml:space="preserve">-June 30, </w:t>
      </w:r>
      <w:r w:rsidR="00237355">
        <w:rPr>
          <w:rFonts w:cs="Arial"/>
          <w:szCs w:val="16"/>
        </w:rPr>
        <w:t>2026</w:t>
      </w:r>
      <w:r w:rsidR="00A94276">
        <w:rPr>
          <w:rFonts w:cs="Arial"/>
          <w:szCs w:val="16"/>
        </w:rPr>
        <w:t>)</w:t>
      </w:r>
      <w:r w:rsidR="00FC1D83">
        <w:rPr>
          <w:rFonts w:cs="Arial"/>
          <w:szCs w:val="16"/>
        </w:rPr>
        <w:t xml:space="preserve"> </w:t>
      </w:r>
      <w:r w:rsidRPr="00781112">
        <w:t xml:space="preserve">including a timeline, anticipated data collection and measures, and expected outcomes that are related to the </w:t>
      </w:r>
      <w:proofErr w:type="spellStart"/>
      <w:r w:rsidRPr="00781112">
        <w:t>SiMR</w:t>
      </w:r>
      <w:proofErr w:type="spellEnd"/>
      <w:r w:rsidRPr="00781112">
        <w:t>. The State should describe any newly identified barriers and include steps to address these barriers.</w:t>
      </w:r>
    </w:p>
    <w:p w14:paraId="5A8903D1" w14:textId="77777777" w:rsidR="00AE1972" w:rsidRPr="00781112" w:rsidRDefault="00AE1972" w:rsidP="00AE1972">
      <w:pPr>
        <w:pStyle w:val="Heading2"/>
      </w:pPr>
      <w:r w:rsidRPr="00781112">
        <w:t>1</w:t>
      </w:r>
      <w:r w:rsidR="00B90835" w:rsidRPr="00781112">
        <w:t>7</w:t>
      </w:r>
      <w:r w:rsidRPr="00781112">
        <w:t xml:space="preserve"> - Indicator Data</w:t>
      </w:r>
    </w:p>
    <w:p w14:paraId="55645FE9" w14:textId="77777777" w:rsidR="00AE1972" w:rsidRPr="00781112" w:rsidRDefault="00AE1972" w:rsidP="00AE1972">
      <w:pPr>
        <w:rPr>
          <w:b/>
          <w:bCs/>
        </w:rPr>
      </w:pPr>
      <w:r w:rsidRPr="00781112">
        <w:rPr>
          <w:b/>
          <w:bCs/>
        </w:rPr>
        <w:t>Section A: Data Analysis</w:t>
      </w:r>
    </w:p>
    <w:p w14:paraId="06C05892" w14:textId="77777777" w:rsidR="00AE1972" w:rsidRPr="00781112" w:rsidRDefault="00AE1972" w:rsidP="00AE1972">
      <w:pPr>
        <w:rPr>
          <w:b/>
          <w:bCs/>
        </w:rPr>
      </w:pPr>
      <w:r w:rsidRPr="00781112">
        <w:rPr>
          <w:b/>
          <w:bCs/>
        </w:rPr>
        <w:t>What is the State-identified Measurable Result (</w:t>
      </w:r>
      <w:proofErr w:type="spellStart"/>
      <w:r w:rsidRPr="00781112">
        <w:rPr>
          <w:b/>
          <w:bCs/>
        </w:rPr>
        <w:t>SiMR</w:t>
      </w:r>
      <w:proofErr w:type="spellEnd"/>
      <w:r w:rsidRPr="00781112">
        <w:rPr>
          <w:b/>
          <w:bCs/>
        </w:rPr>
        <w:t>)?</w:t>
      </w:r>
    </w:p>
    <w:p w14:paraId="1C12943C" w14:textId="77777777" w:rsidR="00AE1972" w:rsidRPr="00781112" w:rsidRDefault="00AE1972" w:rsidP="00AE1972">
      <w:pPr>
        <w:rPr>
          <w:color w:val="000000" w:themeColor="text1"/>
        </w:rPr>
      </w:pPr>
      <w:r w:rsidRPr="00781112">
        <w:rPr>
          <w:color w:val="000000" w:themeColor="text1"/>
        </w:rPr>
        <w:t>86% of West Virginia students with disabilities will graduate with a regular diploma by June 2025.</w:t>
      </w:r>
    </w:p>
    <w:p w14:paraId="0FCD884F" w14:textId="77777777" w:rsidR="00AE1972" w:rsidRPr="00781112" w:rsidRDefault="00AE1972" w:rsidP="00AE1972">
      <w:pPr>
        <w:rPr>
          <w:b/>
          <w:bCs/>
        </w:rPr>
      </w:pPr>
      <w:bookmarkStart w:id="96" w:name="_Hlk85195358"/>
      <w:r w:rsidRPr="00781112">
        <w:rPr>
          <w:b/>
          <w:bCs/>
        </w:rPr>
        <w:t xml:space="preserve">Has the </w:t>
      </w:r>
      <w:proofErr w:type="spellStart"/>
      <w:r w:rsidRPr="00781112">
        <w:rPr>
          <w:b/>
          <w:bCs/>
        </w:rPr>
        <w:t>SiMR</w:t>
      </w:r>
      <w:proofErr w:type="spellEnd"/>
      <w:r w:rsidRPr="00781112">
        <w:rPr>
          <w:b/>
          <w:bCs/>
        </w:rPr>
        <w:t xml:space="preserve"> changed since the last SSIP submission? (yes/no)</w:t>
      </w:r>
    </w:p>
    <w:p w14:paraId="5AF2EF40" w14:textId="77777777" w:rsidR="00AE1972" w:rsidRDefault="00AE1972" w:rsidP="00AE1972">
      <w:r w:rsidRPr="00781112">
        <w:t>NO</w:t>
      </w:r>
    </w:p>
    <w:bookmarkEnd w:id="96"/>
    <w:p w14:paraId="34D15F10" w14:textId="77777777" w:rsidR="00935B96" w:rsidRPr="00781112" w:rsidRDefault="00935B96" w:rsidP="00AE1972"/>
    <w:p w14:paraId="5F38C978" w14:textId="77777777" w:rsidR="00AE1972" w:rsidRPr="00781112" w:rsidRDefault="00AE1972" w:rsidP="00AE1972">
      <w:pPr>
        <w:rPr>
          <w:b/>
          <w:bCs/>
        </w:rPr>
      </w:pPr>
      <w:r w:rsidRPr="00781112">
        <w:rPr>
          <w:b/>
          <w:bCs/>
        </w:rPr>
        <w:t>Is the State using a subset of the population from the indicator (</w:t>
      </w:r>
      <w:r w:rsidRPr="00781112">
        <w:rPr>
          <w:b/>
          <w:bCs/>
          <w:i/>
          <w:iCs/>
        </w:rPr>
        <w:t>e.g.</w:t>
      </w:r>
      <w:r w:rsidRPr="00781112">
        <w:rPr>
          <w:b/>
          <w:bCs/>
        </w:rPr>
        <w:t>, a sample, cohort model)? (yes/no)</w:t>
      </w:r>
    </w:p>
    <w:p w14:paraId="2095E693" w14:textId="77777777" w:rsidR="00AE1972" w:rsidRDefault="00AE1972" w:rsidP="00AE1972">
      <w:r w:rsidRPr="00781112">
        <w:rPr>
          <w:color w:val="000000" w:themeColor="text1"/>
        </w:rPr>
        <w:t>NO</w:t>
      </w:r>
    </w:p>
    <w:p w14:paraId="31BB510C" w14:textId="77777777" w:rsidR="00AE1972" w:rsidRPr="00781112" w:rsidRDefault="00AE1972" w:rsidP="00AE1972">
      <w:pPr>
        <w:rPr>
          <w:b/>
          <w:bCs/>
        </w:rPr>
      </w:pPr>
    </w:p>
    <w:p w14:paraId="7A21034F" w14:textId="77777777" w:rsidR="00AE1972" w:rsidRPr="00781112" w:rsidRDefault="00AE1972" w:rsidP="00AE1972">
      <w:pPr>
        <w:rPr>
          <w:b/>
          <w:bCs/>
        </w:rPr>
      </w:pPr>
      <w:r w:rsidRPr="00781112">
        <w:rPr>
          <w:b/>
          <w:bCs/>
        </w:rPr>
        <w:t>Is the State’s theory of action new or revised since the previous submission? (yes/no)</w:t>
      </w:r>
    </w:p>
    <w:p w14:paraId="5F88F89D" w14:textId="77777777" w:rsidR="00AE1972" w:rsidRDefault="00AE1972" w:rsidP="00AE1972">
      <w:r w:rsidRPr="00781112">
        <w:t>NO</w:t>
      </w:r>
    </w:p>
    <w:p w14:paraId="24B69640" w14:textId="77777777" w:rsidR="00A202E9" w:rsidRPr="00781112" w:rsidRDefault="00A202E9" w:rsidP="00A202E9">
      <w:pPr>
        <w:rPr>
          <w:rFonts w:cs="Arial"/>
          <w:b/>
          <w:bCs/>
          <w:szCs w:val="16"/>
        </w:rPr>
      </w:pPr>
      <w:r w:rsidRPr="00781112">
        <w:rPr>
          <w:rFonts w:cs="Arial"/>
          <w:b/>
          <w:bCs/>
          <w:szCs w:val="16"/>
        </w:rPr>
        <w:t>Please provide a link to the current theory of action.</w:t>
      </w:r>
    </w:p>
    <w:p w14:paraId="0BAEC85B" w14:textId="77777777" w:rsidR="00A202E9" w:rsidRDefault="00A202E9" w:rsidP="00A202E9">
      <w:r w:rsidRPr="00781112">
        <w:t>https://wvde.us/academics/special-education/wv-guideposts-graduation#ssip</w:t>
      </w:r>
    </w:p>
    <w:p w14:paraId="4B48F9E3" w14:textId="77777777" w:rsidR="00B41EFC" w:rsidRDefault="00B41EFC" w:rsidP="00A202E9"/>
    <w:p w14:paraId="49A76776" w14:textId="77777777" w:rsidR="00AE1972" w:rsidRPr="007E6407" w:rsidRDefault="00AE1972" w:rsidP="007E6407">
      <w:pPr>
        <w:rPr>
          <w:b/>
          <w:bCs/>
        </w:rPr>
      </w:pPr>
      <w:r w:rsidRPr="007E6407">
        <w:rPr>
          <w:b/>
          <w:bCs/>
        </w:rPr>
        <w:t xml:space="preserve">Progress toward the </w:t>
      </w:r>
      <w:proofErr w:type="spellStart"/>
      <w:r w:rsidRPr="007E6407">
        <w:rPr>
          <w:b/>
          <w:bCs/>
        </w:rPr>
        <w:t>SiMR</w:t>
      </w:r>
      <w:proofErr w:type="spellEnd"/>
    </w:p>
    <w:p w14:paraId="3638E638" w14:textId="77777777" w:rsidR="00AE1972" w:rsidRPr="00781112" w:rsidRDefault="00AE1972" w:rsidP="00AE1972">
      <w:pPr>
        <w:rPr>
          <w:rFonts w:cs="Arial"/>
          <w:b/>
          <w:bCs/>
        </w:rPr>
      </w:pPr>
      <w:r w:rsidRPr="00781112">
        <w:rPr>
          <w:rFonts w:cs="Arial"/>
          <w:b/>
          <w:bCs/>
        </w:rPr>
        <w:t>Please provide the data for the specific FFY listed below (expressed as actual number and percentages)</w:t>
      </w:r>
      <w:r w:rsidRPr="00781112">
        <w:rPr>
          <w:rFonts w:cs="Arial"/>
          <w:b/>
          <w:bCs/>
          <w:i/>
          <w:iCs/>
        </w:rPr>
        <w:t xml:space="preserve">. </w:t>
      </w:r>
    </w:p>
    <w:p w14:paraId="3FE4CFB4" w14:textId="77777777" w:rsidR="00AE1972" w:rsidRPr="00781112" w:rsidRDefault="00AE1972" w:rsidP="00AE1972">
      <w:pPr>
        <w:rPr>
          <w:b/>
          <w:bCs/>
        </w:rPr>
      </w:pPr>
      <w:r w:rsidRPr="00781112">
        <w:rPr>
          <w:b/>
          <w:bCs/>
        </w:rPr>
        <w:t>Select yes if the State uses two targets for measurement. (yes/no)</w:t>
      </w:r>
    </w:p>
    <w:p w14:paraId="480112AB" w14:textId="77777777" w:rsidR="00AE1972" w:rsidRDefault="00AE1972" w:rsidP="00AE1972">
      <w:r w:rsidRPr="00781112">
        <w:t>NO</w:t>
      </w:r>
    </w:p>
    <w:p w14:paraId="6C3601A3" w14:textId="77777777" w:rsidR="00B41EFC" w:rsidRDefault="00B41EFC" w:rsidP="00B41EFC">
      <w:pPr>
        <w:rPr>
          <w:rFonts w:cs="Arial"/>
          <w:szCs w:val="16"/>
        </w:rPr>
      </w:pPr>
    </w:p>
    <w:p w14:paraId="6EE9AA0C" w14:textId="77777777" w:rsidR="00B41EFC" w:rsidRDefault="00B41EFC" w:rsidP="00B41EFC">
      <w:pPr>
        <w:rPr>
          <w:rFonts w:cs="Arial"/>
          <w:b/>
          <w:bCs/>
          <w:szCs w:val="16"/>
        </w:rPr>
      </w:pPr>
    </w:p>
    <w:p w14:paraId="152D747D" w14:textId="77777777" w:rsidR="00AE1972" w:rsidRPr="00781112" w:rsidRDefault="00AE1972" w:rsidP="00AE1972">
      <w:pPr>
        <w:rPr>
          <w:rFonts w:cs="Arial"/>
          <w:b/>
          <w:color w:val="000000" w:themeColor="text1"/>
          <w:szCs w:val="16"/>
        </w:rPr>
      </w:pPr>
      <w:r w:rsidRPr="00781112">
        <w:rPr>
          <w:rFonts w:cs="Arial"/>
          <w:b/>
          <w:color w:val="000000" w:themeColor="text1"/>
          <w:szCs w:val="16"/>
        </w:rPr>
        <w:t>Historical Data</w:t>
      </w:r>
    </w:p>
    <w:tbl>
      <w:tblPr>
        <w:tblW w:w="17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7BASELINEDATA"/>
      </w:tblPr>
      <w:tblGrid>
        <w:gridCol w:w="2811"/>
        <w:gridCol w:w="875"/>
      </w:tblGrid>
      <w:tr w:rsidR="00AE1972" w:rsidRPr="00781112" w14:paraId="0AAAE7BF" w14:textId="77777777" w:rsidTr="00597BC3">
        <w:trPr>
          <w:trHeight w:val="350"/>
          <w:tblHeader/>
        </w:trPr>
        <w:tc>
          <w:tcPr>
            <w:tcW w:w="4389" w:type="pct"/>
            <w:tcBorders>
              <w:bottom w:val="single" w:sz="4" w:space="0" w:color="auto"/>
            </w:tcBorders>
            <w:vAlign w:val="center"/>
          </w:tcPr>
          <w:p w14:paraId="0BDAA911" w14:textId="77777777" w:rsidR="00AE1972" w:rsidRPr="00781112" w:rsidRDefault="00AE1972" w:rsidP="00FE5C1F">
            <w:pPr>
              <w:jc w:val="center"/>
              <w:rPr>
                <w:b/>
                <w:bCs/>
                <w:color w:val="000000" w:themeColor="text1"/>
              </w:rPr>
            </w:pPr>
            <w:r w:rsidRPr="00781112">
              <w:rPr>
                <w:b/>
                <w:bCs/>
                <w:color w:val="000000" w:themeColor="text1"/>
              </w:rPr>
              <w:t>Baseline Year</w:t>
            </w:r>
          </w:p>
        </w:tc>
        <w:tc>
          <w:tcPr>
            <w:tcW w:w="611" w:type="pct"/>
            <w:vAlign w:val="center"/>
          </w:tcPr>
          <w:p w14:paraId="5E94B9DB" w14:textId="77777777" w:rsidR="00AE1972" w:rsidRPr="00781112" w:rsidRDefault="00AE1972" w:rsidP="00FE5C1F">
            <w:pPr>
              <w:jc w:val="center"/>
              <w:rPr>
                <w:b/>
                <w:bCs/>
                <w:color w:val="000000" w:themeColor="text1"/>
              </w:rPr>
            </w:pPr>
            <w:r w:rsidRPr="00781112">
              <w:rPr>
                <w:b/>
                <w:bCs/>
                <w:color w:val="000000" w:themeColor="text1"/>
              </w:rPr>
              <w:t>Baseline Data</w:t>
            </w:r>
          </w:p>
        </w:tc>
      </w:tr>
      <w:tr w:rsidR="00AE1972" w:rsidRPr="00781112" w14:paraId="0A1C0178" w14:textId="77777777" w:rsidTr="00597BC3">
        <w:trPr>
          <w:trHeight w:val="350"/>
        </w:trPr>
        <w:tc>
          <w:tcPr>
            <w:tcW w:w="4389" w:type="pct"/>
            <w:tcBorders>
              <w:bottom w:val="single" w:sz="4" w:space="0" w:color="auto"/>
            </w:tcBorders>
          </w:tcPr>
          <w:p w14:paraId="59892E0D" w14:textId="77777777" w:rsidR="00AE1972" w:rsidRPr="00781112" w:rsidRDefault="00AE1972" w:rsidP="00FE5C1F">
            <w:pPr>
              <w:jc w:val="center"/>
              <w:rPr>
                <w:b/>
                <w:color w:val="000000" w:themeColor="text1"/>
              </w:rPr>
            </w:pPr>
            <w:r w:rsidRPr="00781112">
              <w:rPr>
                <w:color w:val="000000" w:themeColor="text1"/>
              </w:rPr>
              <w:t>2018</w:t>
            </w:r>
          </w:p>
        </w:tc>
        <w:tc>
          <w:tcPr>
            <w:tcW w:w="611" w:type="pct"/>
            <w:vAlign w:val="center"/>
          </w:tcPr>
          <w:p w14:paraId="7EB8943E" w14:textId="77777777" w:rsidR="00AE1972" w:rsidRPr="00781112" w:rsidRDefault="00AE1972" w:rsidP="00FE5C1F">
            <w:pPr>
              <w:jc w:val="center"/>
              <w:rPr>
                <w:color w:val="000000" w:themeColor="text1"/>
              </w:rPr>
            </w:pPr>
            <w:r w:rsidRPr="00781112">
              <w:rPr>
                <w:color w:val="000000" w:themeColor="text1"/>
              </w:rPr>
              <w:t>83.21%</w:t>
            </w:r>
          </w:p>
        </w:tc>
      </w:tr>
    </w:tbl>
    <w:p w14:paraId="6F70FE48" w14:textId="77777777" w:rsidR="00AE1972" w:rsidRPr="00781112" w:rsidRDefault="00AE1972" w:rsidP="00AE1972">
      <w:pPr>
        <w:rPr>
          <w:rFonts w:cs="Arial"/>
          <w:b/>
          <w:color w:val="000000" w:themeColor="text1"/>
          <w:szCs w:val="16"/>
        </w:rPr>
      </w:pPr>
    </w:p>
    <w:p w14:paraId="5CD7F801" w14:textId="77777777" w:rsidR="00A434C8" w:rsidRDefault="00A434C8" w:rsidP="00AE1972">
      <w:pPr>
        <w:rPr>
          <w:b/>
          <w:color w:val="000000" w:themeColor="text1"/>
        </w:rPr>
      </w:pPr>
    </w:p>
    <w:p w14:paraId="64523546" w14:textId="77777777" w:rsidR="00B41EFC" w:rsidRDefault="00B41EFC" w:rsidP="00AE1972">
      <w:pPr>
        <w:rPr>
          <w:b/>
          <w:color w:val="000000" w:themeColor="text1"/>
        </w:rPr>
      </w:pPr>
    </w:p>
    <w:p w14:paraId="40D2A262" w14:textId="77777777" w:rsidR="00AE1972" w:rsidRPr="00781112" w:rsidRDefault="00AE1972" w:rsidP="00AE1972">
      <w:pPr>
        <w:rPr>
          <w:color w:val="000000" w:themeColor="text1"/>
        </w:rPr>
      </w:pPr>
      <w:r w:rsidRPr="00781112">
        <w:rPr>
          <w:b/>
          <w:color w:val="000000" w:themeColor="text1"/>
        </w:rPr>
        <w:t>Targets</w:t>
      </w:r>
    </w:p>
    <w:tbl>
      <w:tblPr>
        <w:tblW w:w="26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7TARGETS"/>
      </w:tblPr>
      <w:tblGrid>
        <w:gridCol w:w="806"/>
        <w:gridCol w:w="1667"/>
        <w:gridCol w:w="1665"/>
        <w:gridCol w:w="1665"/>
      </w:tblGrid>
      <w:tr w:rsidR="008B52D3" w:rsidRPr="00781112" w14:paraId="39F8E141" w14:textId="77777777" w:rsidTr="00924AD9">
        <w:trPr>
          <w:trHeight w:val="360"/>
        </w:trPr>
        <w:tc>
          <w:tcPr>
            <w:tcW w:w="694" w:type="pct"/>
            <w:tcBorders>
              <w:bottom w:val="single" w:sz="4" w:space="0" w:color="auto"/>
            </w:tcBorders>
          </w:tcPr>
          <w:p w14:paraId="6BAC6F47" w14:textId="77777777" w:rsidR="008B52D3" w:rsidRPr="00781112" w:rsidRDefault="008B52D3" w:rsidP="00FE5C1F">
            <w:pPr>
              <w:jc w:val="center"/>
              <w:rPr>
                <w:b/>
                <w:color w:val="000000" w:themeColor="text1"/>
              </w:rPr>
            </w:pPr>
            <w:r w:rsidRPr="00781112">
              <w:rPr>
                <w:b/>
                <w:color w:val="000000" w:themeColor="text1"/>
              </w:rPr>
              <w:t>FFY</w:t>
            </w:r>
          </w:p>
        </w:tc>
        <w:tc>
          <w:tcPr>
            <w:tcW w:w="1436" w:type="pct"/>
          </w:tcPr>
          <w:p w14:paraId="5135E34A" w14:textId="77777777" w:rsidR="008B52D3" w:rsidRPr="00781112" w:rsidRDefault="008B52D3" w:rsidP="00FE5C1F">
            <w:pPr>
              <w:jc w:val="center"/>
              <w:rPr>
                <w:b/>
                <w:color w:val="000000" w:themeColor="text1"/>
              </w:rPr>
            </w:pPr>
            <w:r>
              <w:rPr>
                <w:b/>
                <w:color w:val="000000" w:themeColor="text1"/>
              </w:rPr>
              <w:t>Current Relationship</w:t>
            </w:r>
          </w:p>
        </w:tc>
        <w:tc>
          <w:tcPr>
            <w:tcW w:w="1435" w:type="pct"/>
            <w:vAlign w:val="center"/>
          </w:tcPr>
          <w:p w14:paraId="1B5D6853" w14:textId="77777777" w:rsidR="008B52D3" w:rsidRPr="00781112" w:rsidRDefault="008B52D3" w:rsidP="00FE5C1F">
            <w:pPr>
              <w:jc w:val="center"/>
              <w:rPr>
                <w:b/>
                <w:color w:val="000000" w:themeColor="text1"/>
              </w:rPr>
            </w:pPr>
            <w:r w:rsidRPr="00781112">
              <w:rPr>
                <w:b/>
                <w:color w:val="000000" w:themeColor="text1"/>
              </w:rPr>
              <w:t>2024</w:t>
            </w:r>
          </w:p>
        </w:tc>
        <w:tc>
          <w:tcPr>
            <w:tcW w:w="1435" w:type="pct"/>
          </w:tcPr>
          <w:p w14:paraId="6977F4D8" w14:textId="77777777" w:rsidR="008B52D3" w:rsidRPr="00781112" w:rsidRDefault="008B52D3" w:rsidP="00FE5C1F">
            <w:pPr>
              <w:jc w:val="center"/>
              <w:rPr>
                <w:b/>
                <w:color w:val="000000" w:themeColor="text1"/>
              </w:rPr>
            </w:pPr>
            <w:r w:rsidRPr="00781112">
              <w:rPr>
                <w:rFonts w:cs="Arial"/>
                <w:b/>
                <w:color w:val="000000" w:themeColor="text1"/>
                <w:szCs w:val="16"/>
              </w:rPr>
              <w:t>2025</w:t>
            </w:r>
          </w:p>
        </w:tc>
      </w:tr>
      <w:tr w:rsidR="008B52D3" w:rsidRPr="00781112" w14:paraId="419EEDB5" w14:textId="77777777" w:rsidTr="00924AD9">
        <w:trPr>
          <w:trHeight w:val="367"/>
        </w:trPr>
        <w:tc>
          <w:tcPr>
            <w:tcW w:w="694" w:type="pct"/>
          </w:tcPr>
          <w:p w14:paraId="1BE64BD7" w14:textId="77777777" w:rsidR="008B52D3" w:rsidRPr="00781112" w:rsidRDefault="008B52D3" w:rsidP="00BA3DBE">
            <w:pPr>
              <w:jc w:val="center"/>
              <w:rPr>
                <w:rFonts w:cs="Arial"/>
                <w:color w:val="000000" w:themeColor="text1"/>
                <w:szCs w:val="16"/>
              </w:rPr>
            </w:pPr>
            <w:r w:rsidRPr="00781112">
              <w:rPr>
                <w:rFonts w:cs="Arial"/>
                <w:color w:val="000000" w:themeColor="text1"/>
                <w:szCs w:val="16"/>
              </w:rPr>
              <w:t>Target</w:t>
            </w:r>
          </w:p>
        </w:tc>
        <w:tc>
          <w:tcPr>
            <w:tcW w:w="1436" w:type="pct"/>
          </w:tcPr>
          <w:p w14:paraId="6CF826AF" w14:textId="77777777" w:rsidR="008B52D3" w:rsidRPr="00781112" w:rsidRDefault="008B52D3" w:rsidP="00FE5C1F">
            <w:pPr>
              <w:jc w:val="center"/>
              <w:rPr>
                <w:color w:val="000000" w:themeColor="text1"/>
              </w:rPr>
            </w:pPr>
            <w:r w:rsidRPr="008A0370">
              <w:rPr>
                <w:color w:val="000000" w:themeColor="text1"/>
              </w:rPr>
              <w:t>Data must be greater than or equal to the target</w:t>
            </w:r>
          </w:p>
        </w:tc>
        <w:tc>
          <w:tcPr>
            <w:tcW w:w="1435" w:type="pct"/>
            <w:vAlign w:val="center"/>
          </w:tcPr>
          <w:p w14:paraId="06F0EE88" w14:textId="77777777" w:rsidR="008B52D3" w:rsidRPr="00781112" w:rsidRDefault="008B52D3" w:rsidP="00FE5C1F">
            <w:pPr>
              <w:jc w:val="center"/>
              <w:rPr>
                <w:color w:val="000000" w:themeColor="text1"/>
              </w:rPr>
            </w:pPr>
            <w:r w:rsidRPr="00781112">
              <w:rPr>
                <w:color w:val="000000" w:themeColor="text1"/>
              </w:rPr>
              <w:t>85.71%</w:t>
            </w:r>
          </w:p>
        </w:tc>
        <w:tc>
          <w:tcPr>
            <w:tcW w:w="1435" w:type="pct"/>
          </w:tcPr>
          <w:p w14:paraId="63FB7AB2" w14:textId="77777777" w:rsidR="008B52D3" w:rsidRPr="00781112" w:rsidRDefault="008B52D3" w:rsidP="00FE5C1F">
            <w:pPr>
              <w:jc w:val="center"/>
              <w:rPr>
                <w:color w:val="000000" w:themeColor="text1"/>
              </w:rPr>
            </w:pPr>
            <w:r w:rsidRPr="00781112">
              <w:rPr>
                <w:rFonts w:cs="Arial"/>
                <w:color w:val="000000" w:themeColor="text1"/>
                <w:szCs w:val="16"/>
              </w:rPr>
              <w:t>86.21%</w:t>
            </w:r>
          </w:p>
        </w:tc>
      </w:tr>
    </w:tbl>
    <w:p w14:paraId="091219F1" w14:textId="77777777" w:rsidR="00AE1972" w:rsidRPr="00781112" w:rsidRDefault="00AE1972" w:rsidP="00AE1972">
      <w:pPr>
        <w:pStyle w:val="Italic"/>
        <w:rPr>
          <w:rFonts w:cs="Arial"/>
          <w:i w:val="0"/>
          <w:color w:val="000000" w:themeColor="text1"/>
          <w:szCs w:val="16"/>
        </w:rPr>
      </w:pPr>
    </w:p>
    <w:p w14:paraId="1679D638" w14:textId="77777777" w:rsidR="00AE1972" w:rsidRPr="00781112" w:rsidRDefault="0047313F" w:rsidP="00AE1972">
      <w:pPr>
        <w:rPr>
          <w:b/>
          <w:color w:val="000000" w:themeColor="text1"/>
        </w:rPr>
      </w:pPr>
      <w:r>
        <w:rPr>
          <w:b/>
          <w:color w:val="000000" w:themeColor="text1"/>
        </w:rPr>
        <w:t xml:space="preserve">FFY 2024 SPP/APR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7FFYAPRDATA"/>
      </w:tblPr>
      <w:tblGrid>
        <w:gridCol w:w="2515"/>
        <w:gridCol w:w="1890"/>
        <w:gridCol w:w="1439"/>
        <w:gridCol w:w="1351"/>
        <w:gridCol w:w="1260"/>
        <w:gridCol w:w="1260"/>
        <w:gridCol w:w="1075"/>
      </w:tblGrid>
      <w:tr w:rsidR="00B21923" w:rsidRPr="00781112" w14:paraId="15EE5961" w14:textId="77777777" w:rsidTr="004B2960">
        <w:trPr>
          <w:trHeight w:val="354"/>
        </w:trPr>
        <w:tc>
          <w:tcPr>
            <w:tcW w:w="1165" w:type="pct"/>
            <w:vAlign w:val="bottom"/>
          </w:tcPr>
          <w:p w14:paraId="5B1BE780" w14:textId="77777777" w:rsidR="00B21923" w:rsidRPr="00781112" w:rsidRDefault="00B21923" w:rsidP="00B21923">
            <w:pPr>
              <w:jc w:val="center"/>
              <w:rPr>
                <w:b/>
                <w:bCs/>
                <w:color w:val="000000" w:themeColor="text1"/>
                <w:szCs w:val="16"/>
              </w:rPr>
            </w:pPr>
            <w:r w:rsidRPr="00781112">
              <w:rPr>
                <w:b/>
                <w:bCs/>
                <w:color w:val="000000" w:themeColor="text1"/>
                <w:szCs w:val="16"/>
              </w:rPr>
              <w:t>Number of youth with IEPs (ages 14-21) who exited special education due to graduating with a regular high school diploma</w:t>
            </w:r>
          </w:p>
        </w:tc>
        <w:tc>
          <w:tcPr>
            <w:tcW w:w="876" w:type="pct"/>
            <w:vAlign w:val="bottom"/>
          </w:tcPr>
          <w:p w14:paraId="588D0C70" w14:textId="77777777" w:rsidR="00B21923" w:rsidRPr="00781112" w:rsidRDefault="00B21923" w:rsidP="00B21923">
            <w:pPr>
              <w:jc w:val="center"/>
              <w:rPr>
                <w:b/>
                <w:bCs/>
                <w:color w:val="000000" w:themeColor="text1"/>
                <w:szCs w:val="16"/>
              </w:rPr>
            </w:pPr>
            <w:r w:rsidRPr="00781112">
              <w:rPr>
                <w:b/>
                <w:bCs/>
                <w:color w:val="000000" w:themeColor="text1"/>
                <w:szCs w:val="16"/>
              </w:rPr>
              <w:t xml:space="preserve">Number of all youth with IEPs who exited special education (ages 14-21)  </w:t>
            </w:r>
          </w:p>
        </w:tc>
        <w:tc>
          <w:tcPr>
            <w:tcW w:w="667" w:type="pct"/>
            <w:vAlign w:val="bottom"/>
          </w:tcPr>
          <w:p w14:paraId="362316F4" w14:textId="77777777" w:rsidR="00B21923" w:rsidRPr="005F4CA4" w:rsidRDefault="00B21923" w:rsidP="00B21923">
            <w:pPr>
              <w:jc w:val="center"/>
              <w:rPr>
                <w:b/>
                <w:bCs/>
                <w:color w:val="000000" w:themeColor="text1"/>
                <w:szCs w:val="16"/>
              </w:rPr>
            </w:pPr>
            <w:r w:rsidRPr="00FE4611">
              <w:rPr>
                <w:b/>
                <w:bCs/>
              </w:rPr>
              <w:t>FFY 2023 Data</w:t>
            </w:r>
          </w:p>
        </w:tc>
        <w:tc>
          <w:tcPr>
            <w:tcW w:w="626" w:type="pct"/>
            <w:vAlign w:val="bottom"/>
          </w:tcPr>
          <w:p w14:paraId="7B34688D" w14:textId="77777777" w:rsidR="00B21923" w:rsidRPr="005F4CA4" w:rsidRDefault="00B21923" w:rsidP="00B21923">
            <w:pPr>
              <w:jc w:val="center"/>
              <w:rPr>
                <w:b/>
                <w:bCs/>
                <w:color w:val="000000" w:themeColor="text1"/>
                <w:szCs w:val="16"/>
              </w:rPr>
            </w:pPr>
            <w:r w:rsidRPr="00FE4611">
              <w:rPr>
                <w:b/>
                <w:bCs/>
              </w:rPr>
              <w:t>FFY 2024 Target</w:t>
            </w:r>
          </w:p>
        </w:tc>
        <w:tc>
          <w:tcPr>
            <w:tcW w:w="584" w:type="pct"/>
            <w:vAlign w:val="bottom"/>
          </w:tcPr>
          <w:p w14:paraId="249BE83A" w14:textId="77777777" w:rsidR="00B21923" w:rsidRPr="005F4CA4" w:rsidRDefault="00B21923" w:rsidP="00B21923">
            <w:pPr>
              <w:jc w:val="center"/>
              <w:rPr>
                <w:b/>
                <w:bCs/>
                <w:color w:val="000000" w:themeColor="text1"/>
                <w:szCs w:val="16"/>
              </w:rPr>
            </w:pPr>
            <w:r w:rsidRPr="00FE4611">
              <w:rPr>
                <w:b/>
                <w:bCs/>
              </w:rPr>
              <w:t>FFY 2024 Data</w:t>
            </w:r>
          </w:p>
        </w:tc>
        <w:tc>
          <w:tcPr>
            <w:tcW w:w="584" w:type="pct"/>
            <w:vAlign w:val="bottom"/>
          </w:tcPr>
          <w:p w14:paraId="0C28CE6B" w14:textId="77777777" w:rsidR="00B21923" w:rsidRPr="00781112" w:rsidRDefault="00B21923" w:rsidP="00B21923">
            <w:pPr>
              <w:jc w:val="center"/>
              <w:rPr>
                <w:b/>
                <w:color w:val="000000" w:themeColor="text1"/>
                <w:szCs w:val="16"/>
              </w:rPr>
            </w:pPr>
            <w:r w:rsidRPr="00781112">
              <w:rPr>
                <w:b/>
                <w:color w:val="000000" w:themeColor="text1"/>
                <w:szCs w:val="16"/>
              </w:rPr>
              <w:t>Status</w:t>
            </w:r>
          </w:p>
        </w:tc>
        <w:tc>
          <w:tcPr>
            <w:tcW w:w="498" w:type="pct"/>
            <w:vAlign w:val="bottom"/>
          </w:tcPr>
          <w:p w14:paraId="14838E14" w14:textId="77777777" w:rsidR="00B21923" w:rsidRPr="00781112" w:rsidRDefault="00B21923" w:rsidP="00B21923">
            <w:pPr>
              <w:jc w:val="center"/>
              <w:rPr>
                <w:b/>
                <w:color w:val="000000" w:themeColor="text1"/>
                <w:szCs w:val="16"/>
              </w:rPr>
            </w:pPr>
            <w:r w:rsidRPr="00781112">
              <w:rPr>
                <w:b/>
                <w:color w:val="000000" w:themeColor="text1"/>
                <w:szCs w:val="16"/>
              </w:rPr>
              <w:t>Slippage</w:t>
            </w:r>
          </w:p>
        </w:tc>
      </w:tr>
      <w:tr w:rsidR="00AE1972" w:rsidRPr="00781112" w14:paraId="6990C7D4" w14:textId="77777777" w:rsidTr="004B2960">
        <w:trPr>
          <w:trHeight w:val="287"/>
        </w:trPr>
        <w:tc>
          <w:tcPr>
            <w:tcW w:w="1165" w:type="pct"/>
            <w:vAlign w:val="center"/>
          </w:tcPr>
          <w:p w14:paraId="73E795FB" w14:textId="77777777" w:rsidR="00AE1972" w:rsidRPr="00781112" w:rsidRDefault="00AE1972" w:rsidP="00FE5C1F">
            <w:pPr>
              <w:jc w:val="center"/>
              <w:rPr>
                <w:color w:val="000000" w:themeColor="text1"/>
                <w:szCs w:val="16"/>
              </w:rPr>
            </w:pPr>
            <w:r w:rsidRPr="00781112">
              <w:rPr>
                <w:color w:val="000000" w:themeColor="text1"/>
                <w:szCs w:val="16"/>
              </w:rPr>
              <w:t>2,395</w:t>
            </w:r>
          </w:p>
        </w:tc>
        <w:tc>
          <w:tcPr>
            <w:tcW w:w="876" w:type="pct"/>
            <w:vAlign w:val="center"/>
          </w:tcPr>
          <w:p w14:paraId="1671C3C9" w14:textId="77777777" w:rsidR="00AE1972" w:rsidRPr="00781112" w:rsidRDefault="00AE1972" w:rsidP="00FE5C1F">
            <w:pPr>
              <w:jc w:val="center"/>
              <w:rPr>
                <w:color w:val="000000" w:themeColor="text1"/>
                <w:szCs w:val="16"/>
              </w:rPr>
            </w:pPr>
            <w:r w:rsidRPr="00781112">
              <w:rPr>
                <w:color w:val="000000" w:themeColor="text1"/>
                <w:szCs w:val="16"/>
              </w:rPr>
              <w:t>2,836</w:t>
            </w:r>
          </w:p>
        </w:tc>
        <w:tc>
          <w:tcPr>
            <w:tcW w:w="667" w:type="pct"/>
          </w:tcPr>
          <w:p w14:paraId="2570A467" w14:textId="77777777" w:rsidR="00AE1972" w:rsidRPr="00781112" w:rsidRDefault="00AE1972" w:rsidP="00FE5C1F">
            <w:pPr>
              <w:jc w:val="center"/>
              <w:rPr>
                <w:color w:val="000000" w:themeColor="text1"/>
                <w:szCs w:val="16"/>
              </w:rPr>
            </w:pPr>
            <w:r w:rsidRPr="00781112">
              <w:rPr>
                <w:rFonts w:cs="Arial"/>
                <w:color w:val="000000" w:themeColor="text1"/>
                <w:szCs w:val="16"/>
              </w:rPr>
              <w:t>84.22%</w:t>
            </w:r>
          </w:p>
        </w:tc>
        <w:tc>
          <w:tcPr>
            <w:tcW w:w="626" w:type="pct"/>
          </w:tcPr>
          <w:p w14:paraId="6D5FC79A" w14:textId="77777777" w:rsidR="00AE1972" w:rsidRPr="00781112" w:rsidRDefault="00AE1972" w:rsidP="00FE5C1F">
            <w:pPr>
              <w:jc w:val="center"/>
              <w:rPr>
                <w:color w:val="000000" w:themeColor="text1"/>
                <w:szCs w:val="16"/>
              </w:rPr>
            </w:pPr>
            <w:r w:rsidRPr="00781112">
              <w:rPr>
                <w:color w:val="000000" w:themeColor="text1"/>
                <w:szCs w:val="16"/>
              </w:rPr>
              <w:t>85.71%</w:t>
            </w:r>
          </w:p>
        </w:tc>
        <w:tc>
          <w:tcPr>
            <w:tcW w:w="584" w:type="pct"/>
          </w:tcPr>
          <w:p w14:paraId="0E794407" w14:textId="77777777" w:rsidR="00AE1972" w:rsidRPr="00781112" w:rsidRDefault="00AE1972" w:rsidP="00FE5C1F">
            <w:pPr>
              <w:jc w:val="center"/>
              <w:rPr>
                <w:color w:val="000000" w:themeColor="text1"/>
                <w:szCs w:val="16"/>
              </w:rPr>
            </w:pPr>
            <w:r w:rsidRPr="00781112">
              <w:rPr>
                <w:rFonts w:cs="Arial"/>
                <w:color w:val="000000" w:themeColor="text1"/>
                <w:szCs w:val="16"/>
              </w:rPr>
              <w:t>84.45%</w:t>
            </w:r>
          </w:p>
        </w:tc>
        <w:tc>
          <w:tcPr>
            <w:tcW w:w="584" w:type="pct"/>
          </w:tcPr>
          <w:p w14:paraId="5D33755E" w14:textId="77777777" w:rsidR="00AE1972" w:rsidRPr="00781112" w:rsidRDefault="00AE1972" w:rsidP="00FE5C1F">
            <w:pPr>
              <w:jc w:val="center"/>
              <w:rPr>
                <w:color w:val="000000" w:themeColor="text1"/>
              </w:rPr>
            </w:pPr>
            <w:r w:rsidRPr="00781112">
              <w:rPr>
                <w:color w:val="000000" w:themeColor="text1"/>
              </w:rPr>
              <w:t>Did not meet target</w:t>
            </w:r>
          </w:p>
        </w:tc>
        <w:tc>
          <w:tcPr>
            <w:tcW w:w="498" w:type="pct"/>
          </w:tcPr>
          <w:p w14:paraId="1A2A732A" w14:textId="77777777" w:rsidR="00AE1972" w:rsidRPr="00781112" w:rsidRDefault="00AE1972" w:rsidP="00FE5C1F">
            <w:pPr>
              <w:jc w:val="center"/>
              <w:rPr>
                <w:color w:val="000000" w:themeColor="text1"/>
              </w:rPr>
            </w:pPr>
            <w:r w:rsidRPr="00781112">
              <w:rPr>
                <w:color w:val="000000" w:themeColor="text1"/>
              </w:rPr>
              <w:t>No Slippage</w:t>
            </w:r>
          </w:p>
        </w:tc>
      </w:tr>
    </w:tbl>
    <w:p w14:paraId="724F0B58" w14:textId="77777777" w:rsidR="000F007B" w:rsidRDefault="000F007B" w:rsidP="000F007B"/>
    <w:p w14:paraId="5D732E6C" w14:textId="77777777" w:rsidR="000F007B" w:rsidRDefault="000F007B" w:rsidP="000F007B"/>
    <w:p w14:paraId="26C8BE07" w14:textId="77777777" w:rsidR="00AE1972" w:rsidRPr="00781112" w:rsidRDefault="00AE1972" w:rsidP="00AE1972"/>
    <w:p w14:paraId="7E2ECF62" w14:textId="77777777" w:rsidR="005D6EB4" w:rsidRPr="00781112" w:rsidRDefault="004F3929" w:rsidP="005D6EB4">
      <w:pPr>
        <w:rPr>
          <w:b/>
          <w:bCs/>
        </w:rPr>
      </w:pPr>
      <w:r>
        <w:rPr>
          <w:b/>
          <w:bCs/>
        </w:rPr>
        <w:t>Provide the data source for the FFY 2024 data.</w:t>
      </w:r>
    </w:p>
    <w:p w14:paraId="64D6CF52" w14:textId="77777777" w:rsidR="005D6EB4" w:rsidRPr="00781112" w:rsidRDefault="005D6EB4" w:rsidP="005D6EB4">
      <w:pPr>
        <w:rPr>
          <w:color w:val="000000" w:themeColor="text1"/>
        </w:rPr>
      </w:pPr>
      <w:r w:rsidRPr="00781112">
        <w:rPr>
          <w:color w:val="000000" w:themeColor="text1"/>
        </w:rPr>
        <w:t>618 graduation data (file specification FS009)</w:t>
      </w:r>
    </w:p>
    <w:p w14:paraId="1FDC6C36" w14:textId="77777777" w:rsidR="00AE1972" w:rsidRPr="00781112" w:rsidRDefault="00AE1972" w:rsidP="00AE1972">
      <w:r w:rsidRPr="00781112">
        <w:rPr>
          <w:b/>
          <w:bCs/>
        </w:rPr>
        <w:t xml:space="preserve">Please describe how data are collected and analyzed for the </w:t>
      </w:r>
      <w:proofErr w:type="spellStart"/>
      <w:r w:rsidRPr="00781112">
        <w:rPr>
          <w:b/>
          <w:bCs/>
        </w:rPr>
        <w:t>SiMR</w:t>
      </w:r>
      <w:proofErr w:type="spellEnd"/>
      <w:r w:rsidRPr="00781112">
        <w:t>.</w:t>
      </w:r>
    </w:p>
    <w:p w14:paraId="66300AEA" w14:textId="77777777" w:rsidR="00AE1972" w:rsidRPr="00781112" w:rsidRDefault="00AE1972" w:rsidP="00AE1972">
      <w:pPr>
        <w:rPr>
          <w:color w:val="000000" w:themeColor="text1"/>
        </w:rPr>
      </w:pPr>
      <w:r w:rsidRPr="00781112">
        <w:rPr>
          <w:color w:val="000000" w:themeColor="text1"/>
        </w:rPr>
        <w:lastRenderedPageBreak/>
        <w:t xml:space="preserve">Beginning with FFY 2020, SSIP baseline and target data were aligned with 618 graduation data, using the definitions in </w:t>
      </w:r>
      <w:proofErr w:type="spellStart"/>
      <w:r w:rsidRPr="00781112">
        <w:rPr>
          <w:color w:val="000000" w:themeColor="text1"/>
        </w:rPr>
        <w:t>EDFacts</w:t>
      </w:r>
      <w:proofErr w:type="spellEnd"/>
      <w:r w:rsidRPr="00781112">
        <w:rPr>
          <w:color w:val="000000" w:themeColor="text1"/>
        </w:rPr>
        <w:t xml:space="preserve"> file specification FS009. For the FFY 2024 reporting period, data were collected by the LEAs using the statewide database (WVEIS). Special Education Directors and Superintendents certify the data in WVEIS prior to submission to the SEA. The SEA’s Division of Data Management and Information Systems team analyzes and cleans all data prior to submission of the FS009 data file. WVDE/OSE then receives the finalized data for additional analyses related to improving the </w:t>
      </w:r>
      <w:proofErr w:type="spellStart"/>
      <w:r w:rsidRPr="00781112">
        <w:rPr>
          <w:color w:val="000000" w:themeColor="text1"/>
        </w:rPr>
        <w:t>SiMR</w:t>
      </w:r>
      <w:proofErr w:type="spellEnd"/>
      <w:r w:rsidRPr="00781112">
        <w:rPr>
          <w:color w:val="000000" w:themeColor="text1"/>
        </w:rPr>
        <w:t>. This includes WVDE/OSE review of individual LEA data to improve SEA support to LEAs who are furthest from the graduation target and sending a detailed report (i.e., Counts and Calcs Report) to each LEA containing current/previous data for improved decision making at the local level.</w:t>
      </w:r>
    </w:p>
    <w:p w14:paraId="5C1F8ECB" w14:textId="77777777" w:rsidR="00CA787A" w:rsidRDefault="00CA787A"/>
    <w:p w14:paraId="41B5EF24" w14:textId="77777777" w:rsidR="00CA787A" w:rsidRDefault="003169E9">
      <w:r>
        <w:rPr>
          <w:color w:val="000000"/>
        </w:rPr>
        <w:t>Data are also presented to stakeholders regularly and feedback/input is sought to guide the SSIP work. Stakeholders attending meetings were provided with a survey link for evaluation purposes [LINK: https://forms.office.com/r/jziWajfTpu]. Although graduation rates are lag data, stakeholders can use the data to inform the development of resources necessary for continuous improvement activities at state and local levels. WVDE/OSE analyzes the effectiveness of stakeholder meetings and considers all comments or next steps suggested by a variety of stakeholders. For example, stakeholders expressed that timelines in the SPP/APR submissions can be confusing and requested that WVDE/OSE align the Indicator 17 submission to the school year(s) being reported in most of the SPP/APR indicators. Therefore, beginning with this FFY 2024 submission, the SSIP will report EBPs, infrastructure, and data on a school year basis (July 1, 2024 – June 30, 2025), rather than a submission-to-submission basis.</w:t>
      </w:r>
    </w:p>
    <w:p w14:paraId="7BA41968" w14:textId="77777777" w:rsidR="00AE1972" w:rsidRPr="00781112" w:rsidRDefault="00AE1972" w:rsidP="00AE1972"/>
    <w:p w14:paraId="616FA91C" w14:textId="77777777" w:rsidR="00AE1972" w:rsidRPr="00781112" w:rsidRDefault="00AE1972" w:rsidP="00AE1972">
      <w:pPr>
        <w:rPr>
          <w:rFonts w:cs="Arial"/>
          <w:b/>
          <w:bCs/>
        </w:rPr>
      </w:pPr>
      <w:r w:rsidRPr="00781112">
        <w:rPr>
          <w:rFonts w:cs="Arial"/>
          <w:b/>
          <w:bCs/>
        </w:rPr>
        <w:t xml:space="preserve">Optional: Has the State collected additional data </w:t>
      </w:r>
      <w:r w:rsidRPr="00781112">
        <w:rPr>
          <w:rFonts w:cs="Arial"/>
          <w:b/>
          <w:bCs/>
          <w:i/>
          <w:iCs/>
        </w:rPr>
        <w:t>(i.e., benchmark, CQI, survey)</w:t>
      </w:r>
      <w:r w:rsidRPr="00781112">
        <w:rPr>
          <w:rFonts w:cs="Arial"/>
          <w:b/>
          <w:bCs/>
        </w:rPr>
        <w:t xml:space="preserve"> that demonstrates progress toward the </w:t>
      </w:r>
      <w:proofErr w:type="spellStart"/>
      <w:r w:rsidRPr="00781112">
        <w:rPr>
          <w:rFonts w:cs="Arial"/>
          <w:b/>
          <w:bCs/>
        </w:rPr>
        <w:t>SiMR</w:t>
      </w:r>
      <w:proofErr w:type="spellEnd"/>
      <w:r w:rsidRPr="00781112">
        <w:rPr>
          <w:rFonts w:cs="Arial"/>
          <w:b/>
          <w:bCs/>
        </w:rPr>
        <w:t>?</w:t>
      </w:r>
      <w:r w:rsidRPr="00781112">
        <w:rPr>
          <w:b/>
          <w:bCs/>
        </w:rPr>
        <w:t xml:space="preserve"> (yes/no)</w:t>
      </w:r>
      <w:r w:rsidRPr="00781112">
        <w:rPr>
          <w:rFonts w:cs="Arial"/>
          <w:b/>
          <w:bCs/>
        </w:rPr>
        <w:t xml:space="preserve">  </w:t>
      </w:r>
    </w:p>
    <w:p w14:paraId="13B77A9B" w14:textId="77777777" w:rsidR="00AE1972" w:rsidRDefault="00AE1972" w:rsidP="00AE1972">
      <w:pPr>
        <w:rPr>
          <w:color w:val="000000" w:themeColor="text1"/>
        </w:rPr>
      </w:pPr>
      <w:r w:rsidRPr="00781112">
        <w:rPr>
          <w:color w:val="000000" w:themeColor="text1"/>
        </w:rPr>
        <w:t>YES</w:t>
      </w:r>
    </w:p>
    <w:p w14:paraId="00E74136" w14:textId="77777777" w:rsidR="00AE1972" w:rsidRPr="00781112" w:rsidRDefault="009134E5" w:rsidP="00AE1972">
      <w:pPr>
        <w:rPr>
          <w:rFonts w:cs="Arial"/>
          <w:b/>
          <w:bCs/>
        </w:rPr>
      </w:pPr>
      <w:r w:rsidRPr="00781112">
        <w:rPr>
          <w:rFonts w:cs="Arial"/>
          <w:b/>
          <w:bCs/>
        </w:rPr>
        <w:t xml:space="preserve">Describe any additional data collected by the State to assess progress toward the </w:t>
      </w:r>
      <w:proofErr w:type="spellStart"/>
      <w:r w:rsidRPr="00781112">
        <w:rPr>
          <w:rFonts w:cs="Arial"/>
          <w:b/>
          <w:bCs/>
        </w:rPr>
        <w:t>SiMR</w:t>
      </w:r>
      <w:proofErr w:type="spellEnd"/>
      <w:r w:rsidRPr="00781112">
        <w:rPr>
          <w:rFonts w:cs="Arial"/>
          <w:b/>
          <w:bCs/>
        </w:rPr>
        <w:t>.</w:t>
      </w:r>
    </w:p>
    <w:p w14:paraId="42BD713C" w14:textId="77777777" w:rsidR="00AE1972" w:rsidRDefault="00AE1972" w:rsidP="00AE1972">
      <w:pPr>
        <w:rPr>
          <w:color w:val="000000" w:themeColor="text1"/>
        </w:rPr>
      </w:pPr>
      <w:r w:rsidRPr="00781112">
        <w:rPr>
          <w:color w:val="000000" w:themeColor="text1"/>
        </w:rPr>
        <w:t>Evaluation Data - WVDE/OSE reviews data obtained through the implementation of the West Virginia Guideposts to Graduation (WVGtG) work (i.e., the SSIP work in WV) to ensure that students with disabilities are continuing to receive supports and services necessary to graduate with a regular high school diploma. Data collected based on the evaluation plan includes outcome descriptions, responsible parties, measurable performance indicators, data collection sources, and frequency of data collection. The evaluation plan link is provided in the appropriate section below.</w:t>
      </w:r>
    </w:p>
    <w:p w14:paraId="78ADE29C" w14:textId="77777777" w:rsidR="00AE1972" w:rsidRPr="00781112" w:rsidRDefault="00AE1972" w:rsidP="00AE1972">
      <w:pPr>
        <w:rPr>
          <w:b/>
          <w:bCs/>
        </w:rPr>
      </w:pPr>
    </w:p>
    <w:p w14:paraId="41DB81D8" w14:textId="77777777" w:rsidR="00AE1972" w:rsidRPr="00781112" w:rsidRDefault="00AE1972" w:rsidP="00AE1972">
      <w:pPr>
        <w:spacing w:after="0"/>
        <w:rPr>
          <w:rFonts w:cs="Arial"/>
          <w:b/>
          <w:bCs/>
        </w:rPr>
      </w:pPr>
      <w:r w:rsidRPr="00781112">
        <w:rPr>
          <w:rFonts w:cs="Arial"/>
          <w:b/>
          <w:bCs/>
        </w:rPr>
        <w:t xml:space="preserve">Did the State identify any general data quality concerns, unrelated to COVID-19, which affected progress toward the </w:t>
      </w:r>
      <w:proofErr w:type="spellStart"/>
      <w:r w:rsidRPr="00781112">
        <w:rPr>
          <w:rFonts w:cs="Arial"/>
          <w:b/>
          <w:bCs/>
        </w:rPr>
        <w:t>SiMR</w:t>
      </w:r>
      <w:proofErr w:type="spellEnd"/>
      <w:r w:rsidRPr="00781112">
        <w:rPr>
          <w:rFonts w:cs="Arial"/>
          <w:b/>
          <w:bCs/>
        </w:rPr>
        <w:t xml:space="preserve"> during the reporting period? </w:t>
      </w:r>
      <w:r w:rsidRPr="00781112">
        <w:rPr>
          <w:b/>
          <w:bCs/>
        </w:rPr>
        <w:t>(yes/no)</w:t>
      </w:r>
    </w:p>
    <w:p w14:paraId="1D110906" w14:textId="77777777" w:rsidR="00AE1972" w:rsidRDefault="00AE1972" w:rsidP="00AE1972">
      <w:pPr>
        <w:spacing w:after="0"/>
        <w:rPr>
          <w:color w:val="000000" w:themeColor="text1"/>
        </w:rPr>
      </w:pPr>
      <w:r w:rsidRPr="00781112">
        <w:rPr>
          <w:color w:val="000000" w:themeColor="text1"/>
        </w:rPr>
        <w:t>NO</w:t>
      </w:r>
    </w:p>
    <w:p w14:paraId="3193DE95" w14:textId="77777777" w:rsidR="00AE1972" w:rsidRPr="00781112" w:rsidRDefault="00AE1972" w:rsidP="00AE1972">
      <w:pPr>
        <w:rPr>
          <w:b/>
          <w:bCs/>
        </w:rPr>
      </w:pPr>
    </w:p>
    <w:p w14:paraId="10CEC4D6" w14:textId="77777777" w:rsidR="00AE1972" w:rsidRPr="00781112" w:rsidRDefault="00AE1972" w:rsidP="00AE1972">
      <w:pPr>
        <w:rPr>
          <w:b/>
          <w:bCs/>
        </w:rPr>
      </w:pPr>
      <w:r w:rsidRPr="00781112">
        <w:rPr>
          <w:b/>
          <w:bCs/>
        </w:rPr>
        <w:t>Did the State identify any data quality concerns directly related to the COVID-19 pandemic during the reporting period? (yes/no)</w:t>
      </w:r>
    </w:p>
    <w:p w14:paraId="6761FCE3" w14:textId="77777777" w:rsidR="00AE1972" w:rsidRDefault="00AE1972" w:rsidP="00AE1972">
      <w:pPr>
        <w:rPr>
          <w:color w:val="000000" w:themeColor="text1"/>
        </w:rPr>
      </w:pPr>
      <w:r w:rsidRPr="00781112">
        <w:rPr>
          <w:color w:val="000000" w:themeColor="text1"/>
        </w:rPr>
        <w:t>NO</w:t>
      </w:r>
    </w:p>
    <w:p w14:paraId="352F84AE" w14:textId="77777777" w:rsidR="00AE1972" w:rsidRPr="00781112" w:rsidRDefault="00AE1972" w:rsidP="00AE1972">
      <w:pPr>
        <w:rPr>
          <w:b/>
          <w:bCs/>
        </w:rPr>
      </w:pPr>
    </w:p>
    <w:p w14:paraId="7B01D67B" w14:textId="77777777" w:rsidR="00AE1972" w:rsidRPr="00074B33" w:rsidRDefault="00AE1972" w:rsidP="00074B33">
      <w:pPr>
        <w:rPr>
          <w:b/>
          <w:bCs/>
        </w:rPr>
      </w:pPr>
      <w:r w:rsidRPr="00074B33">
        <w:rPr>
          <w:b/>
          <w:bCs/>
        </w:rPr>
        <w:t>Section B: Implementation, Analysis and Evaluation</w:t>
      </w:r>
    </w:p>
    <w:p w14:paraId="108E33A2" w14:textId="77777777" w:rsidR="00E84BDF" w:rsidRPr="00E84BDF" w:rsidRDefault="00E84BDF" w:rsidP="00E84BDF">
      <w:pPr>
        <w:rPr>
          <w:rFonts w:cs="Arial"/>
          <w:b/>
          <w:bCs/>
        </w:rPr>
      </w:pPr>
      <w:r w:rsidRPr="00E84BDF">
        <w:rPr>
          <w:rFonts w:cs="Arial"/>
          <w:b/>
          <w:bCs/>
        </w:rPr>
        <w:t>Please provide a link to the State’s current evaluation plan.</w:t>
      </w:r>
    </w:p>
    <w:p w14:paraId="3A5F8693" w14:textId="77777777" w:rsidR="00E84BDF" w:rsidRDefault="00E84BDF" w:rsidP="00E84BDF">
      <w:pPr>
        <w:rPr>
          <w:color w:val="000000" w:themeColor="text1"/>
        </w:rPr>
      </w:pPr>
      <w:r w:rsidRPr="00781112">
        <w:rPr>
          <w:color w:val="000000" w:themeColor="text1"/>
        </w:rPr>
        <w:t>https://wvde.us/academics/special-education/wv-guideposts-graduation#ssip</w:t>
      </w:r>
    </w:p>
    <w:p w14:paraId="7DBA7C22" w14:textId="77777777" w:rsidR="00AE1972" w:rsidRPr="00781112" w:rsidRDefault="00E84BDF" w:rsidP="00AE1972">
      <w:pPr>
        <w:rPr>
          <w:rFonts w:cs="Arial"/>
          <w:b/>
          <w:bCs/>
        </w:rPr>
      </w:pPr>
      <w:r w:rsidRPr="00E84BDF">
        <w:rPr>
          <w:rFonts w:cs="Arial"/>
          <w:b/>
          <w:bCs/>
        </w:rPr>
        <w:t xml:space="preserve">Is the State’s evaluation plan new or revised since the previous submission? </w:t>
      </w:r>
      <w:r w:rsidR="00AE1972" w:rsidRPr="00781112">
        <w:rPr>
          <w:b/>
          <w:bCs/>
        </w:rPr>
        <w:t>(yes/no)</w:t>
      </w:r>
    </w:p>
    <w:p w14:paraId="7639102C" w14:textId="77777777" w:rsidR="00AE1972" w:rsidRDefault="00AE1972" w:rsidP="00AE1972">
      <w:pPr>
        <w:rPr>
          <w:color w:val="000000" w:themeColor="text1"/>
        </w:rPr>
      </w:pPr>
      <w:r w:rsidRPr="00781112">
        <w:rPr>
          <w:color w:val="000000" w:themeColor="text1"/>
        </w:rPr>
        <w:t>NO</w:t>
      </w:r>
    </w:p>
    <w:p w14:paraId="062E5083" w14:textId="77777777" w:rsidR="00AE1972" w:rsidRPr="00781112" w:rsidRDefault="00AE1972" w:rsidP="00AE1972">
      <w:pPr>
        <w:rPr>
          <w:rFonts w:cs="Arial"/>
          <w:b/>
          <w:bCs/>
        </w:rPr>
      </w:pPr>
    </w:p>
    <w:p w14:paraId="39D3740D" w14:textId="77777777" w:rsidR="00AE1972" w:rsidRPr="00781112" w:rsidRDefault="00AB11F1" w:rsidP="00AE1972">
      <w:pPr>
        <w:rPr>
          <w:rFonts w:cs="Arial"/>
          <w:b/>
          <w:bCs/>
        </w:rPr>
      </w:pPr>
      <w:r w:rsidRPr="00AB11F1">
        <w:rPr>
          <w:rFonts w:cs="Arial"/>
          <w:b/>
          <w:bCs/>
        </w:rPr>
        <w:t>Provide a summary of each infrastructure improvement strategy implemented in the reporting period.</w:t>
      </w:r>
    </w:p>
    <w:p w14:paraId="0017F4FD" w14:textId="77777777" w:rsidR="00AE1972" w:rsidRPr="00781112" w:rsidRDefault="00AE1972" w:rsidP="00AE1972">
      <w:pPr>
        <w:rPr>
          <w:b/>
          <w:bCs/>
        </w:rPr>
      </w:pPr>
      <w:r w:rsidRPr="00781112">
        <w:rPr>
          <w:color w:val="000000" w:themeColor="text1"/>
        </w:rPr>
        <w:t>SSIP COORDINATOR</w:t>
      </w:r>
    </w:p>
    <w:p w14:paraId="321E2E5B" w14:textId="77777777" w:rsidR="00CA787A" w:rsidRDefault="003169E9">
      <w:r>
        <w:rPr>
          <w:color w:val="000000"/>
        </w:rPr>
        <w:t>WVDE/OSE continues to support a dedicated position for SSIP/Secondary Transition Coordinator. This position has been responsible for the development, coordination, and implementation of all aspects of the SSIP/WVGtG work reported in the annual submission for indicators 17 and 13.</w:t>
      </w:r>
    </w:p>
    <w:p w14:paraId="4AE5257D" w14:textId="77777777" w:rsidR="00CA787A" w:rsidRDefault="00CA787A"/>
    <w:p w14:paraId="53DBF803" w14:textId="77777777" w:rsidR="00CA787A" w:rsidRDefault="003169E9">
      <w:r>
        <w:rPr>
          <w:color w:val="000000"/>
        </w:rPr>
        <w:t>INTERNAL EVALUATOR</w:t>
      </w:r>
    </w:p>
    <w:p w14:paraId="38C66F7F" w14:textId="77777777" w:rsidR="00CA787A" w:rsidRDefault="003169E9">
      <w:r>
        <w:rPr>
          <w:color w:val="000000"/>
        </w:rPr>
        <w:t xml:space="preserve">WVDE/OSE continues to support the Research and Evaluation Coordinator position which includes SSIP evaluation activities as part of their responsibilities. The internal evaluator works closely with the SSIP Coordinator and the Part B Data Manager to improve the validity of data collected and used per the evaluation plan. The internal evaluator developed automated data collections to support LEAs with more efficient submissions. This automation of data collections included email reminders for due dates and activities, alternate submission options for collecting evaluation data (Excel or Forms link that auto-populated an Excel sheet at the SEA level), and interactive data dashboards posted on WVGtG webpage (see link below and scroll to dashboard section to access interactive options). Dashboards are updated annually to reflect data from the most recent publicly reported data. </w:t>
      </w:r>
    </w:p>
    <w:p w14:paraId="2FB01DE6" w14:textId="77777777" w:rsidR="00CA787A" w:rsidRDefault="00CA787A"/>
    <w:p w14:paraId="1277D454" w14:textId="77777777" w:rsidR="00CA787A" w:rsidRDefault="003169E9">
      <w:r>
        <w:rPr>
          <w:color w:val="000000"/>
        </w:rPr>
        <w:t>INTERAGENCY COLLABORATION TEAM (aka STATE-LEVEL IMPLEMENTATION TEAM)</w:t>
      </w:r>
    </w:p>
    <w:p w14:paraId="1A1950D7" w14:textId="77777777" w:rsidR="00CA787A" w:rsidRDefault="003169E9">
      <w:r>
        <w:rPr>
          <w:color w:val="000000"/>
        </w:rPr>
        <w:t xml:space="preserve">WVDE/OSE established an external team of individuals with representation from education (SEA and LEA), </w:t>
      </w:r>
      <w:proofErr w:type="spellStart"/>
      <w:r>
        <w:rPr>
          <w:color w:val="000000"/>
        </w:rPr>
        <w:t>voc</w:t>
      </w:r>
      <w:proofErr w:type="spellEnd"/>
      <w:r>
        <w:rPr>
          <w:color w:val="000000"/>
        </w:rPr>
        <w:t xml:space="preserve"> rehab, parent center, and corrections. The team vision and mission are: The Interagency Collaboration Team (IC Team) leads and supports West Virginia’s students/youth with disabilities and their families to achieve desired post-school outcomes in the areas of employment, education, entrepreneurship, enlistment, and everyday living. By working together, sharing clear messages, providing easy-to access to resources, and setting realistic goals, the IC Team improves opportunities for West Virginia’s students/youth with disabilities and their families. This team meets monthly and serves as the core stakeholder group for the SSIP. They are also responsible for the collaborative planning of the annual statewide secondary transition conference to ensure a well-coordinated and successful event. </w:t>
      </w:r>
    </w:p>
    <w:p w14:paraId="583F1608" w14:textId="77777777" w:rsidR="00CA787A" w:rsidRDefault="00CA787A"/>
    <w:p w14:paraId="073D0727" w14:textId="77777777" w:rsidR="00CA787A" w:rsidRDefault="003169E9">
      <w:r>
        <w:rPr>
          <w:color w:val="000000"/>
        </w:rPr>
        <w:t>FINANCIAL SUPPORT</w:t>
      </w:r>
    </w:p>
    <w:p w14:paraId="4B481944" w14:textId="77777777" w:rsidR="00CA787A" w:rsidRDefault="003169E9">
      <w:r>
        <w:rPr>
          <w:color w:val="000000"/>
        </w:rPr>
        <w:t xml:space="preserve">WVDE/OSE offered competitive grant opportunities for which all LEAs were eligible to apply. The WVGtG grant opportunity opened the first Wednesday in June with submissions due from LEAs by the last Friday in June and funds released in July/August. The application required LEAs to include measurable goals and activities focused on improving graduation and post-school outcomes for SWDs ages 14-21. Additional requirements included a description of how the LEAs would implement evidence-based practices in no more than two of the following categories: Educational Supports, Student and Family Engagement, Systemic Improvements, and Transition Services. LEAs were asked to include a proposed budget that could not exceed $50,000. Restrictions to the grant funding included a prohibition on attendance or behavior incentives unrelated to special education services, and all items included in the budget must be allowable under IDEA. Once submitted, applications were reviewed by a team including the SSIP Coordinator and </w:t>
      </w:r>
      <w:r>
        <w:rPr>
          <w:color w:val="000000"/>
        </w:rPr>
        <w:lastRenderedPageBreak/>
        <w:t xml:space="preserve">other staff from finance and special education. A rubric was used to ensure a fair and unbiased review of each application that included points awarded based on: allowable costs, alignment of goals and activities, use of previous WVGtG grant funds, and whether LEA met targets for indicator 1 data. Although SSIP participation is optional for LEAs, a condition of the grant awards required grantees to participate in all data collection requests and 80% of the activities provided by WVDE/OSE. </w:t>
      </w:r>
    </w:p>
    <w:p w14:paraId="27FE2517" w14:textId="77777777" w:rsidR="00CA787A" w:rsidRDefault="00CA787A"/>
    <w:p w14:paraId="5BE19F99" w14:textId="77777777" w:rsidR="00CA787A" w:rsidRDefault="003169E9">
      <w:r>
        <w:rPr>
          <w:color w:val="000000"/>
        </w:rPr>
        <w:t>DIFFERENTIATED TECHNICAL ASSISTANCE and PROFESSIONAL DEVELOPMENT</w:t>
      </w:r>
    </w:p>
    <w:p w14:paraId="79B48BEB" w14:textId="77777777" w:rsidR="00CA787A" w:rsidRDefault="003169E9">
      <w:r>
        <w:rPr>
          <w:color w:val="000000"/>
        </w:rPr>
        <w:t xml:space="preserve">Universal technical assistance for the SSIP is provided through the WVGtG webpage and dissemination of resources via the LEA special education director listserv, (e.g., announcements of upcoming deadlines and events). The WVGtG webpage has been designed to provide resources and materials intended to build capacity at the local level, as well as provide general information for the public. It also includes a publicly available survey link to solicit external stakeholder feedback and a dedicated email address to request information, differentiated support and/or technical assistance related to secondary transition services, graduation, drop-out prevention, and post-school outcomes. The survey results go directly to the internal evaluator for </w:t>
      </w:r>
      <w:proofErr w:type="gramStart"/>
      <w:r>
        <w:rPr>
          <w:color w:val="000000"/>
        </w:rPr>
        <w:t>analysis</w:t>
      </w:r>
      <w:proofErr w:type="gramEnd"/>
      <w:r>
        <w:rPr>
          <w:color w:val="000000"/>
        </w:rPr>
        <w:t xml:space="preserve"> and the SSIP/Secondary Transition Coordinator responds to all emails received. In addition, based on LEA determinations, 618 data collections, programmatic monitoring, and other data sources, the WVDE/OSE Team provides targeted and intensive technical assistance and support through monthly WVGtG Community of Practice virtual meetings, presentations at statewide professional development events, and individual support requested from WVGtG participants.</w:t>
      </w:r>
    </w:p>
    <w:p w14:paraId="1E68A052" w14:textId="77777777" w:rsidR="00CA787A" w:rsidRDefault="00CA787A"/>
    <w:p w14:paraId="2EDB3DA3" w14:textId="77777777" w:rsidR="00CA787A" w:rsidRDefault="003169E9">
      <w:r>
        <w:rPr>
          <w:color w:val="000000"/>
        </w:rPr>
        <w:t>LINK to resources and dashboard [https://wvde.us/academics/special-education/wv-guideposts-graduation]</w:t>
      </w:r>
    </w:p>
    <w:p w14:paraId="2BD85382" w14:textId="77777777" w:rsidR="00AE1972" w:rsidRPr="00781112" w:rsidRDefault="00AE1972" w:rsidP="00AE1972">
      <w:pPr>
        <w:rPr>
          <w:rFonts w:cs="Arial"/>
          <w:b/>
          <w:bCs/>
        </w:rPr>
      </w:pPr>
    </w:p>
    <w:p w14:paraId="25086C08" w14:textId="77777777" w:rsidR="00AB11F1" w:rsidRPr="00781112" w:rsidRDefault="00AB11F1" w:rsidP="00AE1972">
      <w:pPr>
        <w:rPr>
          <w:rFonts w:cs="Arial"/>
          <w:b/>
          <w:bCs/>
        </w:rPr>
      </w:pPr>
      <w:r w:rsidRPr="00AB11F1">
        <w:rPr>
          <w:rFonts w:cs="Arial"/>
          <w:b/>
          <w:bCs/>
        </w:rPr>
        <w:t xml:space="preserve">Describe the short-term or intermediate outcomes achieved for each infrastructure improvement strategy during the reporting period including the measures or rationale used by the State and stakeholders to assess and communicate achievement. Please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w:t>
      </w:r>
      <w:proofErr w:type="spellStart"/>
      <w:r w:rsidRPr="00AB11F1">
        <w:rPr>
          <w:rFonts w:cs="Arial"/>
          <w:b/>
          <w:bCs/>
        </w:rPr>
        <w:t>SiMR</w:t>
      </w:r>
      <w:proofErr w:type="spellEnd"/>
      <w:r w:rsidRPr="00AB11F1">
        <w:rPr>
          <w:rFonts w:cs="Arial"/>
          <w:b/>
          <w:bCs/>
        </w:rPr>
        <w:t>; (b) sustainability of systems improvement efforts; and/or (c) scale-up.</w:t>
      </w:r>
    </w:p>
    <w:p w14:paraId="4F254586" w14:textId="77777777" w:rsidR="00AE1972" w:rsidRPr="00781112" w:rsidRDefault="00AE1972" w:rsidP="00AE1972">
      <w:pPr>
        <w:rPr>
          <w:b/>
          <w:bCs/>
        </w:rPr>
      </w:pPr>
      <w:r w:rsidRPr="00781112">
        <w:rPr>
          <w:color w:val="000000" w:themeColor="text1"/>
        </w:rPr>
        <w:t>SSIP COORDINATOR</w:t>
      </w:r>
    </w:p>
    <w:p w14:paraId="63E8FE9E" w14:textId="77777777" w:rsidR="00CA787A" w:rsidRDefault="003169E9">
      <w:r>
        <w:rPr>
          <w:color w:val="000000"/>
        </w:rPr>
        <w:t xml:space="preserve">During SY2024–25, the SSIP Coordinator strengthened cross agency alignment and improved educator capacity related to graduation and post school outcomes for students with disabilities (SWD). Representing the State Director of Special Education on multiple statewide councils, the Coordinator ensured consistent messaging on secondary transition and aligned WVDE/OSE improvement priorities across agencies. The Coordinator also provided state and national presentations, including an interactive showcase at the IDC Interactive Institute demonstrating the use of Microsoft Teams to document SSIP implementation over multiple years. This work supported consistent communication, transparent documentation, and </w:t>
      </w:r>
      <w:proofErr w:type="gramStart"/>
      <w:r>
        <w:rPr>
          <w:color w:val="000000"/>
        </w:rPr>
        <w:t>long term</w:t>
      </w:r>
      <w:proofErr w:type="gramEnd"/>
      <w:r>
        <w:rPr>
          <w:color w:val="000000"/>
        </w:rPr>
        <w:t xml:space="preserve"> knowledge retention. Presentations delivered throughout the year, including at the statewide secondary transition conference, focused on effective strategies connected to graduation outcomes.</w:t>
      </w:r>
    </w:p>
    <w:p w14:paraId="7C7CE489" w14:textId="77777777" w:rsidR="00CA787A" w:rsidRDefault="003169E9">
      <w:r>
        <w:rPr>
          <w:color w:val="000000"/>
        </w:rPr>
        <w:t>Systems Framework Alignment: Governance; Professional Development and Technical Assistance; Accountability/Monitoring.</w:t>
      </w:r>
    </w:p>
    <w:p w14:paraId="5E58669C" w14:textId="77777777" w:rsidR="00CA787A" w:rsidRDefault="003169E9">
      <w:r>
        <w:rPr>
          <w:color w:val="000000"/>
        </w:rPr>
        <w:t>Supports System Change:</w:t>
      </w:r>
    </w:p>
    <w:p w14:paraId="00655ED8" w14:textId="77777777" w:rsidR="00CA787A" w:rsidRDefault="003169E9">
      <w:r>
        <w:rPr>
          <w:color w:val="000000"/>
        </w:rPr>
        <w:t xml:space="preserve">(a) </w:t>
      </w:r>
      <w:proofErr w:type="spellStart"/>
      <w:r>
        <w:rPr>
          <w:color w:val="000000"/>
        </w:rPr>
        <w:t>SiMR</w:t>
      </w:r>
      <w:proofErr w:type="spellEnd"/>
      <w:r>
        <w:rPr>
          <w:color w:val="000000"/>
        </w:rPr>
        <w:t xml:space="preserve"> achievement: Improves coherence and capacity to implement </w:t>
      </w:r>
      <w:proofErr w:type="gramStart"/>
      <w:r>
        <w:rPr>
          <w:color w:val="000000"/>
        </w:rPr>
        <w:t>evidence based</w:t>
      </w:r>
      <w:proofErr w:type="gramEnd"/>
      <w:r>
        <w:rPr>
          <w:color w:val="000000"/>
        </w:rPr>
        <w:t xml:space="preserve"> graduation related practices.</w:t>
      </w:r>
    </w:p>
    <w:p w14:paraId="4BF434B9" w14:textId="77777777" w:rsidR="00CA787A" w:rsidRDefault="003169E9">
      <w:r>
        <w:rPr>
          <w:color w:val="000000"/>
        </w:rPr>
        <w:t>(b) Sustainability: TEAMS based documentation and participation in standing councils embed SSIP work into ongoing structures.</w:t>
      </w:r>
    </w:p>
    <w:p w14:paraId="72977625" w14:textId="77777777" w:rsidR="00CA787A" w:rsidRDefault="003169E9">
      <w:r>
        <w:rPr>
          <w:color w:val="000000"/>
        </w:rPr>
        <w:t>(c) Scale up: Broad dissemination of state practices allows replication across additional LEAs.</w:t>
      </w:r>
    </w:p>
    <w:p w14:paraId="379C68F8" w14:textId="77777777" w:rsidR="00CA787A" w:rsidRDefault="003169E9">
      <w:r>
        <w:rPr>
          <w:color w:val="000000"/>
        </w:rPr>
        <w:t>Measures/Rationale: Number of presentations, interagency meetings, and TEAMS artifacts demonstrate strengthened collaboration and consistent communication.</w:t>
      </w:r>
    </w:p>
    <w:p w14:paraId="0673D1EE" w14:textId="77777777" w:rsidR="00CA787A" w:rsidRDefault="003169E9">
      <w:r>
        <w:rPr>
          <w:color w:val="000000"/>
        </w:rPr>
        <w:t>INTERNAL EVALUATOR</w:t>
      </w:r>
    </w:p>
    <w:p w14:paraId="24495727" w14:textId="77777777" w:rsidR="00CA787A" w:rsidRDefault="003169E9">
      <w:r>
        <w:rPr>
          <w:color w:val="000000"/>
        </w:rPr>
        <w:t xml:space="preserve">The internal evaluator analyzed evaluation plan and IDEA 618 data and publicly shared results through the interactive WVGtG data dashboard. Short term outcomes included faster access to meaningful data for LEAs and clearer displays of graduation, dropout, and transition compliance measures tied to the </w:t>
      </w:r>
      <w:proofErr w:type="spellStart"/>
      <w:r>
        <w:rPr>
          <w:color w:val="000000"/>
        </w:rPr>
        <w:t>SiMR</w:t>
      </w:r>
      <w:proofErr w:type="spellEnd"/>
      <w:r>
        <w:rPr>
          <w:color w:val="000000"/>
        </w:rPr>
        <w:t>. The dashboard was updated on an annual cycle, improving transparency and supporting data driven decision making at the local level.</w:t>
      </w:r>
    </w:p>
    <w:p w14:paraId="2CA135C8" w14:textId="77777777" w:rsidR="00CA787A" w:rsidRDefault="003169E9">
      <w:r>
        <w:rPr>
          <w:color w:val="000000"/>
        </w:rPr>
        <w:t>Systems Framework Alignment: Data; Accountability/Monitoring.</w:t>
      </w:r>
    </w:p>
    <w:p w14:paraId="3F98FF7D" w14:textId="77777777" w:rsidR="00CA787A" w:rsidRDefault="003169E9">
      <w:r>
        <w:rPr>
          <w:color w:val="000000"/>
        </w:rPr>
        <w:t>Supports System Change:</w:t>
      </w:r>
    </w:p>
    <w:p w14:paraId="6B8E4356" w14:textId="77777777" w:rsidR="00CA787A" w:rsidRDefault="003169E9">
      <w:r>
        <w:rPr>
          <w:color w:val="000000"/>
        </w:rPr>
        <w:t xml:space="preserve">(a) </w:t>
      </w:r>
      <w:proofErr w:type="spellStart"/>
      <w:r>
        <w:rPr>
          <w:color w:val="000000"/>
        </w:rPr>
        <w:t>SiMR</w:t>
      </w:r>
      <w:proofErr w:type="spellEnd"/>
      <w:r>
        <w:rPr>
          <w:color w:val="000000"/>
        </w:rPr>
        <w:t xml:space="preserve"> achievement: Provides LEAs with timely, actionable data to target </w:t>
      </w:r>
      <w:proofErr w:type="gramStart"/>
      <w:r>
        <w:rPr>
          <w:color w:val="000000"/>
        </w:rPr>
        <w:t>evidence based</w:t>
      </w:r>
      <w:proofErr w:type="gramEnd"/>
      <w:r>
        <w:rPr>
          <w:color w:val="000000"/>
        </w:rPr>
        <w:t xml:space="preserve"> practices linked to graduation outcomes.</w:t>
      </w:r>
    </w:p>
    <w:p w14:paraId="4BBA2DC8" w14:textId="77777777" w:rsidR="00CA787A" w:rsidRDefault="003169E9">
      <w:r>
        <w:rPr>
          <w:color w:val="000000"/>
        </w:rPr>
        <w:t>(b) Sustainability: Standardized, repeatable data processes support long term use and reliability.</w:t>
      </w:r>
    </w:p>
    <w:p w14:paraId="407B2F18" w14:textId="77777777" w:rsidR="00CA787A" w:rsidRDefault="003169E9">
      <w:r>
        <w:rPr>
          <w:color w:val="000000"/>
        </w:rPr>
        <w:t>(c) Scale up: Public availability of data helps additional LEAs benchmark performance and adopt improvement strategies.</w:t>
      </w:r>
    </w:p>
    <w:p w14:paraId="50CA729A" w14:textId="77777777" w:rsidR="00CA787A" w:rsidRDefault="003169E9">
      <w:r>
        <w:rPr>
          <w:color w:val="000000"/>
        </w:rPr>
        <w:t xml:space="preserve">Measures/Rationale: Dashboard updates, the number of metrics displayed, and usage patterns demonstrate improved access to relevant </w:t>
      </w:r>
      <w:proofErr w:type="spellStart"/>
      <w:r>
        <w:rPr>
          <w:color w:val="000000"/>
        </w:rPr>
        <w:t>SiMR</w:t>
      </w:r>
      <w:proofErr w:type="spellEnd"/>
      <w:r>
        <w:rPr>
          <w:color w:val="000000"/>
        </w:rPr>
        <w:t xml:space="preserve"> data.</w:t>
      </w:r>
    </w:p>
    <w:p w14:paraId="019B5158" w14:textId="77777777" w:rsidR="00CA787A" w:rsidRDefault="003169E9">
      <w:r>
        <w:rPr>
          <w:color w:val="000000"/>
        </w:rPr>
        <w:t>INTERAGENCY COLLABORATION TEAM (STATE-LEVEL IMPLEMENTATION TEAM)</w:t>
      </w:r>
    </w:p>
    <w:p w14:paraId="3E8C56D0" w14:textId="77777777" w:rsidR="00CA787A" w:rsidRDefault="003169E9">
      <w:r>
        <w:rPr>
          <w:color w:val="000000"/>
        </w:rPr>
        <w:t>The team supported alignment of WVGtG work with other state initiatives by reviewing documents, providing feedback in Teams, and participating in small group meetings. These actions enhanced message consistency and supported the delivery of coherent professional learning and technical assistance to LEAs. This alignment ensured that state level improvement priorities remained clear and supportive of local implementation needs.</w:t>
      </w:r>
    </w:p>
    <w:p w14:paraId="28EB4C19" w14:textId="77777777" w:rsidR="00CA787A" w:rsidRDefault="003169E9">
      <w:r>
        <w:rPr>
          <w:color w:val="000000"/>
        </w:rPr>
        <w:t>Systems Framework Alignment: Governance; Professional Development/TA; Quality Standards.</w:t>
      </w:r>
    </w:p>
    <w:p w14:paraId="65D3148D" w14:textId="77777777" w:rsidR="00CA787A" w:rsidRDefault="003169E9">
      <w:r>
        <w:rPr>
          <w:color w:val="000000"/>
        </w:rPr>
        <w:t>Supports System Change:</w:t>
      </w:r>
    </w:p>
    <w:p w14:paraId="6DC84B46" w14:textId="77777777" w:rsidR="00CA787A" w:rsidRDefault="003169E9">
      <w:r>
        <w:rPr>
          <w:color w:val="000000"/>
        </w:rPr>
        <w:t xml:space="preserve">(a) </w:t>
      </w:r>
      <w:proofErr w:type="spellStart"/>
      <w:r>
        <w:rPr>
          <w:color w:val="000000"/>
        </w:rPr>
        <w:t>SiMR</w:t>
      </w:r>
      <w:proofErr w:type="spellEnd"/>
      <w:r>
        <w:rPr>
          <w:color w:val="000000"/>
        </w:rPr>
        <w:t xml:space="preserve"> achievement: Consistent guidance supports implementation of practices that influence graduation outcomes.</w:t>
      </w:r>
    </w:p>
    <w:p w14:paraId="37FCA568" w14:textId="77777777" w:rsidR="00CA787A" w:rsidRDefault="003169E9">
      <w:r>
        <w:rPr>
          <w:color w:val="000000"/>
        </w:rPr>
        <w:t>(b) Sustainability: Standing structures and routines promote continuity despite staff turnover.</w:t>
      </w:r>
    </w:p>
    <w:p w14:paraId="72624CB0" w14:textId="77777777" w:rsidR="00CA787A" w:rsidRDefault="003169E9">
      <w:r>
        <w:rPr>
          <w:color w:val="000000"/>
        </w:rPr>
        <w:t>(c) Scale up: Aligned guidance and tools can be adopted broadly across additional LEAs.</w:t>
      </w:r>
    </w:p>
    <w:p w14:paraId="4024E7D6" w14:textId="77777777" w:rsidR="00CA787A" w:rsidRDefault="003169E9">
      <w:r>
        <w:rPr>
          <w:color w:val="000000"/>
        </w:rPr>
        <w:t>Measures/Rationale: Teams posts, meeting frequency, and aligned resources demonstrate improved coordination and clarity in statewide communication.</w:t>
      </w:r>
    </w:p>
    <w:p w14:paraId="62DEC5CC" w14:textId="77777777" w:rsidR="00CA787A" w:rsidRDefault="003169E9">
      <w:r>
        <w:rPr>
          <w:color w:val="000000"/>
        </w:rPr>
        <w:t>FINANCIAL SUPPORT (COMPETITIVE GRANTS)</w:t>
      </w:r>
    </w:p>
    <w:p w14:paraId="175700C6" w14:textId="77777777" w:rsidR="00CA787A" w:rsidRDefault="003169E9">
      <w:r>
        <w:rPr>
          <w:color w:val="000000"/>
        </w:rPr>
        <w:t xml:space="preserve">WVDE/OSE awarded grants to 35 LEAs, with awards ranging from $6,570 to $46,500 (average $30,477).  LEAs were required to align no more than two </w:t>
      </w:r>
      <w:proofErr w:type="gramStart"/>
      <w:r>
        <w:rPr>
          <w:color w:val="000000"/>
        </w:rPr>
        <w:t>evidence based</w:t>
      </w:r>
      <w:proofErr w:type="gramEnd"/>
      <w:r>
        <w:rPr>
          <w:color w:val="000000"/>
        </w:rPr>
        <w:t xml:space="preserve"> practices (EBPs) to the WV Standards for Effective Schools and outline sustainability considerations. Funds supported staffing shortages through stipends for extra duty work (transition specialists, job coaches), </w:t>
      </w:r>
      <w:proofErr w:type="gramStart"/>
      <w:r>
        <w:rPr>
          <w:color w:val="000000"/>
        </w:rPr>
        <w:t>work based</w:t>
      </w:r>
      <w:proofErr w:type="gramEnd"/>
      <w:r>
        <w:rPr>
          <w:color w:val="000000"/>
        </w:rPr>
        <w:t xml:space="preserve"> learning resources, and professional development. LEAs reported the work would not be sustainable or scalable without WVDE/OSE financial support.</w:t>
      </w:r>
    </w:p>
    <w:p w14:paraId="7FC5615A" w14:textId="77777777" w:rsidR="00CA787A" w:rsidRDefault="003169E9">
      <w:r>
        <w:rPr>
          <w:color w:val="000000"/>
        </w:rPr>
        <w:t>Systems Framework Alignment: Finance; Quality Standards; Professional Development/TA.</w:t>
      </w:r>
    </w:p>
    <w:p w14:paraId="5234A717" w14:textId="77777777" w:rsidR="00CA787A" w:rsidRDefault="003169E9">
      <w:r>
        <w:rPr>
          <w:color w:val="000000"/>
        </w:rPr>
        <w:t>Supports System Change:</w:t>
      </w:r>
    </w:p>
    <w:p w14:paraId="48FAFEB0" w14:textId="77777777" w:rsidR="00CA787A" w:rsidRDefault="003169E9">
      <w:r>
        <w:rPr>
          <w:color w:val="000000"/>
        </w:rPr>
        <w:lastRenderedPageBreak/>
        <w:t xml:space="preserve">(a) </w:t>
      </w:r>
      <w:proofErr w:type="spellStart"/>
      <w:r>
        <w:rPr>
          <w:color w:val="000000"/>
        </w:rPr>
        <w:t>SiMR</w:t>
      </w:r>
      <w:proofErr w:type="spellEnd"/>
      <w:r>
        <w:rPr>
          <w:color w:val="000000"/>
        </w:rPr>
        <w:t xml:space="preserve"> achievement: Funds directly support implementation of EBPs that influence graduation outcomes.</w:t>
      </w:r>
    </w:p>
    <w:p w14:paraId="60097DE7" w14:textId="77777777" w:rsidR="00CA787A" w:rsidRDefault="003169E9">
      <w:r>
        <w:rPr>
          <w:color w:val="000000"/>
        </w:rPr>
        <w:t>(b) Sustainability: Required sustainability planning and capacity building activities strengthen long term implementation.</w:t>
      </w:r>
    </w:p>
    <w:p w14:paraId="672FEA32" w14:textId="77777777" w:rsidR="00CA787A" w:rsidRDefault="003169E9">
      <w:r>
        <w:rPr>
          <w:color w:val="000000"/>
        </w:rPr>
        <w:t>(c) Scale up: Increased participation and targeted funding expand access to effective practices statewide.</w:t>
      </w:r>
    </w:p>
    <w:p w14:paraId="343873DB" w14:textId="77777777" w:rsidR="00CA787A" w:rsidRDefault="003169E9">
      <w:r>
        <w:rPr>
          <w:color w:val="000000"/>
        </w:rPr>
        <w:t>Measures/Rationale: Number of LEAs funded, award amounts, EBP selections, and progress reports demonstrate implementation of key practices tied to graduation outcomes.</w:t>
      </w:r>
    </w:p>
    <w:p w14:paraId="74C15D6A" w14:textId="77777777" w:rsidR="00CA787A" w:rsidRDefault="003169E9">
      <w:r>
        <w:rPr>
          <w:color w:val="000000"/>
        </w:rPr>
        <w:t>DIFFERENTIATED TECHNICAL ASSISTANCE &amp; PROFESSIONAL DEVELOPMENT</w:t>
      </w:r>
    </w:p>
    <w:p w14:paraId="3929A8F0" w14:textId="77777777" w:rsidR="00CA787A" w:rsidRDefault="003169E9">
      <w:r>
        <w:rPr>
          <w:color w:val="000000"/>
        </w:rPr>
        <w:t>WVDE/OSE maintained and updated the WVGtG webpage, ensuring accessible, family friendly information and consistent messaging about graduation improvement efforts. The WVGtG Community of Practice met monthly for 90 minutes, drawing 50–60 participants for implementation support and EBP learning. A dedicated Teams site provided ongoing communication and was refreshed annually to support new or transitioning staff. In addition, two in person Hands On Learning Academies (HOLAs) held in December 2024 (122 participants) and March 2025 (132 participants) strengthened LEA data literacy related to Indicators 1, 2, 13, and 14.</w:t>
      </w:r>
    </w:p>
    <w:p w14:paraId="0E42DBBA" w14:textId="77777777" w:rsidR="00CA787A" w:rsidRDefault="003169E9">
      <w:r>
        <w:rPr>
          <w:color w:val="000000"/>
        </w:rPr>
        <w:t>Systems Framework Alignment: PD/TA; Data; Accountability/Monitoring; Governance.</w:t>
      </w:r>
    </w:p>
    <w:p w14:paraId="35F42E8F" w14:textId="77777777" w:rsidR="00CA787A" w:rsidRDefault="003169E9">
      <w:r>
        <w:rPr>
          <w:color w:val="000000"/>
        </w:rPr>
        <w:t>Supports System Change:</w:t>
      </w:r>
    </w:p>
    <w:p w14:paraId="73AB026E" w14:textId="77777777" w:rsidR="00CA787A" w:rsidRDefault="003169E9">
      <w:r>
        <w:rPr>
          <w:color w:val="000000"/>
        </w:rPr>
        <w:t xml:space="preserve">(a) </w:t>
      </w:r>
      <w:proofErr w:type="spellStart"/>
      <w:r>
        <w:rPr>
          <w:color w:val="000000"/>
        </w:rPr>
        <w:t>SiMR</w:t>
      </w:r>
      <w:proofErr w:type="spellEnd"/>
      <w:r>
        <w:rPr>
          <w:color w:val="000000"/>
        </w:rPr>
        <w:t xml:space="preserve"> achievement: Strengthens educator knowledge of EBPs and improves use of indicator data directly connected to graduation outcomes.</w:t>
      </w:r>
    </w:p>
    <w:p w14:paraId="0289380A" w14:textId="77777777" w:rsidR="00CA787A" w:rsidRDefault="003169E9">
      <w:r>
        <w:rPr>
          <w:color w:val="000000"/>
        </w:rPr>
        <w:t>(b) Sustainability: Recurring structures (CoP, HOLAs, webpage, Teams) maintain statewide capacity despite staff turnover.</w:t>
      </w:r>
    </w:p>
    <w:p w14:paraId="653797B2" w14:textId="77777777" w:rsidR="00CA787A" w:rsidRDefault="003169E9">
      <w:r>
        <w:rPr>
          <w:color w:val="000000"/>
        </w:rPr>
        <w:t>(c) Scale up: Open participation and publicly accessible resources allow all LEAs to adopt practices beyond funded participants.</w:t>
      </w:r>
    </w:p>
    <w:p w14:paraId="20C36D1F" w14:textId="77777777" w:rsidR="00CA787A" w:rsidRDefault="003169E9">
      <w:r>
        <w:rPr>
          <w:color w:val="000000"/>
        </w:rPr>
        <w:t>Measures/Rationale: Attendance, website traffic, resource downloads, and participant learning evidence increased statewide implementation capacity.</w:t>
      </w:r>
    </w:p>
    <w:p w14:paraId="043E067F" w14:textId="77777777" w:rsidR="00AE1972" w:rsidRPr="00781112" w:rsidRDefault="00AE1972" w:rsidP="00AE1972">
      <w:pPr>
        <w:rPr>
          <w:rFonts w:cs="Arial"/>
          <w:b/>
          <w:bCs/>
        </w:rPr>
      </w:pPr>
    </w:p>
    <w:p w14:paraId="5A8BED82" w14:textId="77777777" w:rsidR="00AE1972" w:rsidRPr="00781112" w:rsidRDefault="00AE1972" w:rsidP="00AE1972">
      <w:pPr>
        <w:rPr>
          <w:rFonts w:cs="Arial"/>
          <w:b/>
          <w:bCs/>
        </w:rPr>
      </w:pPr>
      <w:r w:rsidRPr="00781112">
        <w:rPr>
          <w:rFonts w:cs="Arial"/>
          <w:b/>
          <w:bCs/>
        </w:rPr>
        <w:t xml:space="preserve">Did the State implement any </w:t>
      </w:r>
      <w:r w:rsidRPr="00781112">
        <w:rPr>
          <w:rFonts w:cs="Arial"/>
          <w:b/>
          <w:bCs/>
          <w:u w:val="single"/>
        </w:rPr>
        <w:t>new</w:t>
      </w:r>
      <w:r w:rsidRPr="00781112">
        <w:rPr>
          <w:rFonts w:cs="Arial"/>
          <w:b/>
          <w:bCs/>
        </w:rPr>
        <w:t xml:space="preserve"> (newly identified) infrastructure improvement strategies during the reporting period?</w:t>
      </w:r>
      <w:r w:rsidRPr="00781112">
        <w:rPr>
          <w:b/>
          <w:bCs/>
        </w:rPr>
        <w:t xml:space="preserve"> (yes/no)</w:t>
      </w:r>
    </w:p>
    <w:p w14:paraId="452376FB" w14:textId="77777777" w:rsidR="00AE1972" w:rsidRDefault="00AE1972" w:rsidP="00AE1972">
      <w:pPr>
        <w:rPr>
          <w:color w:val="000000" w:themeColor="text1"/>
        </w:rPr>
      </w:pPr>
      <w:r w:rsidRPr="00781112">
        <w:rPr>
          <w:color w:val="000000" w:themeColor="text1"/>
        </w:rPr>
        <w:t>NO</w:t>
      </w:r>
    </w:p>
    <w:p w14:paraId="7C986474" w14:textId="77777777" w:rsidR="00AE1972" w:rsidRPr="00781112" w:rsidRDefault="00AE1972" w:rsidP="00AE1972">
      <w:pPr>
        <w:rPr>
          <w:rFonts w:cs="Arial"/>
          <w:b/>
          <w:bCs/>
        </w:rPr>
      </w:pPr>
      <w:r w:rsidRPr="00781112">
        <w:rPr>
          <w:rFonts w:cs="Arial"/>
          <w:b/>
          <w:bCs/>
        </w:rPr>
        <w:t xml:space="preserve">Provide a summary of the next steps for each infrastructure improvement strategy and the anticipated outcomes to be attained during the next reporting period. </w:t>
      </w:r>
    </w:p>
    <w:p w14:paraId="7D52BE35" w14:textId="77777777" w:rsidR="00AE1972" w:rsidRPr="00781112" w:rsidRDefault="00AE1972" w:rsidP="00AE1972">
      <w:pPr>
        <w:rPr>
          <w:b/>
          <w:bCs/>
        </w:rPr>
      </w:pPr>
      <w:r w:rsidRPr="00781112">
        <w:rPr>
          <w:color w:val="000000" w:themeColor="text1"/>
        </w:rPr>
        <w:t xml:space="preserve">Research demonstrates that systemic improvement requires consistent, </w:t>
      </w:r>
      <w:proofErr w:type="gramStart"/>
      <w:r w:rsidRPr="00781112">
        <w:rPr>
          <w:color w:val="000000" w:themeColor="text1"/>
        </w:rPr>
        <w:t>high quality</w:t>
      </w:r>
      <w:proofErr w:type="gramEnd"/>
      <w:r w:rsidRPr="00781112">
        <w:rPr>
          <w:color w:val="000000" w:themeColor="text1"/>
        </w:rPr>
        <w:t xml:space="preserve"> implementation over time. Accordingly, WVDE/OSE will continue the infrastructure activities initiated in the current reporting cycle unless data or stakeholder input indicate a need for course correction. The following sections describe the next steps for each strategy and the anticipated outcomes for the next reporting period.</w:t>
      </w:r>
    </w:p>
    <w:p w14:paraId="6A57F20F" w14:textId="77777777" w:rsidR="00CA787A" w:rsidRDefault="003169E9">
      <w:r>
        <w:rPr>
          <w:color w:val="000000"/>
        </w:rPr>
        <w:t>SSIP COORDINATOR AND INTERNAL EVALUATOR</w:t>
      </w:r>
    </w:p>
    <w:p w14:paraId="4AEE1E90" w14:textId="77777777" w:rsidR="00CA787A" w:rsidRDefault="003169E9">
      <w:r>
        <w:rPr>
          <w:color w:val="000000"/>
        </w:rPr>
        <w:t>These two functions will continue as dedicated SEA positions to maintain continuity in SSIP planning, implementation, and evaluation. The Coordinator will sustain leadership in resource development, interagency collaboration, and targeted supports related to graduation and post school outcomes for students with disabilities (SWDs). The Internal Evaluator will continue to analyze evaluation plan data, refresh the WVGtG data dashboard, and ensure timely integration of 618 data.</w:t>
      </w:r>
    </w:p>
    <w:p w14:paraId="2C17507B" w14:textId="77777777" w:rsidR="00CA787A" w:rsidRDefault="003169E9">
      <w:r>
        <w:rPr>
          <w:color w:val="000000"/>
        </w:rPr>
        <w:t xml:space="preserve">Anticipated outcomes: Ongoing alignment of agency partners, strengthened statewide messaging, improved access to usable data for LEAs, and continued refinement of state level supports grounded in current performance trends. These efforts are expected to enhance the accuracy of LEA improvement planning and strengthen the connection between data use and implementation of </w:t>
      </w:r>
      <w:proofErr w:type="gramStart"/>
      <w:r>
        <w:rPr>
          <w:color w:val="000000"/>
        </w:rPr>
        <w:t>evidence based</w:t>
      </w:r>
      <w:proofErr w:type="gramEnd"/>
      <w:r>
        <w:rPr>
          <w:color w:val="000000"/>
        </w:rPr>
        <w:t xml:space="preserve"> practices (EBPs).</w:t>
      </w:r>
    </w:p>
    <w:p w14:paraId="1577542E" w14:textId="77777777" w:rsidR="00CA787A" w:rsidRDefault="003169E9">
      <w:r>
        <w:rPr>
          <w:color w:val="000000"/>
        </w:rPr>
        <w:t>INTERAGENCY COLLABORATION TEAM (STATE LEVEL IMPLEMENTATION TEAM)</w:t>
      </w:r>
    </w:p>
    <w:p w14:paraId="1DE525DB" w14:textId="77777777" w:rsidR="00CA787A" w:rsidRDefault="003169E9">
      <w:r>
        <w:rPr>
          <w:color w:val="000000"/>
        </w:rPr>
        <w:t xml:space="preserve">WVDE/OSE will continue coordination of this team through provision of a third-party facilitator with additional support from national TA centers NCSI and NTACT:C. This team will provide resources and structured guidance focused on improving graduation and post school outcomes. The team will meet routinely as the core state level implementation team for the SSIP. Membership will be reviewed annually to ensure appropriate representation from education, vocational rehabilitation, families, and other key stakeholder groups. Because of its diverse composition, the team may also function as the primary stakeholder group for developing or revising the State’s </w:t>
      </w:r>
      <w:proofErr w:type="spellStart"/>
      <w:r>
        <w:rPr>
          <w:color w:val="000000"/>
        </w:rPr>
        <w:t>SiMR</w:t>
      </w:r>
      <w:proofErr w:type="spellEnd"/>
      <w:r>
        <w:rPr>
          <w:color w:val="000000"/>
        </w:rPr>
        <w:t xml:space="preserve"> during the next SSIP cycle (FFY 2025–2030). The SSIP Coordinator will continue to collaborate with this group to refine resources aligned with statewide needs and will maintain active engagement in interagency bodies that support transition outcomes.</w:t>
      </w:r>
    </w:p>
    <w:p w14:paraId="7AE9FE6C" w14:textId="77777777" w:rsidR="00CA787A" w:rsidRDefault="003169E9">
      <w:r>
        <w:rPr>
          <w:color w:val="000000"/>
        </w:rPr>
        <w:t xml:space="preserve">Anticipated outcomes: Improved coherence across state initiatives, more consistent messaging statewide, and enhanced access to aligned resources for students, families, and professionals. Continued interagency engagement is expected to strengthen coordination of transition and graduation related services and support readiness for future </w:t>
      </w:r>
      <w:proofErr w:type="spellStart"/>
      <w:r>
        <w:rPr>
          <w:color w:val="000000"/>
        </w:rPr>
        <w:t>SiMR</w:t>
      </w:r>
      <w:proofErr w:type="spellEnd"/>
      <w:r>
        <w:rPr>
          <w:color w:val="000000"/>
        </w:rPr>
        <w:t xml:space="preserve"> revisions.</w:t>
      </w:r>
    </w:p>
    <w:p w14:paraId="7DD27A74" w14:textId="77777777" w:rsidR="00CA787A" w:rsidRDefault="003169E9">
      <w:r>
        <w:rPr>
          <w:color w:val="000000"/>
        </w:rPr>
        <w:t>FINANCIAL SUPPORT (COMPETITIVE GRANTS)</w:t>
      </w:r>
    </w:p>
    <w:p w14:paraId="0EB0B2D9" w14:textId="77777777" w:rsidR="00CA787A" w:rsidRDefault="003169E9">
      <w:r>
        <w:rPr>
          <w:color w:val="000000"/>
        </w:rPr>
        <w:t xml:space="preserve">WVDE/OSE plans to maintain its financial support model, providing competitive grants similar to those used in previous cycles, pending federal funding levels. Prioritization will continue to focus on LEA implementation of EBPs that improve graduation and post school outcomes, with particular emphasis on secondary transition practices (due to ongoing statewide needs reflected in Indicator 13 compliance). Funding will also support </w:t>
      </w:r>
      <w:proofErr w:type="gramStart"/>
      <w:r>
        <w:rPr>
          <w:color w:val="000000"/>
        </w:rPr>
        <w:t>work based</w:t>
      </w:r>
      <w:proofErr w:type="gramEnd"/>
      <w:r>
        <w:rPr>
          <w:color w:val="000000"/>
        </w:rPr>
        <w:t xml:space="preserve"> learning expansion and systems level activities that strengthen student achievement, as Indicator 3 data also indicate a continuing need for improvement.</w:t>
      </w:r>
    </w:p>
    <w:p w14:paraId="2BC9E84E" w14:textId="77777777" w:rsidR="00CA787A" w:rsidRDefault="003169E9">
      <w:r>
        <w:rPr>
          <w:color w:val="000000"/>
        </w:rPr>
        <w:t xml:space="preserve">Anticipated outcomes: LEAs will sustain and deepen use of EBPs, enhance transition programming, and expand </w:t>
      </w:r>
      <w:proofErr w:type="gramStart"/>
      <w:r>
        <w:rPr>
          <w:color w:val="000000"/>
        </w:rPr>
        <w:t>work based</w:t>
      </w:r>
      <w:proofErr w:type="gramEnd"/>
      <w:r>
        <w:rPr>
          <w:color w:val="000000"/>
        </w:rPr>
        <w:t xml:space="preserve"> learning for SWDs. Improved local capacity is expected to contribute to stronger statewide results on Indicators 1 (graduation), 2 (dropout), 13 (transition compliance), and 14 (post school outcomes). Stable financial support will also promote sustainability of efforts initiated under earlier grant cycles.</w:t>
      </w:r>
    </w:p>
    <w:p w14:paraId="7BE1B806" w14:textId="77777777" w:rsidR="00CA787A" w:rsidRDefault="003169E9">
      <w:r>
        <w:rPr>
          <w:color w:val="000000"/>
        </w:rPr>
        <w:t>DIFFERENTIATED TECHNICAL ASSISTANCE (TA) AND PROFESSIONAL DEVELOPMENT</w:t>
      </w:r>
    </w:p>
    <w:p w14:paraId="1D5DA728" w14:textId="77777777" w:rsidR="00CA787A" w:rsidRDefault="003169E9">
      <w:r>
        <w:rPr>
          <w:color w:val="000000"/>
        </w:rPr>
        <w:t xml:space="preserve">WVDE/OSE will continue offering differentiated TA and professional development related to transition planning, service delivery, </w:t>
      </w:r>
      <w:proofErr w:type="gramStart"/>
      <w:r>
        <w:rPr>
          <w:color w:val="000000"/>
        </w:rPr>
        <w:t>work based</w:t>
      </w:r>
      <w:proofErr w:type="gramEnd"/>
      <w:r>
        <w:rPr>
          <w:color w:val="000000"/>
        </w:rPr>
        <w:t xml:space="preserve"> learning, leadership development, and systems improvement. Because many LEAs continue to experience high turnover (nearly half have had new special education directors or secondary transition coordinators within the past three years) data literacy and EBP implementation remain high priority needs. The SSIP Coordinator will continue facilitating at least one statewide </w:t>
      </w:r>
      <w:proofErr w:type="gramStart"/>
      <w:r>
        <w:rPr>
          <w:color w:val="000000"/>
        </w:rPr>
        <w:t>Hands On</w:t>
      </w:r>
      <w:proofErr w:type="gramEnd"/>
      <w:r>
        <w:rPr>
          <w:color w:val="000000"/>
        </w:rPr>
        <w:t xml:space="preserve"> Learning Academy (HOLA) for all SSIP participants, with a focus on improving understanding of Indicators 1, 2, 13, and 14 and their relationship to the </w:t>
      </w:r>
      <w:proofErr w:type="spellStart"/>
      <w:r>
        <w:rPr>
          <w:color w:val="000000"/>
        </w:rPr>
        <w:t>SiMR</w:t>
      </w:r>
      <w:proofErr w:type="spellEnd"/>
      <w:r>
        <w:rPr>
          <w:color w:val="000000"/>
        </w:rPr>
        <w:t>. Ongoing support will also be provided through the CoP, resource updates, the WVGtG webpage, and direct TA.</w:t>
      </w:r>
    </w:p>
    <w:p w14:paraId="2CE26F71" w14:textId="77777777" w:rsidR="00CA787A" w:rsidRDefault="003169E9">
      <w:r>
        <w:rPr>
          <w:color w:val="000000"/>
        </w:rPr>
        <w:t xml:space="preserve">Anticipated outcomes: Strengthened LEA leadership capacity, improved EBP implementation fidelity, and greater ability to use data to monitor progress and make decisions. Continued TA and professional learning are expected to reduce variability in transition planning quality, increase consistency in </w:t>
      </w:r>
      <w:proofErr w:type="gramStart"/>
      <w:r>
        <w:rPr>
          <w:color w:val="000000"/>
        </w:rPr>
        <w:t>work based</w:t>
      </w:r>
      <w:proofErr w:type="gramEnd"/>
      <w:r>
        <w:rPr>
          <w:color w:val="000000"/>
        </w:rPr>
        <w:t xml:space="preserve"> learning access, and support improved graduation and post-school outcomes for SWDs during the next reporting period.</w:t>
      </w:r>
    </w:p>
    <w:p w14:paraId="05DA0797" w14:textId="77777777" w:rsidR="00AE1972" w:rsidRPr="00781112" w:rsidRDefault="00AE1972" w:rsidP="00AE1972">
      <w:pPr>
        <w:rPr>
          <w:rFonts w:cs="Arial"/>
          <w:b/>
          <w:bCs/>
        </w:rPr>
      </w:pPr>
    </w:p>
    <w:p w14:paraId="1861CE8D" w14:textId="77777777" w:rsidR="00AE1972" w:rsidRPr="00781112" w:rsidRDefault="00AE1972" w:rsidP="00AE1972">
      <w:pPr>
        <w:rPr>
          <w:rFonts w:cs="Arial"/>
          <w:b/>
          <w:bCs/>
        </w:rPr>
      </w:pPr>
      <w:r w:rsidRPr="00781112">
        <w:rPr>
          <w:rFonts w:cs="Arial"/>
          <w:b/>
          <w:bCs/>
        </w:rPr>
        <w:t>List the selected evidence-based practices implement in the reporting period:</w:t>
      </w:r>
    </w:p>
    <w:p w14:paraId="7B3DAE84" w14:textId="77777777" w:rsidR="00AE1972" w:rsidRPr="00781112" w:rsidRDefault="00AE1972" w:rsidP="00AE1972">
      <w:pPr>
        <w:rPr>
          <w:b/>
          <w:bCs/>
        </w:rPr>
      </w:pPr>
      <w:r w:rsidRPr="00781112">
        <w:rPr>
          <w:color w:val="000000" w:themeColor="text1"/>
        </w:rPr>
        <w:t xml:space="preserve">West Virginia LEAs have 100% control over which specific strategies and interventions they will use and are allowed to choose evidence-based practices (EBPs) specific to their individual local needs. This flexibility has continued in response to stakeholder feedback and survey data obtained on the successes/challenges of current and previous SSIP work. </w:t>
      </w:r>
    </w:p>
    <w:p w14:paraId="085D001B" w14:textId="77777777" w:rsidR="00CA787A" w:rsidRDefault="00CA787A"/>
    <w:p w14:paraId="72D9D2EA" w14:textId="77777777" w:rsidR="00CA787A" w:rsidRDefault="003169E9">
      <w:r>
        <w:rPr>
          <w:color w:val="000000"/>
        </w:rPr>
        <w:t xml:space="preserve">Beginning in SY22-23 LEAs participating in the SSIP have been allowed to </w:t>
      </w:r>
      <w:proofErr w:type="spellStart"/>
      <w:r>
        <w:rPr>
          <w:color w:val="000000"/>
        </w:rPr>
        <w:t>chose</w:t>
      </w:r>
      <w:proofErr w:type="spellEnd"/>
      <w:r>
        <w:rPr>
          <w:color w:val="000000"/>
        </w:rPr>
        <w:t xml:space="preserve"> activities within one of the four EBPs domains listed below. These four domains were still an option for all SSIP participants, but those who applied for grant funding were asked to include in their grant applications a summary of no more than two EBP domains they intended to implement during the school year and how they were aligned to the WV Standards for Effective Schools. The four broad categories (i.e., domains) related to EBPs that </w:t>
      </w:r>
      <w:proofErr w:type="spellStart"/>
      <w:r>
        <w:rPr>
          <w:color w:val="000000"/>
        </w:rPr>
        <w:t>hav</w:t>
      </w:r>
      <w:proofErr w:type="spellEnd"/>
      <w:r>
        <w:rPr>
          <w:color w:val="000000"/>
        </w:rPr>
        <w:t xml:space="preserve"> been implemented by LEAs since SY2022 are identified as:</w:t>
      </w:r>
    </w:p>
    <w:p w14:paraId="297D434F" w14:textId="77777777" w:rsidR="00CA787A" w:rsidRDefault="00CA787A"/>
    <w:p w14:paraId="458C018B" w14:textId="77777777" w:rsidR="00CA787A" w:rsidRDefault="003169E9">
      <w:r>
        <w:rPr>
          <w:color w:val="000000"/>
        </w:rPr>
        <w:t>* Educational Supports/Academic Performance (ES)</w:t>
      </w:r>
    </w:p>
    <w:p w14:paraId="27241527" w14:textId="77777777" w:rsidR="00CA787A" w:rsidRDefault="003169E9">
      <w:r>
        <w:rPr>
          <w:color w:val="000000"/>
        </w:rPr>
        <w:t>* Student and Family Engagement (SFA()</w:t>
      </w:r>
    </w:p>
    <w:p w14:paraId="2E4C42F9" w14:textId="77777777" w:rsidR="00CA787A" w:rsidRDefault="003169E9">
      <w:r>
        <w:rPr>
          <w:color w:val="000000"/>
        </w:rPr>
        <w:t>* Secondary Transition Services/Activities (TSA)</w:t>
      </w:r>
    </w:p>
    <w:p w14:paraId="3EB22113" w14:textId="77777777" w:rsidR="00CA787A" w:rsidRDefault="003169E9">
      <w:r>
        <w:rPr>
          <w:color w:val="000000"/>
        </w:rPr>
        <w:t>* Systems Improvements (SI)</w:t>
      </w:r>
    </w:p>
    <w:p w14:paraId="52ABAED7" w14:textId="77777777" w:rsidR="00CA787A" w:rsidRDefault="00CA787A"/>
    <w:p w14:paraId="1F5F5F40" w14:textId="77777777" w:rsidR="00CA787A" w:rsidRDefault="003169E9">
      <w:r>
        <w:rPr>
          <w:color w:val="000000"/>
        </w:rPr>
        <w:t xml:space="preserve">These categories are the EBP domains implemented in West Virginia schools participating in the SSIP and the data reported is aggregated for each domain. Examples of interventions and activities that could be implemented at the local level are listed in the section below. </w:t>
      </w:r>
    </w:p>
    <w:p w14:paraId="28D5D85E" w14:textId="77777777" w:rsidR="00AE1972" w:rsidRPr="00781112" w:rsidRDefault="00AE1972" w:rsidP="00AE1972">
      <w:pPr>
        <w:rPr>
          <w:rFonts w:cs="Arial"/>
          <w:b/>
          <w:bCs/>
        </w:rPr>
      </w:pPr>
    </w:p>
    <w:p w14:paraId="2EDA57E1" w14:textId="77777777" w:rsidR="00AE1972" w:rsidRPr="00781112" w:rsidRDefault="00AE1972" w:rsidP="00AE1972">
      <w:pPr>
        <w:rPr>
          <w:rFonts w:cs="Arial"/>
          <w:b/>
          <w:bCs/>
        </w:rPr>
      </w:pPr>
      <w:r w:rsidRPr="00781112">
        <w:rPr>
          <w:rFonts w:cs="Arial"/>
          <w:b/>
          <w:bCs/>
        </w:rPr>
        <w:t>Provide a summary of each evidence-based practice.</w:t>
      </w:r>
    </w:p>
    <w:p w14:paraId="096A2264" w14:textId="77777777" w:rsidR="00AE1972" w:rsidRPr="00781112" w:rsidRDefault="00AE1972" w:rsidP="00AE1972">
      <w:pPr>
        <w:rPr>
          <w:b/>
          <w:bCs/>
        </w:rPr>
      </w:pPr>
      <w:r w:rsidRPr="00781112">
        <w:rPr>
          <w:color w:val="000000" w:themeColor="text1"/>
        </w:rPr>
        <w:t>These summaries describe previously reported activities with included weblinks that provide additional information to the help readers understand the implementation of EBP domains in West Virginia.</w:t>
      </w:r>
    </w:p>
    <w:p w14:paraId="47B60D07" w14:textId="77777777" w:rsidR="00CA787A" w:rsidRDefault="00CA787A"/>
    <w:p w14:paraId="2E1E8FF3" w14:textId="77777777" w:rsidR="00CA787A" w:rsidRDefault="003169E9">
      <w:r>
        <w:rPr>
          <w:color w:val="000000"/>
        </w:rPr>
        <w:t xml:space="preserve">EDUCATIONAL SUPPORTS/ACADEMIC PERFORMANCE - includes activities such as credit recovery; tutoring; dropout prevention, graduation coaches (academic-/tutor specific role); Option Pathway - WV's multiple pathways to graduation found in WVBE Policy 2444.4 [https://wvde.state.wv.us/policies/] WV GEAR UP [https://www.wvgearup.org/] - a federally funded program that helps prepare students for post-secondary training and employment; problem-solving/goal setting strategies initiated by students with adult support; co-teaching/inclusive practices and specially designed instruction to improve academic performance for all students. </w:t>
      </w:r>
    </w:p>
    <w:p w14:paraId="65851EEA" w14:textId="77777777" w:rsidR="00CA787A" w:rsidRDefault="00CA787A"/>
    <w:p w14:paraId="3EFFD558" w14:textId="77777777" w:rsidR="00CA787A" w:rsidRDefault="003169E9">
      <w:r>
        <w:rPr>
          <w:color w:val="000000"/>
        </w:rPr>
        <w:t>STUDENT AND FAMILY ENGAGEMENT - includes activities that specifically target at-risk students. Examples include Check and Connect; mentoring; graduation coaches (family support role); social workers; and student assistance teams (SAT) consisting of school staff and parents using data to identify individual student needs and develop plans of support for a wide range of problems, including academics, behavior, social-emotional concerns, and attendance issues. Communities in Schools (CIS) support is available in all West Virginia counties with 298 site-based coordinators in 285 schools, who leverage partnerships to connect students and families with community resources, tailoring them to their specific needs. CIS supports are available to all students, not just SWDs [https://wvde.us/student-support-wellness/communities-schools/].</w:t>
      </w:r>
    </w:p>
    <w:p w14:paraId="77A85EBE" w14:textId="77777777" w:rsidR="00CA787A" w:rsidRDefault="00CA787A"/>
    <w:p w14:paraId="11478DB2" w14:textId="77777777" w:rsidR="00CA787A" w:rsidRDefault="003169E9">
      <w:r>
        <w:rPr>
          <w:color w:val="000000"/>
        </w:rPr>
        <w:t>SECONDARY TRANSITION SERVICES/ACTIVITIES - includes activities related to student support from a transition specialist/coach/coordinator; work-based learning, job exploration, and work readiness training; self-advocacy training; transition/job/career fair events, and simulated workplace opportunities [https://wvde.us/simulated-workplace/]. Also includes pre-employment transition services (Pre-ETS) that may be provided by WV Division of Rehabilitation (DRS).</w:t>
      </w:r>
    </w:p>
    <w:p w14:paraId="0113A415" w14:textId="77777777" w:rsidR="00CA787A" w:rsidRDefault="00CA787A"/>
    <w:p w14:paraId="698A78DE" w14:textId="77777777" w:rsidR="00CA787A" w:rsidRDefault="003169E9">
      <w:r>
        <w:rPr>
          <w:color w:val="000000"/>
        </w:rPr>
        <w:t xml:space="preserve">SYSTEMS IMPROVEMENTS - includes activities such as programmatic or building-level improvements; implementation of changes to programs/practices based on root cause analysis and data-based decision making; improved IEP compliance; collaboration; and expanded professional development opportunities intended to support and improve outcomes for students with disabilities. </w:t>
      </w:r>
    </w:p>
    <w:p w14:paraId="004BC22F" w14:textId="77777777" w:rsidR="00AE1972" w:rsidRPr="00781112" w:rsidRDefault="00AE1972" w:rsidP="00AE1972">
      <w:pPr>
        <w:rPr>
          <w:rFonts w:cs="Arial"/>
          <w:b/>
          <w:bCs/>
        </w:rPr>
      </w:pPr>
      <w:r w:rsidRPr="00781112">
        <w:rPr>
          <w:rFonts w:cs="Arial"/>
          <w:b/>
          <w:bCs/>
        </w:rPr>
        <w:t xml:space="preserve"> </w:t>
      </w:r>
    </w:p>
    <w:p w14:paraId="7565225E" w14:textId="77777777" w:rsidR="00AE1972" w:rsidRPr="00781112" w:rsidRDefault="00AE1972" w:rsidP="00AE1972">
      <w:pPr>
        <w:rPr>
          <w:rFonts w:cs="Arial"/>
          <w:b/>
          <w:bCs/>
        </w:rPr>
      </w:pPr>
      <w:bookmarkStart w:id="97" w:name="_Hlk88409387"/>
      <w:r w:rsidRPr="00781112">
        <w:rPr>
          <w:rFonts w:cs="Arial"/>
          <w:b/>
          <w:bCs/>
        </w:rPr>
        <w:t xml:space="preserve">Provide a summary of how each evidence-based practice and activities or strategies that support its use, is intended to impact the </w:t>
      </w:r>
      <w:proofErr w:type="spellStart"/>
      <w:r w:rsidRPr="00781112">
        <w:rPr>
          <w:rFonts w:cs="Arial"/>
          <w:b/>
          <w:bCs/>
        </w:rPr>
        <w:t>SiMR</w:t>
      </w:r>
      <w:proofErr w:type="spellEnd"/>
      <w:r w:rsidRPr="00781112">
        <w:rPr>
          <w:rFonts w:cs="Arial"/>
          <w:b/>
          <w:bCs/>
        </w:rPr>
        <w:t xml:space="preserve"> by changing program/district policies, procedures, and/or practices, teacher/provider practices (e.g., behaviors), parent/caregiver outcomes, and/or child outcomes. </w:t>
      </w:r>
    </w:p>
    <w:bookmarkEnd w:id="97"/>
    <w:p w14:paraId="43E4712D" w14:textId="77777777" w:rsidR="00AE1972" w:rsidRPr="00781112" w:rsidRDefault="00AE1972" w:rsidP="00AE1972">
      <w:pPr>
        <w:rPr>
          <w:b/>
          <w:bCs/>
        </w:rPr>
      </w:pPr>
      <w:r w:rsidRPr="00781112">
        <w:rPr>
          <w:color w:val="000000" w:themeColor="text1"/>
        </w:rPr>
        <w:t xml:space="preserve">EDUCATIONAL SUPPORTS/ACADEMIC PERFORMANCE - 50% of LEAs participating in the SSIP listed this as an EBP domain which is almost double compared to the FFY2023 data (29%). This increase may be related to a statewide push to improve academic performance data for all students and based on capacity constraints SSIP participants chose to include this as their EBP for data collection purposes. When students are more successful in school, they are more likely to be engaged in their education. This will impact the </w:t>
      </w:r>
      <w:proofErr w:type="spellStart"/>
      <w:r w:rsidRPr="00781112">
        <w:rPr>
          <w:color w:val="000000" w:themeColor="text1"/>
        </w:rPr>
        <w:t>SiMR</w:t>
      </w:r>
      <w:proofErr w:type="spellEnd"/>
      <w:r w:rsidRPr="00781112">
        <w:rPr>
          <w:color w:val="000000" w:themeColor="text1"/>
        </w:rPr>
        <w:t xml:space="preserve"> through changes in teacher/provider practices that may include more co-teaching, fewer pull-out services, and better student engagement. This may also indirectly impact results related to indicator 3 data.</w:t>
      </w:r>
    </w:p>
    <w:p w14:paraId="2DD6AB55" w14:textId="77777777" w:rsidR="00CA787A" w:rsidRDefault="00CA787A"/>
    <w:p w14:paraId="1F77A982" w14:textId="77777777" w:rsidR="00CA787A" w:rsidRDefault="003169E9">
      <w:r>
        <w:rPr>
          <w:color w:val="000000"/>
        </w:rPr>
        <w:t xml:space="preserve">STUDENT/FAMILY ENGAGEMENT – 20% of LEAs participating in the SSIP listed this as an EBP domain which is an increase over the FFY2023 data (14%). When students and families are engaged with the school community, attendance increases, and they begin to see the benefits of receiving a regular high school diploma. This will </w:t>
      </w:r>
      <w:proofErr w:type="gramStart"/>
      <w:r>
        <w:rPr>
          <w:color w:val="000000"/>
        </w:rPr>
        <w:t>impact</w:t>
      </w:r>
      <w:proofErr w:type="gramEnd"/>
      <w:r>
        <w:rPr>
          <w:color w:val="000000"/>
        </w:rPr>
        <w:t xml:space="preserve"> the </w:t>
      </w:r>
      <w:proofErr w:type="spellStart"/>
      <w:r>
        <w:rPr>
          <w:color w:val="000000"/>
        </w:rPr>
        <w:t>SiMR</w:t>
      </w:r>
      <w:proofErr w:type="spellEnd"/>
      <w:r>
        <w:rPr>
          <w:color w:val="000000"/>
        </w:rPr>
        <w:t xml:space="preserve"> through changes in teacher/provider practices, parent/student outcomes, and district practices. This may include more frequent teacher/parent communication, increased student attendance, and improved school climate. This may also indirectly impact results related to indicator 8 data.</w:t>
      </w:r>
    </w:p>
    <w:p w14:paraId="4CAE9A98" w14:textId="77777777" w:rsidR="00CA787A" w:rsidRDefault="00CA787A"/>
    <w:p w14:paraId="616DA62A" w14:textId="77777777" w:rsidR="00CA787A" w:rsidRDefault="003169E9">
      <w:r>
        <w:rPr>
          <w:color w:val="000000"/>
        </w:rPr>
        <w:t xml:space="preserve">SYSTEMS IMPROVEMENTS – 40% of LEAs participating in the SSIP listed this as an EBP domain which is greater than the FFY2023 data (25%). When programs, policies, and procedures/practices change to meet the needs of every student, then the culture and climate change over time to become more inclusive. When schools support inclusive practices, then they can begin improving academic performance for all students. This will </w:t>
      </w:r>
      <w:proofErr w:type="gramStart"/>
      <w:r>
        <w:rPr>
          <w:color w:val="000000"/>
        </w:rPr>
        <w:t>impact</w:t>
      </w:r>
      <w:proofErr w:type="gramEnd"/>
      <w:r>
        <w:rPr>
          <w:color w:val="000000"/>
        </w:rPr>
        <w:t xml:space="preserve"> the </w:t>
      </w:r>
      <w:proofErr w:type="spellStart"/>
      <w:r>
        <w:rPr>
          <w:color w:val="000000"/>
        </w:rPr>
        <w:t>SiMR</w:t>
      </w:r>
      <w:proofErr w:type="spellEnd"/>
      <w:r>
        <w:rPr>
          <w:color w:val="000000"/>
        </w:rPr>
        <w:t xml:space="preserve"> through changes in district policies, procedures, and practices; and may also indirectly impact indicators 5, 15, and 16.  </w:t>
      </w:r>
    </w:p>
    <w:p w14:paraId="468C7725" w14:textId="77777777" w:rsidR="00CA787A" w:rsidRDefault="00CA787A"/>
    <w:p w14:paraId="15C390C6" w14:textId="77777777" w:rsidR="00CA787A" w:rsidRDefault="003169E9">
      <w:r>
        <w:rPr>
          <w:color w:val="000000"/>
        </w:rPr>
        <w:t xml:space="preserve">SECONDARY TRANSITION SERVICES/ACTIVITIES – 66% of LEAs participating in the SSIP listed this as an EBP domain which is double the FFY2023 data (32%). When high-quality transition plans are written and implemented, students are better prepared to achieve their post-secondary goals related to education/training, employment, and independent living. When students and families see potential for the future, graduation outcomes also improve. This will impact the </w:t>
      </w:r>
      <w:proofErr w:type="spellStart"/>
      <w:r>
        <w:rPr>
          <w:color w:val="000000"/>
        </w:rPr>
        <w:t>SiMR</w:t>
      </w:r>
      <w:proofErr w:type="spellEnd"/>
      <w:r>
        <w:rPr>
          <w:color w:val="000000"/>
        </w:rPr>
        <w:t xml:space="preserve"> through changes in teacher/provider practices, parent/student outcomes, and district practices with secondary transition plans focused on improving results, not just compliance. This may also indirectly impact results related to indicator 13 data, which historically for some LEAs has been well-below target; and may influence indicator 14 results. </w:t>
      </w:r>
    </w:p>
    <w:p w14:paraId="0A95B69A" w14:textId="77777777" w:rsidR="00AE1972" w:rsidRPr="00781112" w:rsidRDefault="00AE1972" w:rsidP="00AE1972">
      <w:pPr>
        <w:rPr>
          <w:rFonts w:cs="Arial"/>
          <w:b/>
          <w:bCs/>
        </w:rPr>
      </w:pPr>
      <w:r w:rsidRPr="00781112">
        <w:rPr>
          <w:rFonts w:cs="Arial"/>
          <w:b/>
          <w:bCs/>
        </w:rPr>
        <w:t xml:space="preserve"> </w:t>
      </w:r>
    </w:p>
    <w:p w14:paraId="2C8AEE0A" w14:textId="77777777" w:rsidR="00AE1972" w:rsidRPr="00781112" w:rsidRDefault="00AE1972" w:rsidP="00AE1972">
      <w:pPr>
        <w:rPr>
          <w:rFonts w:cs="Arial"/>
          <w:b/>
          <w:bCs/>
        </w:rPr>
      </w:pPr>
      <w:r w:rsidRPr="00781112">
        <w:rPr>
          <w:rFonts w:cs="Arial"/>
          <w:b/>
          <w:bCs/>
        </w:rPr>
        <w:t xml:space="preserve">Describe the data collected to monitor fidelity of implementation and to assess practice change. </w:t>
      </w:r>
    </w:p>
    <w:p w14:paraId="68DAC308" w14:textId="77777777" w:rsidR="00AE1972" w:rsidRPr="00781112" w:rsidRDefault="00AE1972" w:rsidP="00AE1972">
      <w:pPr>
        <w:rPr>
          <w:b/>
          <w:bCs/>
        </w:rPr>
      </w:pPr>
      <w:r w:rsidRPr="00781112">
        <w:rPr>
          <w:color w:val="000000" w:themeColor="text1"/>
        </w:rPr>
        <w:lastRenderedPageBreak/>
        <w:t>To monitor fidelity of implementation and assess practice change during the reporting period, the West Virginia Department of Education collected and analyzed data using the Capacity Assessment Rubric for LEAs (CARL). CARL was administered in Fall 2024 and Spring 2025, with 26 LEAs completing both administrations to support matched longitudinal analysis.</w:t>
      </w:r>
    </w:p>
    <w:p w14:paraId="2B78FC19" w14:textId="77777777" w:rsidR="00CA787A" w:rsidRDefault="003169E9">
      <w:r>
        <w:rPr>
          <w:color w:val="000000"/>
        </w:rPr>
        <w:t>DATA COLLECTED TO MONITOR FIDELITY OF IMPLEMENTATION</w:t>
      </w:r>
    </w:p>
    <w:p w14:paraId="5B6C1E07" w14:textId="77777777" w:rsidR="00CA787A" w:rsidRDefault="003169E9">
      <w:r>
        <w:rPr>
          <w:color w:val="000000"/>
        </w:rPr>
        <w:t>CARL collects evidence on the presence and use of core implementation routines and artifacts that reflect fidelity supporting systems at the LEA (district) and school levels. The following data elements are assessed:</w:t>
      </w:r>
    </w:p>
    <w:p w14:paraId="5DC8CF4D" w14:textId="77777777" w:rsidR="00CA787A" w:rsidRDefault="003169E9">
      <w:r>
        <w:rPr>
          <w:color w:val="000000"/>
        </w:rPr>
        <w:t xml:space="preserve">• Use of fidelity instruments at the school level: Evidence that the district supports schools in administering fidelity tools to monitor implementation of </w:t>
      </w:r>
      <w:proofErr w:type="gramStart"/>
      <w:r>
        <w:rPr>
          <w:color w:val="000000"/>
        </w:rPr>
        <w:t>evidence based</w:t>
      </w:r>
      <w:proofErr w:type="gramEnd"/>
      <w:r>
        <w:rPr>
          <w:color w:val="000000"/>
        </w:rPr>
        <w:t xml:space="preserve"> practices.</w:t>
      </w:r>
    </w:p>
    <w:p w14:paraId="7BC5B83A" w14:textId="77777777" w:rsidR="00CA787A" w:rsidRDefault="003169E9">
      <w:r>
        <w:rPr>
          <w:color w:val="000000"/>
        </w:rPr>
        <w:t>• Implementation plans: Existence and quality of written plans, including clear purpose, approval status, SMART goals, timelines, and documentation of activities.</w:t>
      </w:r>
    </w:p>
    <w:p w14:paraId="6B39818D" w14:textId="77777777" w:rsidR="00CA787A" w:rsidRDefault="003169E9">
      <w:r>
        <w:rPr>
          <w:color w:val="000000"/>
        </w:rPr>
        <w:t>• Access to relevant data: Whether leadership teams have and use fidelity, capacity, scale up, and student outcome data to inform implementation.</w:t>
      </w:r>
    </w:p>
    <w:p w14:paraId="182C016D" w14:textId="77777777" w:rsidR="00CA787A" w:rsidRDefault="003169E9">
      <w:r>
        <w:rPr>
          <w:color w:val="000000"/>
        </w:rPr>
        <w:t xml:space="preserve">• Defined, </w:t>
      </w:r>
      <w:proofErr w:type="gramStart"/>
      <w:r>
        <w:rPr>
          <w:color w:val="000000"/>
        </w:rPr>
        <w:t>data based</w:t>
      </w:r>
      <w:proofErr w:type="gramEnd"/>
      <w:r>
        <w:rPr>
          <w:color w:val="000000"/>
        </w:rPr>
        <w:t xml:space="preserve"> decision making processes: Evidence that leadership teams follow structured decision processes based on collected data.</w:t>
      </w:r>
    </w:p>
    <w:p w14:paraId="6B3F682B" w14:textId="77777777" w:rsidR="00CA787A" w:rsidRDefault="003169E9">
      <w:r>
        <w:rPr>
          <w:color w:val="000000"/>
        </w:rPr>
        <w:t>• Continuous improvement documentation: Records showing status of activities, reasons for incomplete tasks, decision logs, and revisions made when data suggest the need for adjustment.</w:t>
      </w:r>
    </w:p>
    <w:p w14:paraId="7A8C34F3" w14:textId="77777777" w:rsidR="00CA787A" w:rsidRDefault="003169E9">
      <w:r>
        <w:rPr>
          <w:color w:val="000000"/>
        </w:rPr>
        <w:t xml:space="preserve">Together, these data elements allow WVDE/OSE to determine whether LEAs have the infrastructure, routines, and documentation practices necessary to implement and sustain </w:t>
      </w:r>
      <w:proofErr w:type="gramStart"/>
      <w:r>
        <w:rPr>
          <w:color w:val="000000"/>
        </w:rPr>
        <w:t>evidence based</w:t>
      </w:r>
      <w:proofErr w:type="gramEnd"/>
      <w:r>
        <w:rPr>
          <w:color w:val="000000"/>
        </w:rPr>
        <w:t xml:space="preserve"> practices with fidelity.</w:t>
      </w:r>
    </w:p>
    <w:p w14:paraId="6FD84DE1" w14:textId="77777777" w:rsidR="00CA787A" w:rsidRDefault="003169E9">
      <w:r>
        <w:rPr>
          <w:color w:val="000000"/>
        </w:rPr>
        <w:t>SCORING AND METRICS USED</w:t>
      </w:r>
    </w:p>
    <w:p w14:paraId="58309777" w14:textId="77777777" w:rsidR="00CA787A" w:rsidRDefault="003169E9">
      <w:r>
        <w:rPr>
          <w:color w:val="000000"/>
        </w:rPr>
        <w:t>CARL scoring includes three components:</w:t>
      </w:r>
    </w:p>
    <w:p w14:paraId="5B2F8B44" w14:textId="77777777" w:rsidR="00CA787A" w:rsidRDefault="003169E9">
      <w:r>
        <w:rPr>
          <w:color w:val="000000"/>
        </w:rPr>
        <w:t>• LEA Infrastructure (maximum 16 points),</w:t>
      </w:r>
    </w:p>
    <w:p w14:paraId="49FEA424" w14:textId="77777777" w:rsidR="00CA787A" w:rsidRDefault="003169E9">
      <w:r>
        <w:rPr>
          <w:color w:val="000000"/>
        </w:rPr>
        <w:t>• Leadership Implementation Team (LIT) (maximum 22 points), and</w:t>
      </w:r>
    </w:p>
    <w:p w14:paraId="48EBDD42" w14:textId="77777777" w:rsidR="00CA787A" w:rsidRDefault="003169E9">
      <w:r>
        <w:rPr>
          <w:color w:val="000000"/>
        </w:rPr>
        <w:t>• Building Implementation Team (BIT) (maximum 6 points).</w:t>
      </w:r>
    </w:p>
    <w:p w14:paraId="1B940133" w14:textId="77777777" w:rsidR="00CA787A" w:rsidRDefault="003169E9">
      <w:r>
        <w:rPr>
          <w:color w:val="000000"/>
        </w:rPr>
        <w:t xml:space="preserve">Scores from these components are summed to a </w:t>
      </w:r>
      <w:proofErr w:type="gramStart"/>
      <w:r>
        <w:rPr>
          <w:color w:val="000000"/>
        </w:rPr>
        <w:t>44 point</w:t>
      </w:r>
      <w:proofErr w:type="gramEnd"/>
      <w:r>
        <w:rPr>
          <w:color w:val="000000"/>
        </w:rPr>
        <w:t xml:space="preserve"> subtotal and converted to a percentage, providing a point in time indicator of the presence and quality of fidelity supporting systems. Percentage changes from fall to spring serve as an indicator of practice change.</w:t>
      </w:r>
    </w:p>
    <w:p w14:paraId="17FEBB4D" w14:textId="77777777" w:rsidR="00CA787A" w:rsidRDefault="003169E9">
      <w:r>
        <w:rPr>
          <w:color w:val="000000"/>
        </w:rPr>
        <w:t>HOW PRACTICE CHANGE IS ASSESSED</w:t>
      </w:r>
    </w:p>
    <w:p w14:paraId="22642E2D" w14:textId="77777777" w:rsidR="00CA787A" w:rsidRDefault="003169E9">
      <w:r>
        <w:rPr>
          <w:color w:val="000000"/>
        </w:rPr>
        <w:t>Practice change is examined by comparing LEA level changes in subtotal percentages and in component and item level indicators across the fall and spring administrations. This year’s analysis showed measurable increases in statewide capacity:</w:t>
      </w:r>
    </w:p>
    <w:p w14:paraId="784C2679" w14:textId="77777777" w:rsidR="00CA787A" w:rsidRDefault="003169E9">
      <w:r>
        <w:rPr>
          <w:color w:val="000000"/>
        </w:rPr>
        <w:t>• Statewide mean scores increased from 56.2% to 60.8% (a 4.63 percentage point gain).</w:t>
      </w:r>
    </w:p>
    <w:p w14:paraId="1C6CDDA8" w14:textId="77777777" w:rsidR="00CA787A" w:rsidRDefault="003169E9">
      <w:r>
        <w:rPr>
          <w:color w:val="000000"/>
        </w:rPr>
        <w:t>• Median scores increased from 57.95% to 64.77%.</w:t>
      </w:r>
    </w:p>
    <w:p w14:paraId="17802683" w14:textId="77777777" w:rsidR="00CA787A" w:rsidRDefault="003169E9">
      <w:r>
        <w:rPr>
          <w:color w:val="000000"/>
        </w:rPr>
        <w:t>•</w:t>
      </w:r>
      <w:r>
        <w:rPr>
          <w:color w:val="000000"/>
        </w:rPr>
        <w:tab/>
        <w:t xml:space="preserve">The Leadership Implementation Team (LIT) component showed the greatest improvement, reflecting advancing district level capacity to guide and support implementation. Notable increases included: </w:t>
      </w:r>
    </w:p>
    <w:p w14:paraId="2A523713" w14:textId="77777777" w:rsidR="00CA787A" w:rsidRDefault="003169E9">
      <w:r>
        <w:rPr>
          <w:color w:val="000000"/>
        </w:rPr>
        <w:t>o +21.35 percentage points for support of fidelity tools,</w:t>
      </w:r>
    </w:p>
    <w:p w14:paraId="2F179252" w14:textId="77777777" w:rsidR="00CA787A" w:rsidRDefault="003169E9">
      <w:r>
        <w:rPr>
          <w:color w:val="000000"/>
        </w:rPr>
        <w:t>o +19.44 percentage points for having an implementation plan, and</w:t>
      </w:r>
    </w:p>
    <w:p w14:paraId="36551308" w14:textId="77777777" w:rsidR="00CA787A" w:rsidRDefault="003169E9">
      <w:r>
        <w:rPr>
          <w:color w:val="000000"/>
        </w:rPr>
        <w:t>o +14.29 percentage points for access to relevant data.</w:t>
      </w:r>
    </w:p>
    <w:p w14:paraId="78C7D911" w14:textId="77777777" w:rsidR="00CA787A" w:rsidRDefault="003169E9">
      <w:r>
        <w:rPr>
          <w:color w:val="000000"/>
        </w:rPr>
        <w:t>BIT scores increased modestly (+0.38 points), which is consistent with expected implementation progression, where leadership level improvements typically preceded changes at the building level.</w:t>
      </w:r>
    </w:p>
    <w:p w14:paraId="25DF661A" w14:textId="77777777" w:rsidR="00CA787A" w:rsidRDefault="003169E9">
      <w:r>
        <w:rPr>
          <w:color w:val="000000"/>
        </w:rPr>
        <w:t>A limiting factor noted in the analysis was a decline in the documentation of review activities (e.g., recording reasons for incomplete tasks or documenting team decisions). This gap may slow the spread and full operationalization of continuous improvement routines.</w:t>
      </w:r>
    </w:p>
    <w:p w14:paraId="065CAFEB" w14:textId="77777777" w:rsidR="00CA787A" w:rsidRDefault="003169E9">
      <w:r>
        <w:rPr>
          <w:color w:val="000000"/>
        </w:rPr>
        <w:t>SUMMARY</w:t>
      </w:r>
    </w:p>
    <w:p w14:paraId="2CD56DE3" w14:textId="77777777" w:rsidR="00CA787A" w:rsidRDefault="003169E9">
      <w:r>
        <w:rPr>
          <w:color w:val="000000"/>
        </w:rPr>
        <w:t xml:space="preserve">CARL data, collected in Fall 2024 and Spring 2025, provided the primary means for monitoring fidelity of implementation and assessing practice change across LEAs. The tool captures the presence and use of implementation plans, fidelity measures, data-based </w:t>
      </w:r>
      <w:proofErr w:type="gramStart"/>
      <w:r>
        <w:rPr>
          <w:color w:val="000000"/>
        </w:rPr>
        <w:t>decision making</w:t>
      </w:r>
      <w:proofErr w:type="gramEnd"/>
      <w:r>
        <w:rPr>
          <w:color w:val="000000"/>
        </w:rPr>
        <w:t xml:space="preserve"> routines, leadership team practices, and documentation of continuous improvement processes. Scores from the three CARL components are aggregated into a percentage score to measure progress over time. Analysis of 26 matched LEAs demonstrated statewide growth in capacity (particularly within leadership teams) indicating positive shifts in the systems required to support fidelity and sustain practice improvements. Modest building level gains and reduced documentation of review processes highlight areas for continued focus during the next reporting period.</w:t>
      </w:r>
    </w:p>
    <w:p w14:paraId="12E57B0E" w14:textId="77777777" w:rsidR="00AE1972" w:rsidRPr="00781112" w:rsidRDefault="00AE1972" w:rsidP="00AE1972">
      <w:pPr>
        <w:rPr>
          <w:rFonts w:cs="Arial"/>
          <w:b/>
          <w:bCs/>
        </w:rPr>
      </w:pPr>
    </w:p>
    <w:p w14:paraId="08AE768C" w14:textId="77777777" w:rsidR="00AE1972" w:rsidRPr="00781112" w:rsidRDefault="00C87801" w:rsidP="00AE1972">
      <w:pPr>
        <w:rPr>
          <w:rFonts w:cs="Arial"/>
          <w:b/>
          <w:bCs/>
        </w:rPr>
      </w:pPr>
      <w:r w:rsidRPr="00C87801">
        <w:rPr>
          <w:rFonts w:cs="Arial"/>
          <w:b/>
          <w:bCs/>
        </w:rPr>
        <w:t>Describe any additional data (e.g., progress monitoring) that was collected that supports the decision to continue the ongoing use of each evidence-based practice.</w:t>
      </w:r>
    </w:p>
    <w:p w14:paraId="28067DA7" w14:textId="77777777" w:rsidR="00AE1972" w:rsidRDefault="00AE1972" w:rsidP="00AE1972">
      <w:pPr>
        <w:rPr>
          <w:color w:val="000000" w:themeColor="text1"/>
        </w:rPr>
      </w:pPr>
      <w:r w:rsidRPr="00781112">
        <w:rPr>
          <w:color w:val="000000" w:themeColor="text1"/>
        </w:rPr>
        <w:t xml:space="preserve">Data were collected </w:t>
      </w:r>
      <w:proofErr w:type="gramStart"/>
      <w:r w:rsidRPr="00781112">
        <w:rPr>
          <w:color w:val="000000" w:themeColor="text1"/>
        </w:rPr>
        <w:t>per</w:t>
      </w:r>
      <w:proofErr w:type="gramEnd"/>
      <w:r w:rsidRPr="00781112">
        <w:rPr>
          <w:color w:val="000000" w:themeColor="text1"/>
        </w:rPr>
        <w:t xml:space="preserve"> the evaluation plan and analyzed by the internal evaluation coordinator with input from stakeholders. For this reporting cycle, quantitative data collected from LEAs regarding implementation of one or more of the EBP domains were analyzed for impact on student outcome data for students with disabilities in the areas of graduation, drop-out, secondary transition, and post-school outcomes. In addition, a comparative analysis was conducted using indicator 1 (graduation) data for SSIP participants who received funding (described in the infrastructure section above) and those who did not, as it is the current data reported for measuring progress toward the </w:t>
      </w:r>
      <w:proofErr w:type="spellStart"/>
      <w:r w:rsidRPr="00781112">
        <w:rPr>
          <w:color w:val="000000" w:themeColor="text1"/>
        </w:rPr>
        <w:t>SiMR</w:t>
      </w:r>
      <w:proofErr w:type="spellEnd"/>
      <w:r w:rsidRPr="00781112">
        <w:rPr>
          <w:color w:val="000000" w:themeColor="text1"/>
        </w:rPr>
        <w:t xml:space="preserve">. </w:t>
      </w:r>
    </w:p>
    <w:p w14:paraId="1C0F2A44" w14:textId="77777777" w:rsidR="00CA787A" w:rsidRDefault="00CA787A"/>
    <w:p w14:paraId="0CD527D5" w14:textId="77777777" w:rsidR="00CA787A" w:rsidRDefault="003169E9">
      <w:r>
        <w:rPr>
          <w:color w:val="000000"/>
        </w:rPr>
        <w:t>IMPACT ANALYSIS – Indicators 1, 2, 13, and 14</w:t>
      </w:r>
    </w:p>
    <w:p w14:paraId="6865C189" w14:textId="77777777" w:rsidR="00CA787A" w:rsidRDefault="003169E9">
      <w:r>
        <w:rPr>
          <w:color w:val="000000"/>
        </w:rPr>
        <w:t xml:space="preserve">The data below reflects the impact of each EBP on various </w:t>
      </w:r>
      <w:proofErr w:type="spellStart"/>
      <w:r>
        <w:rPr>
          <w:color w:val="000000"/>
        </w:rPr>
        <w:t>inidcators</w:t>
      </w:r>
      <w:proofErr w:type="spellEnd"/>
      <w:r>
        <w:rPr>
          <w:color w:val="000000"/>
        </w:rPr>
        <w:t xml:space="preserve"> related to graduation, dropout, transition compliance, and post-school outcomes between FFY2023 and FFY2024. LEAs could </w:t>
      </w:r>
      <w:proofErr w:type="gramStart"/>
      <w:r>
        <w:rPr>
          <w:color w:val="000000"/>
        </w:rPr>
        <w:t>chose</w:t>
      </w:r>
      <w:proofErr w:type="gramEnd"/>
      <w:r>
        <w:rPr>
          <w:color w:val="000000"/>
        </w:rPr>
        <w:t xml:space="preserve"> two or more EBPs for this reporting period which we didn’t explicitly state had to be the same EBP chosen in previous years, thus precluding the ability to analyze “which” single EBP had an impact on maintenance or growth for each LEA. However, the analysis showed that the use of any, single or combination, of the four EBPs resulted in improved student outcomes for each of the four indicators analyzed. EBPs previously described include: Educational Supports/Academic Performance (ES), Student and Family Engagement (SFA), Secondary Transition Services and Activities (TSA), and Systems Improvements (SI)</w:t>
      </w:r>
    </w:p>
    <w:p w14:paraId="22BE9696" w14:textId="77777777" w:rsidR="00CA787A" w:rsidRDefault="00CA787A"/>
    <w:p w14:paraId="04A3CEF7" w14:textId="77777777" w:rsidR="00CA787A" w:rsidRDefault="003169E9">
      <w:r>
        <w:rPr>
          <w:color w:val="000000"/>
        </w:rPr>
        <w:t>Indicator 1 (graduation)</w:t>
      </w:r>
    </w:p>
    <w:p w14:paraId="1B477E5F" w14:textId="77777777" w:rsidR="00CA787A" w:rsidRDefault="003169E9">
      <w:r>
        <w:rPr>
          <w:color w:val="000000"/>
        </w:rPr>
        <w:t>64% of LEAs choosing ES showed maintenance or growth</w:t>
      </w:r>
    </w:p>
    <w:p w14:paraId="20C7D589" w14:textId="77777777" w:rsidR="00CA787A" w:rsidRDefault="003169E9">
      <w:r>
        <w:rPr>
          <w:color w:val="000000"/>
        </w:rPr>
        <w:t>80% of LEAs choosing SFE showed maintenance or growth</w:t>
      </w:r>
    </w:p>
    <w:p w14:paraId="2D57A623" w14:textId="77777777" w:rsidR="00CA787A" w:rsidRDefault="003169E9">
      <w:r>
        <w:rPr>
          <w:color w:val="000000"/>
        </w:rPr>
        <w:t>63.64% of LEAs choosing TSA showed maintenance or growth</w:t>
      </w:r>
    </w:p>
    <w:p w14:paraId="168D5D7E" w14:textId="77777777" w:rsidR="00CA787A" w:rsidRDefault="003169E9">
      <w:r>
        <w:rPr>
          <w:color w:val="000000"/>
        </w:rPr>
        <w:lastRenderedPageBreak/>
        <w:t>55% of LEAs choosing SI showed maintenance or growth</w:t>
      </w:r>
    </w:p>
    <w:p w14:paraId="484856E8" w14:textId="77777777" w:rsidR="00CA787A" w:rsidRDefault="003169E9">
      <w:r>
        <w:rPr>
          <w:color w:val="000000"/>
        </w:rPr>
        <w:t>All SSIP participants showed an average 2% improvement</w:t>
      </w:r>
    </w:p>
    <w:p w14:paraId="1A3ADB99" w14:textId="77777777" w:rsidR="00CA787A" w:rsidRDefault="00CA787A"/>
    <w:p w14:paraId="5F0743D6" w14:textId="77777777" w:rsidR="00CA787A" w:rsidRDefault="003169E9">
      <w:r>
        <w:rPr>
          <w:color w:val="000000"/>
        </w:rPr>
        <w:t>Indicator 2 (dropout)</w:t>
      </w:r>
    </w:p>
    <w:p w14:paraId="34C25EFB" w14:textId="77777777" w:rsidR="00CA787A" w:rsidRDefault="003169E9">
      <w:r>
        <w:rPr>
          <w:color w:val="000000"/>
        </w:rPr>
        <w:t>68% of LEAs choosing ES showed maintenance or growth</w:t>
      </w:r>
    </w:p>
    <w:p w14:paraId="1FC28ECA" w14:textId="77777777" w:rsidR="00CA787A" w:rsidRDefault="003169E9">
      <w:r>
        <w:rPr>
          <w:color w:val="000000"/>
        </w:rPr>
        <w:t>80% of LEAs choosing SFE showed maintenance or growth</w:t>
      </w:r>
    </w:p>
    <w:p w14:paraId="05EC996D" w14:textId="77777777" w:rsidR="00CA787A" w:rsidRDefault="003169E9">
      <w:r>
        <w:rPr>
          <w:color w:val="000000"/>
        </w:rPr>
        <w:t>66.67% of LEAs choosing TSA showed maintenance or growth</w:t>
      </w:r>
    </w:p>
    <w:p w14:paraId="60C6AD5B" w14:textId="77777777" w:rsidR="00CA787A" w:rsidRDefault="003169E9">
      <w:r>
        <w:rPr>
          <w:color w:val="000000"/>
        </w:rPr>
        <w:t>70% of LEAs choosing SI showed maintenance or growth</w:t>
      </w:r>
    </w:p>
    <w:p w14:paraId="40F57631" w14:textId="77777777" w:rsidR="00CA787A" w:rsidRDefault="003169E9">
      <w:r>
        <w:rPr>
          <w:color w:val="000000"/>
        </w:rPr>
        <w:t>All SSIP participants showed an average 6% improvement</w:t>
      </w:r>
    </w:p>
    <w:p w14:paraId="23C4127D" w14:textId="77777777" w:rsidR="00CA787A" w:rsidRDefault="00CA787A"/>
    <w:p w14:paraId="34061356" w14:textId="77777777" w:rsidR="00CA787A" w:rsidRDefault="003169E9">
      <w:r>
        <w:rPr>
          <w:color w:val="000000"/>
        </w:rPr>
        <w:t>Indicator 13 (secondary transition compliance)</w:t>
      </w:r>
    </w:p>
    <w:p w14:paraId="6820A07C" w14:textId="77777777" w:rsidR="00CA787A" w:rsidRDefault="003169E9">
      <w:r>
        <w:rPr>
          <w:color w:val="000000"/>
        </w:rPr>
        <w:t>76% of LEAs choosing ES showed maintenance or growth</w:t>
      </w:r>
    </w:p>
    <w:p w14:paraId="46B99182" w14:textId="77777777" w:rsidR="00CA787A" w:rsidRDefault="003169E9">
      <w:r>
        <w:rPr>
          <w:color w:val="000000"/>
        </w:rPr>
        <w:t>70% of LEAs choosing SFE showed maintenance or growth</w:t>
      </w:r>
    </w:p>
    <w:p w14:paraId="5810079C" w14:textId="77777777" w:rsidR="00CA787A" w:rsidRDefault="003169E9">
      <w:r>
        <w:rPr>
          <w:color w:val="000000"/>
        </w:rPr>
        <w:t>69.70% of LEAs choosing TSA showed maintenance or growth</w:t>
      </w:r>
    </w:p>
    <w:p w14:paraId="7A00CE46" w14:textId="77777777" w:rsidR="00CA787A" w:rsidRDefault="003169E9">
      <w:r>
        <w:rPr>
          <w:color w:val="000000"/>
        </w:rPr>
        <w:t>65% of LEAs choosing SI showed maintenance or growth</w:t>
      </w:r>
    </w:p>
    <w:p w14:paraId="0BF65522" w14:textId="77777777" w:rsidR="00CA787A" w:rsidRDefault="003169E9">
      <w:r>
        <w:rPr>
          <w:color w:val="000000"/>
        </w:rPr>
        <w:t>All SSIP participants showed an average 10% improvement</w:t>
      </w:r>
    </w:p>
    <w:p w14:paraId="042CBD04" w14:textId="77777777" w:rsidR="00CA787A" w:rsidRDefault="00CA787A"/>
    <w:p w14:paraId="435BF6C1" w14:textId="77777777" w:rsidR="00CA787A" w:rsidRDefault="003169E9">
      <w:r>
        <w:rPr>
          <w:color w:val="000000"/>
        </w:rPr>
        <w:t>Indicator 14 (post-school outcomes)</w:t>
      </w:r>
    </w:p>
    <w:p w14:paraId="3A161BB6" w14:textId="77777777" w:rsidR="00CA787A" w:rsidRDefault="003169E9">
      <w:r>
        <w:rPr>
          <w:color w:val="000000"/>
        </w:rPr>
        <w:t>64% of LEAs choosing ES showed maintenance or growth</w:t>
      </w:r>
    </w:p>
    <w:p w14:paraId="7D31E789" w14:textId="77777777" w:rsidR="00CA787A" w:rsidRDefault="003169E9">
      <w:r>
        <w:rPr>
          <w:color w:val="000000"/>
        </w:rPr>
        <w:t>80% of LEAs choosing SFE showed maintenance or growth</w:t>
      </w:r>
    </w:p>
    <w:p w14:paraId="7E8C6B7A" w14:textId="77777777" w:rsidR="00CA787A" w:rsidRDefault="003169E9">
      <w:r>
        <w:rPr>
          <w:color w:val="000000"/>
        </w:rPr>
        <w:t>57.58% of LEAs choosing TSA showed maintenance or growth</w:t>
      </w:r>
    </w:p>
    <w:p w14:paraId="6C041922" w14:textId="77777777" w:rsidR="00CA787A" w:rsidRDefault="003169E9">
      <w:r>
        <w:rPr>
          <w:color w:val="000000"/>
        </w:rPr>
        <w:t>60% of LEAs choosing SI showed maintenance or growth</w:t>
      </w:r>
    </w:p>
    <w:p w14:paraId="74452A41" w14:textId="77777777" w:rsidR="00CA787A" w:rsidRDefault="003169E9">
      <w:r>
        <w:rPr>
          <w:color w:val="000000"/>
        </w:rPr>
        <w:t>All SSIP participants showed an average 4% improvement</w:t>
      </w:r>
    </w:p>
    <w:p w14:paraId="1C72F807" w14:textId="77777777" w:rsidR="00CA787A" w:rsidRDefault="00CA787A"/>
    <w:p w14:paraId="01A1D420" w14:textId="77777777" w:rsidR="00CA787A" w:rsidRDefault="003169E9">
      <w:r>
        <w:rPr>
          <w:color w:val="000000"/>
        </w:rPr>
        <w:t xml:space="preserve">The impact analysis shows that the implementation of any one or more of the EBPs had a positive impact on all student outcome indicators. </w:t>
      </w:r>
    </w:p>
    <w:p w14:paraId="38539037" w14:textId="77777777" w:rsidR="00CA787A" w:rsidRDefault="00CA787A"/>
    <w:p w14:paraId="78D0577C" w14:textId="77777777" w:rsidR="00CA787A" w:rsidRDefault="003169E9">
      <w:r>
        <w:rPr>
          <w:color w:val="000000"/>
        </w:rPr>
        <w:t>COMPARATIVE FUNDING ANALYSIS – Indicator 1 (graduation) and SSIP Funding</w:t>
      </w:r>
    </w:p>
    <w:p w14:paraId="6BB91C9E" w14:textId="77777777" w:rsidR="00CA787A" w:rsidRDefault="003169E9">
      <w:r>
        <w:rPr>
          <w:color w:val="000000"/>
        </w:rPr>
        <w:t xml:space="preserve">Grantees = LEAs who received SSIP funding in FFY2023 and as a requirement of the grant participated in SSIP activities in FFY2023 and FFY2024 </w:t>
      </w:r>
    </w:p>
    <w:p w14:paraId="378BBAE2" w14:textId="77777777" w:rsidR="00CA787A" w:rsidRDefault="003169E9">
      <w:r>
        <w:rPr>
          <w:color w:val="000000"/>
        </w:rPr>
        <w:t>Others = LEAs who did not receive SSIP funding in FFY2023 with unknown, but optional, participation in SSIP activities in FFY2023 and FFY2024</w:t>
      </w:r>
    </w:p>
    <w:p w14:paraId="068D2FB8" w14:textId="77777777" w:rsidR="00CA787A" w:rsidRDefault="003169E9">
      <w:r>
        <w:rPr>
          <w:color w:val="000000"/>
        </w:rPr>
        <w:t>Baseline graduation data = 72.22% (FFY2023) for both subgroups</w:t>
      </w:r>
    </w:p>
    <w:p w14:paraId="716C617C" w14:textId="77777777" w:rsidR="00CA787A" w:rsidRDefault="00CA787A"/>
    <w:p w14:paraId="65E4C25D" w14:textId="77777777" w:rsidR="00CA787A" w:rsidRDefault="003169E9">
      <w:r>
        <w:rPr>
          <w:color w:val="000000"/>
        </w:rPr>
        <w:t xml:space="preserve">The GRANTEE subgroup had an average INCREASE in graduation data of 11.70% over baseline with 51% of LEAs maintaining or improving graduation in a </w:t>
      </w:r>
      <w:proofErr w:type="gramStart"/>
      <w:r>
        <w:rPr>
          <w:color w:val="000000"/>
        </w:rPr>
        <w:t>one year</w:t>
      </w:r>
      <w:proofErr w:type="gramEnd"/>
      <w:r>
        <w:rPr>
          <w:color w:val="000000"/>
        </w:rPr>
        <w:t xml:space="preserve"> period and 65% of LEAs maintaining or improving graduation over a </w:t>
      </w:r>
      <w:proofErr w:type="gramStart"/>
      <w:r>
        <w:rPr>
          <w:color w:val="000000"/>
        </w:rPr>
        <w:t>two year</w:t>
      </w:r>
      <w:proofErr w:type="gramEnd"/>
      <w:r>
        <w:rPr>
          <w:color w:val="000000"/>
        </w:rPr>
        <w:t xml:space="preserve"> period.</w:t>
      </w:r>
    </w:p>
    <w:p w14:paraId="14014E6B" w14:textId="77777777" w:rsidR="00CA787A" w:rsidRDefault="00CA787A"/>
    <w:p w14:paraId="112A102D" w14:textId="77777777" w:rsidR="00CA787A" w:rsidRDefault="003169E9">
      <w:r>
        <w:rPr>
          <w:color w:val="000000"/>
        </w:rPr>
        <w:t xml:space="preserve">The OTHER subgroup had an average DECREASE in graduation data of  –4.21% over baseline with only 48% of LEAs maintaining or improving graduation in either a </w:t>
      </w:r>
      <w:proofErr w:type="gramStart"/>
      <w:r>
        <w:rPr>
          <w:color w:val="000000"/>
        </w:rPr>
        <w:t>one or two year</w:t>
      </w:r>
      <w:proofErr w:type="gramEnd"/>
      <w:r>
        <w:rPr>
          <w:color w:val="000000"/>
        </w:rPr>
        <w:t xml:space="preserve"> period.</w:t>
      </w:r>
    </w:p>
    <w:p w14:paraId="15BB55C2" w14:textId="77777777" w:rsidR="00CA787A" w:rsidRDefault="00CA787A"/>
    <w:p w14:paraId="4ED5AAEC" w14:textId="77777777" w:rsidR="00CA787A" w:rsidRDefault="003169E9">
      <w:r>
        <w:rPr>
          <w:color w:val="000000"/>
        </w:rPr>
        <w:t>This data shows that LEAs receiving SSIP funding and required to participate in SSIP activities demonstrated improved graduation outcomes for students with disabilities, whereas LEAs that did not receive funding and/or were not required to participate in SSIP activities did not show similar improvements.</w:t>
      </w:r>
    </w:p>
    <w:p w14:paraId="760B0975" w14:textId="77777777" w:rsidR="00CA787A" w:rsidRDefault="00CA787A"/>
    <w:p w14:paraId="2076B2A9" w14:textId="77777777" w:rsidR="00CA787A" w:rsidRDefault="003169E9">
      <w:r>
        <w:rPr>
          <w:color w:val="000000"/>
        </w:rPr>
        <w:t>CONCLUSION</w:t>
      </w:r>
    </w:p>
    <w:p w14:paraId="04B0B944" w14:textId="77777777" w:rsidR="00CA787A" w:rsidRDefault="003169E9">
      <w:r>
        <w:rPr>
          <w:color w:val="000000"/>
        </w:rPr>
        <w:t>The combined impact and comparative analyses for FFY2023–FFY2024 indicate that participation in State Systemic Improvement Plan (SSIP) activities—particularly when supported through SSIP funding—was associated with positive outcomes for students with disabilities across multiple performance indicators. While LEAs were permitted to select more than one evidence based practice (EBP) during the reporting period and were not required to maintain the same EBP selections across years, limiting the ability to isolate the impact of any single practice, the data consistently demonstrate that the implementation of one or more EBPs contributed to maintenance or improvement across Indicators 1 (Graduation), 2 (Dropout), 13 (Secondary Transition Compliance), and 14 (Post School Outcomes).</w:t>
      </w:r>
    </w:p>
    <w:p w14:paraId="0AC01E34" w14:textId="77777777" w:rsidR="00CA787A" w:rsidRDefault="00CA787A"/>
    <w:p w14:paraId="075362B9" w14:textId="77777777" w:rsidR="00CA787A" w:rsidRDefault="003169E9">
      <w:r>
        <w:rPr>
          <w:color w:val="000000"/>
        </w:rPr>
        <w:t>Across all SSIP participants, improvements were observed in each indicator between FFY2023 and FFY2024, including average increases of 2 percent in graduation rates, 6 percent in dropout outcomes, 10 percent in secondary transition compliance, and 4 percent in post school outcomes. A majority of LEAs implementing Educational Supports/Academic Performance, Student and Family Engagement, Secondary Transition Services and Activities, and Systems Improvements demonstrated maintenance or growth across all four indicators, underscoring the collective effectiveness of these EBPs when implemented either individually or in combination.</w:t>
      </w:r>
    </w:p>
    <w:p w14:paraId="24FEFEAB" w14:textId="77777777" w:rsidR="00CA787A" w:rsidRDefault="00CA787A"/>
    <w:p w14:paraId="657CA715" w14:textId="77777777" w:rsidR="00CA787A" w:rsidRDefault="003169E9">
      <w:r>
        <w:rPr>
          <w:color w:val="000000"/>
        </w:rPr>
        <w:t xml:space="preserve">In addition, the comparative analysis of Indicator 1 provides further evidence of the positive association between structured SSIP participation and improved graduation outcomes. Despite both subgroups beginning with an identical baseline graduation rate of 72.22 percent in FFY2023, LEAs that received SSIP funding and were required to participate in SSIP activities experienced substantially stronger outcomes than </w:t>
      </w:r>
      <w:proofErr w:type="spellStart"/>
      <w:r>
        <w:rPr>
          <w:color w:val="000000"/>
        </w:rPr>
        <w:t>non funded</w:t>
      </w:r>
      <w:proofErr w:type="spellEnd"/>
      <w:r>
        <w:rPr>
          <w:color w:val="000000"/>
        </w:rPr>
        <w:t xml:space="preserve"> LEAs. Specifically, the grantee subgroup demonstrated an average increase of 11.70 percentage points above baseline, with 51 percent of LEAs maintaining or improving graduation outcomes over a </w:t>
      </w:r>
      <w:proofErr w:type="gramStart"/>
      <w:r>
        <w:rPr>
          <w:color w:val="000000"/>
        </w:rPr>
        <w:t>one year</w:t>
      </w:r>
      <w:proofErr w:type="gramEnd"/>
      <w:r>
        <w:rPr>
          <w:color w:val="000000"/>
        </w:rPr>
        <w:t xml:space="preserve"> period and 65 percent doing so over a </w:t>
      </w:r>
      <w:proofErr w:type="gramStart"/>
      <w:r>
        <w:rPr>
          <w:color w:val="000000"/>
        </w:rPr>
        <w:t>two year</w:t>
      </w:r>
      <w:proofErr w:type="gramEnd"/>
      <w:r>
        <w:rPr>
          <w:color w:val="000000"/>
        </w:rPr>
        <w:t xml:space="preserve"> period. In contrast, LEAs that did not receive SSIP funding showed an average decline of 4.21 percentage points from baseline, with fewer than half maintaining or improving graduation outcomes over either time period.</w:t>
      </w:r>
    </w:p>
    <w:p w14:paraId="7A22BCF9" w14:textId="77777777" w:rsidR="00CA787A" w:rsidRDefault="00CA787A"/>
    <w:p w14:paraId="21B88F53" w14:textId="77777777" w:rsidR="00CA787A" w:rsidRDefault="003169E9">
      <w:r>
        <w:rPr>
          <w:color w:val="000000"/>
        </w:rPr>
        <w:lastRenderedPageBreak/>
        <w:t xml:space="preserve">Taken together, these findings suggest that while implementation of EBPs is associated with positive student outcomes broadly, LEAs receiving SSIP funding and participating in required, structured SSIP activities realized more substantial and sustained gains in graduation outcomes for students with disabilities. These results support the continued use of SSIP funding to promote consistent implementation of </w:t>
      </w:r>
      <w:proofErr w:type="gramStart"/>
      <w:r>
        <w:rPr>
          <w:color w:val="000000"/>
        </w:rPr>
        <w:t>evidence based</w:t>
      </w:r>
      <w:proofErr w:type="gramEnd"/>
      <w:r>
        <w:rPr>
          <w:color w:val="000000"/>
        </w:rPr>
        <w:t xml:space="preserve"> practices and highlight the value of required participation in strengthening graduation outcomes as part of the state’s ongoing systemic improvement efforts.</w:t>
      </w:r>
    </w:p>
    <w:p w14:paraId="405F2829" w14:textId="77777777" w:rsidR="00C87801" w:rsidRDefault="00C87801" w:rsidP="00AE1972">
      <w:pPr>
        <w:rPr>
          <w:color w:val="000000" w:themeColor="text1"/>
        </w:rPr>
      </w:pPr>
    </w:p>
    <w:p w14:paraId="1D9491E6" w14:textId="77777777" w:rsidR="00C87801" w:rsidRPr="00C87801" w:rsidRDefault="00C87801" w:rsidP="00C87801">
      <w:pPr>
        <w:rPr>
          <w:b/>
          <w:bCs/>
          <w:color w:val="000000" w:themeColor="text1"/>
        </w:rPr>
      </w:pPr>
      <w:r w:rsidRPr="00730C62">
        <w:rPr>
          <w:b/>
          <w:bCs/>
          <w:color w:val="000000" w:themeColor="text1"/>
        </w:rPr>
        <w:t xml:space="preserve">Provide a summary of the next steps for each evidence-based practice and the anticipated outcomes to be attained during the next reporting period. </w:t>
      </w:r>
    </w:p>
    <w:p w14:paraId="67ADF8B2" w14:textId="77777777" w:rsidR="00C87801" w:rsidRDefault="00C87801" w:rsidP="00C87801">
      <w:pPr>
        <w:rPr>
          <w:color w:val="000000" w:themeColor="text1"/>
        </w:rPr>
      </w:pPr>
      <w:r w:rsidRPr="00781112">
        <w:rPr>
          <w:color w:val="000000" w:themeColor="text1"/>
        </w:rPr>
        <w:t xml:space="preserve">WVDE/OSE will continue supporting implementation of the four evidence-based practices (EBPs)—Educational Supports/Academic Performance (ES), Student and Family Engagement (SFE), Secondary Transition Services and Activities (TSA), and Systems Improvements (SI)—during the next reporting period. Data from FFY2023 to FFY2024 showed that any single EBP or combination of EBPs resulted in maintenance or growth across all four </w:t>
      </w:r>
      <w:proofErr w:type="spellStart"/>
      <w:r w:rsidRPr="00781112">
        <w:rPr>
          <w:color w:val="000000" w:themeColor="text1"/>
        </w:rPr>
        <w:t>SiMR</w:t>
      </w:r>
      <w:proofErr w:type="spellEnd"/>
      <w:r w:rsidRPr="00781112">
        <w:rPr>
          <w:color w:val="000000" w:themeColor="text1"/>
        </w:rPr>
        <w:t>-related indicators (graduation, dropout, transition compliance, and post-school outcomes). Continued implementation is therefore expected to strengthen statewide capacity and sustain progress.</w:t>
      </w:r>
    </w:p>
    <w:p w14:paraId="182AC432" w14:textId="77777777" w:rsidR="00CA787A" w:rsidRDefault="00CA787A"/>
    <w:p w14:paraId="3BB56B7C" w14:textId="77777777" w:rsidR="00CA787A" w:rsidRDefault="003169E9">
      <w:r>
        <w:rPr>
          <w:color w:val="000000"/>
        </w:rPr>
        <w:t>Educational Supports/Academic Performance (ES): Next steps include continued assistance to LEAs on instructional supports, progress monitoring, and academic intervention strategies. Focus will remain on strengthening specially designed instruction and aligning academic supports with secondary transition and graduation needs. Anticipated outcomes include improved credit accrual, reduced dropout, stronger secondary transition plan alignment, and enhanced post-school readiness.</w:t>
      </w:r>
    </w:p>
    <w:p w14:paraId="39E94C2A" w14:textId="77777777" w:rsidR="00CA787A" w:rsidRDefault="00CA787A"/>
    <w:p w14:paraId="461BB21C" w14:textId="77777777" w:rsidR="00CA787A" w:rsidRDefault="003169E9">
      <w:r>
        <w:rPr>
          <w:color w:val="000000"/>
        </w:rPr>
        <w:t>Student and Family Engagement (SFE): Next steps emphasize deeper student involvement in secondary transition planning, and support for expanded family engagement practices. Anticipated outcomes include higher rates of graduation and post-school success by increasing student motivation, family participation, and early identification of disengagement. Given its strong past performance, SFE will continue as a high-leverage practice.</w:t>
      </w:r>
    </w:p>
    <w:p w14:paraId="2F8CC79F" w14:textId="77777777" w:rsidR="00CA787A" w:rsidRDefault="00CA787A"/>
    <w:p w14:paraId="46D2E45F" w14:textId="77777777" w:rsidR="00CA787A" w:rsidRDefault="003169E9">
      <w:r>
        <w:rPr>
          <w:color w:val="000000"/>
        </w:rPr>
        <w:t>Secondary Transition Services and Activities (TSA): Next steps include expanding the use of high-quality transition assessments, improving student-centered planning, and strengthening access to work-based learning opportunities. Targeted training will support new transition personnel due to leadership turnover across LEAs. Anticipated outcomes include improved compliance with Indicator 13, greater alignment between services and student goals, and increased post-school outcomes measured in Indicator 14.</w:t>
      </w:r>
    </w:p>
    <w:p w14:paraId="238FE08A" w14:textId="77777777" w:rsidR="00CA787A" w:rsidRDefault="00CA787A"/>
    <w:p w14:paraId="61A5C14F" w14:textId="77777777" w:rsidR="00CA787A" w:rsidRDefault="003169E9">
      <w:r>
        <w:rPr>
          <w:color w:val="000000"/>
        </w:rPr>
        <w:t>Systems Improvements (SI): Next steps involve continued support for LEAs to refine leadership structures, improve data-use routines, and strengthen continuous improvement processes. This includes training on documentation, fidelity checks, and aligning SI efforts with broader district systems. Anticipated outcomes include stronger infrastructure for sustained implementation, improvements across Indicators 1, 2, 13, and 14, and increased LEA ability to scale effective practices.</w:t>
      </w:r>
    </w:p>
    <w:p w14:paraId="2EF5CFDD" w14:textId="77777777" w:rsidR="00CA787A" w:rsidRDefault="00CA787A"/>
    <w:p w14:paraId="273414CC" w14:textId="77777777" w:rsidR="00CA787A" w:rsidRDefault="003169E9">
      <w:r>
        <w:rPr>
          <w:color w:val="000000"/>
        </w:rPr>
        <w:t>Overall Expected Outcomes: Based on the statewide improvements observed across all four indicators (average gains: +2% graduation, +6% dropout, +10% Indicator 13, +4% post-school outcomes), continued implementation of all EBPs is expected to further improve LEA capacity, increase fidelity of implementation, and strengthen student outcomes. As LEAs refine and deepen their use of EBPs, practices are anticipated to become more embedded, sustainable, and scalable across settings.</w:t>
      </w:r>
    </w:p>
    <w:p w14:paraId="140EA2D7" w14:textId="77777777" w:rsidR="00C87801" w:rsidRDefault="00C87801" w:rsidP="00AE1972">
      <w:pPr>
        <w:rPr>
          <w:color w:val="000000" w:themeColor="text1"/>
        </w:rPr>
      </w:pPr>
    </w:p>
    <w:p w14:paraId="1089C596" w14:textId="77777777" w:rsidR="00987BD2" w:rsidRDefault="00987BD2" w:rsidP="00987BD2">
      <w:pPr>
        <w:rPr>
          <w:b/>
          <w:bCs/>
        </w:rPr>
      </w:pPr>
      <w:r w:rsidRPr="00730C62">
        <w:rPr>
          <w:b/>
          <w:bCs/>
        </w:rPr>
        <w:t>Does the State intend to continue implementing the SSIP without modifications? (yes/no)</w:t>
      </w:r>
    </w:p>
    <w:p w14:paraId="106DB6CE" w14:textId="77777777" w:rsidR="00987BD2" w:rsidRDefault="00987BD2" w:rsidP="00987BD2">
      <w:r w:rsidRPr="00781112">
        <w:t>NO</w:t>
      </w:r>
    </w:p>
    <w:p w14:paraId="5C0AAFDC" w14:textId="77777777" w:rsidR="00987BD2" w:rsidRPr="00730C62" w:rsidRDefault="00987BD2" w:rsidP="00987BD2">
      <w:pPr>
        <w:rPr>
          <w:b/>
          <w:bCs/>
        </w:rPr>
      </w:pPr>
      <w:r w:rsidRPr="00730C62">
        <w:rPr>
          <w:b/>
          <w:bCs/>
          <w:szCs w:val="16"/>
        </w:rPr>
        <w:t xml:space="preserve">If </w:t>
      </w:r>
      <w:proofErr w:type="gramStart"/>
      <w:r w:rsidRPr="00730C62">
        <w:rPr>
          <w:b/>
          <w:bCs/>
          <w:szCs w:val="16"/>
        </w:rPr>
        <w:t>no</w:t>
      </w:r>
      <w:proofErr w:type="gramEnd"/>
      <w:r w:rsidRPr="00730C62">
        <w:rPr>
          <w:b/>
          <w:bCs/>
          <w:szCs w:val="16"/>
        </w:rPr>
        <w:t>, describe any changes to the activities, strategies or timelines described in the previous submission and include a rationale or justification for the changes.</w:t>
      </w:r>
    </w:p>
    <w:p w14:paraId="21097F83" w14:textId="77777777" w:rsidR="00987BD2" w:rsidRDefault="00987BD2" w:rsidP="00987BD2">
      <w:r w:rsidRPr="00781112">
        <w:t>Based upon the results listed above, and with stakeholder input, WVDE/OSE determined that future funding would be provided for LEAs who focused on either systems improvements or secondary transition services/activities. The rationale for not including the educational performance EBP domain in future WVGtG/SSIP grant funding is that WVDE/OSE has been preparing a statewide push for SY25-26 to improve specially designed instruction (SDI) practices in all LEAs, and stakeholders felt that the SDI initiative would be sufficient support to LEAs moving forward. Also the systems improvement focus is the desired outcome that could incorporate multiple EBP domains. Stakeholders also wanted any future funding to focus on secondary transition services/activities including as work-based learning opportunities until such time as all LEAs in West Virginia meet 100% compliance for indicator 13 data.</w:t>
      </w:r>
    </w:p>
    <w:p w14:paraId="046D9059" w14:textId="77777777" w:rsidR="00987BD2" w:rsidRPr="00781112" w:rsidRDefault="00987BD2" w:rsidP="00AE1972">
      <w:pPr>
        <w:rPr>
          <w:color w:val="000000" w:themeColor="text1"/>
        </w:rPr>
      </w:pPr>
    </w:p>
    <w:p w14:paraId="7A474BF1" w14:textId="77777777" w:rsidR="00C2635F" w:rsidRPr="00781112" w:rsidRDefault="00C2635F" w:rsidP="00AE1972">
      <w:pPr>
        <w:rPr>
          <w:b/>
          <w:bCs/>
        </w:rPr>
      </w:pPr>
    </w:p>
    <w:p w14:paraId="1C3963CD" w14:textId="77777777" w:rsidR="00C2635F" w:rsidRPr="00781112" w:rsidRDefault="00AE1972" w:rsidP="00AE1972">
      <w:pPr>
        <w:rPr>
          <w:rFonts w:cs="Arial"/>
          <w:b/>
          <w:bCs/>
        </w:rPr>
      </w:pPr>
      <w:r w:rsidRPr="00781112">
        <w:rPr>
          <w:rFonts w:cs="Arial"/>
          <w:b/>
          <w:bCs/>
        </w:rPr>
        <w:t>Section C: Stakeholder Engagement</w:t>
      </w:r>
    </w:p>
    <w:p w14:paraId="60B65DB4" w14:textId="77777777" w:rsidR="00C2635F" w:rsidRPr="00781112" w:rsidRDefault="00C2635F" w:rsidP="00C2635F">
      <w:pPr>
        <w:pStyle w:val="Bold"/>
        <w:rPr>
          <w:color w:val="000000" w:themeColor="text1"/>
        </w:rPr>
      </w:pPr>
      <w:r w:rsidRPr="00781112">
        <w:rPr>
          <w:color w:val="000000" w:themeColor="text1"/>
        </w:rPr>
        <w:t>Description of Stakeholder Input</w:t>
      </w:r>
    </w:p>
    <w:p w14:paraId="4F359F00" w14:textId="77777777" w:rsidR="00C2635F" w:rsidRPr="00781112" w:rsidRDefault="00C2635F" w:rsidP="00C2635F">
      <w:pPr>
        <w:rPr>
          <w:color w:val="000000" w:themeColor="text1"/>
        </w:rPr>
      </w:pPr>
      <w:r w:rsidRPr="00781112">
        <w:rPr>
          <w:color w:val="000000" w:themeColor="text1"/>
        </w:rPr>
        <w:t>WVDE/OSE maintains robust stakeholder engagement through multiple communication and collaboration channels:</w:t>
      </w:r>
    </w:p>
    <w:p w14:paraId="5721B052" w14:textId="77777777" w:rsidR="00CA787A" w:rsidRDefault="003169E9">
      <w:r>
        <w:rPr>
          <w:color w:val="000000"/>
        </w:rPr>
        <w:t>*DIRECT COMMUNICATION/CONSULTATION*</w:t>
      </w:r>
    </w:p>
    <w:p w14:paraId="42761427" w14:textId="77777777" w:rsidR="00CA787A" w:rsidRDefault="003169E9">
      <w:r>
        <w:rPr>
          <w:color w:val="000000"/>
        </w:rPr>
        <w:t>—Engaging in one-on-one calls with parents, advocates, educators, and community stakeholders.</w:t>
      </w:r>
    </w:p>
    <w:p w14:paraId="46EFF841" w14:textId="77777777" w:rsidR="00CA787A" w:rsidRDefault="003169E9">
      <w:r>
        <w:rPr>
          <w:color w:val="000000"/>
        </w:rPr>
        <w:t>—Distributing emails and surveys to solicit input from diverse stakeholder groups.</w:t>
      </w:r>
    </w:p>
    <w:p w14:paraId="7F13B884" w14:textId="77777777" w:rsidR="00CA787A" w:rsidRDefault="003169E9">
      <w:r>
        <w:rPr>
          <w:color w:val="000000"/>
        </w:rPr>
        <w:t>—Hosting bi-monthly secondary transition office hours to address Indicator 13 compliance and results, and to provide technical assistance for IEP development.</w:t>
      </w:r>
    </w:p>
    <w:p w14:paraId="329A972A" w14:textId="77777777" w:rsidR="00CA787A" w:rsidRDefault="003169E9">
      <w:r>
        <w:rPr>
          <w:color w:val="000000"/>
        </w:rPr>
        <w:t>—Monthly virtual meetings with stakeholders to identify and troubleshoot areas of concern throughout the state.</w:t>
      </w:r>
    </w:p>
    <w:p w14:paraId="6FA5FFCB" w14:textId="77777777" w:rsidR="00CA787A" w:rsidRDefault="003169E9">
      <w:r>
        <w:rPr>
          <w:color w:val="000000"/>
        </w:rPr>
        <w:t>*INFORMATION SHARING*</w:t>
      </w:r>
    </w:p>
    <w:p w14:paraId="4E531145" w14:textId="77777777" w:rsidR="00CA787A" w:rsidRDefault="003169E9">
      <w:r>
        <w:rPr>
          <w:color w:val="000000"/>
        </w:rPr>
        <w:t>—Utilizing a dedicated Microsoft Teams platform for communication with LEAs.</w:t>
      </w:r>
    </w:p>
    <w:p w14:paraId="63CA6E17" w14:textId="77777777" w:rsidR="00CA787A" w:rsidRDefault="003169E9">
      <w:r>
        <w:rPr>
          <w:color w:val="000000"/>
        </w:rPr>
        <w:t>—Maintaining a public input form on the WVDE website specifically for SSIP feedback.</w:t>
      </w:r>
    </w:p>
    <w:p w14:paraId="67EE4304" w14:textId="77777777" w:rsidR="00CA787A" w:rsidRDefault="003169E9">
      <w:r>
        <w:rPr>
          <w:color w:val="000000"/>
        </w:rPr>
        <w:t xml:space="preserve">—Collecting input from parents, students, and school personnel as required components of monitoring activities. </w:t>
      </w:r>
    </w:p>
    <w:p w14:paraId="3A8DE86A" w14:textId="77777777" w:rsidR="00CA787A" w:rsidRDefault="003169E9">
      <w:r>
        <w:rPr>
          <w:color w:val="000000"/>
        </w:rPr>
        <w:t>—Facilitating cross-office communication and coordination on general and special education initiatives.</w:t>
      </w:r>
    </w:p>
    <w:p w14:paraId="7119FCED" w14:textId="77777777" w:rsidR="00CA787A" w:rsidRDefault="003169E9">
      <w:r>
        <w:rPr>
          <w:color w:val="000000"/>
        </w:rPr>
        <w:t>*COLLABORATIVE PARTNERSHIPS*</w:t>
      </w:r>
    </w:p>
    <w:p w14:paraId="0D0908D0" w14:textId="77777777" w:rsidR="00CA787A" w:rsidRDefault="003169E9">
      <w:r>
        <w:rPr>
          <w:color w:val="000000"/>
        </w:rPr>
        <w:t>—Engaging in ongoing meetings and interagency teams dedicated to enhancing outcomes for individuals with disabilities.</w:t>
      </w:r>
    </w:p>
    <w:p w14:paraId="2EA3B8A7" w14:textId="77777777" w:rsidR="00CA787A" w:rsidRDefault="003169E9">
      <w:r>
        <w:rPr>
          <w:color w:val="000000"/>
        </w:rPr>
        <w:lastRenderedPageBreak/>
        <w:t>—Ensuring the state director's active participation in all WVACEEC meetings, including involvement in sessions, capacity-building efforts, and feedback collection from LEAs, parents, and community organizations.</w:t>
      </w:r>
    </w:p>
    <w:p w14:paraId="59EFB522" w14:textId="77777777" w:rsidR="00CA787A" w:rsidRDefault="003169E9">
      <w:r>
        <w:rPr>
          <w:color w:val="000000"/>
        </w:rPr>
        <w:t>—Maintaining regular meetings and collaborative relationships with legislators, advocacy organizations, educator associations, and other stakeholders to strengthen stakeholder knowledge of IDEA procedures, improve SEA-stakeholder dialogue, and collaboratively develop strategies for ongoing improvement toward special education goals (e.g., the Developmental Disability Council (DD Council), Statewide Independent Living Council (SILC), State Rehabilitation Council (SRC), Employment First Task Force, Olmstead Council).</w:t>
      </w:r>
    </w:p>
    <w:p w14:paraId="5C04CAB7" w14:textId="77777777" w:rsidR="00C2635F" w:rsidRPr="00781112" w:rsidRDefault="00C2635F" w:rsidP="00C2635F">
      <w:pPr>
        <w:pStyle w:val="Bold"/>
        <w:rPr>
          <w:b w:val="0"/>
          <w:color w:val="000000" w:themeColor="text1"/>
        </w:rPr>
      </w:pPr>
    </w:p>
    <w:p w14:paraId="3EE1C7DD" w14:textId="77777777" w:rsidR="00AE1972" w:rsidRPr="00781112" w:rsidRDefault="00AE1972" w:rsidP="00AE1972">
      <w:pPr>
        <w:rPr>
          <w:rFonts w:cs="Arial"/>
          <w:b/>
          <w:bCs/>
        </w:rPr>
      </w:pPr>
      <w:r w:rsidRPr="00781112">
        <w:rPr>
          <w:rFonts w:cs="Arial"/>
          <w:b/>
          <w:bCs/>
        </w:rPr>
        <w:t xml:space="preserve">Describe the specific strategies implemented to engage stakeholders in key improvement efforts. </w:t>
      </w:r>
    </w:p>
    <w:p w14:paraId="76BD4D03" w14:textId="77777777" w:rsidR="00AE1972" w:rsidRPr="00781112" w:rsidRDefault="00AE1972" w:rsidP="00AE1972">
      <w:pPr>
        <w:rPr>
          <w:b/>
          <w:bCs/>
        </w:rPr>
      </w:pPr>
      <w:r w:rsidRPr="00781112">
        <w:rPr>
          <w:color w:val="000000" w:themeColor="text1"/>
        </w:rPr>
        <w:t>WVDE/OSE engaged stakeholders through:</w:t>
      </w:r>
    </w:p>
    <w:p w14:paraId="5740633A" w14:textId="77777777" w:rsidR="00CA787A" w:rsidRDefault="003169E9">
      <w:r>
        <w:rPr>
          <w:color w:val="000000"/>
        </w:rPr>
        <w:t>•</w:t>
      </w:r>
      <w:r>
        <w:rPr>
          <w:color w:val="000000"/>
        </w:rPr>
        <w:tab/>
        <w:t xml:space="preserve">the state advisory panel which has a standing agenda item and meets frequently throughout the year; </w:t>
      </w:r>
    </w:p>
    <w:p w14:paraId="5C2B7AB7" w14:textId="77777777" w:rsidR="00CA787A" w:rsidRDefault="003169E9">
      <w:proofErr w:type="gramStart"/>
      <w:r>
        <w:rPr>
          <w:color w:val="000000"/>
        </w:rPr>
        <w:t>•</w:t>
      </w:r>
      <w:r>
        <w:rPr>
          <w:color w:val="000000"/>
        </w:rPr>
        <w:tab/>
        <w:t xml:space="preserve">the </w:t>
      </w:r>
      <w:proofErr w:type="spellStart"/>
      <w:r>
        <w:rPr>
          <w:color w:val="000000"/>
        </w:rPr>
        <w:t>the</w:t>
      </w:r>
      <w:proofErr w:type="spellEnd"/>
      <w:proofErr w:type="gramEnd"/>
      <w:r>
        <w:rPr>
          <w:color w:val="000000"/>
        </w:rPr>
        <w:t xml:space="preserve"> interagency collaboration team, which is the core stakeholder </w:t>
      </w:r>
      <w:proofErr w:type="gramStart"/>
      <w:r>
        <w:rPr>
          <w:color w:val="000000"/>
        </w:rPr>
        <w:t>group</w:t>
      </w:r>
      <w:proofErr w:type="gramEnd"/>
      <w:r>
        <w:rPr>
          <w:color w:val="000000"/>
        </w:rPr>
        <w:t xml:space="preserve"> met monthly with minutes recorded and feedback documented in the action items from each meeting; </w:t>
      </w:r>
    </w:p>
    <w:p w14:paraId="0B0FA5BC" w14:textId="77777777" w:rsidR="00CA787A" w:rsidRDefault="003169E9">
      <w:r>
        <w:rPr>
          <w:color w:val="000000"/>
        </w:rPr>
        <w:t>•</w:t>
      </w:r>
      <w:r>
        <w:rPr>
          <w:color w:val="000000"/>
        </w:rPr>
        <w:tab/>
        <w:t xml:space="preserve">the SSIP coordinator representation on interagency teams (i.e., DD Council, SILC, SRC, etc.); and </w:t>
      </w:r>
    </w:p>
    <w:p w14:paraId="7255DC4F" w14:textId="77777777" w:rsidR="00CA787A" w:rsidRDefault="003169E9">
      <w:r>
        <w:rPr>
          <w:color w:val="000000"/>
        </w:rPr>
        <w:t>•</w:t>
      </w:r>
      <w:r>
        <w:rPr>
          <w:color w:val="000000"/>
        </w:rPr>
        <w:tab/>
        <w:t xml:space="preserve">annual statewide stakeholder updates for the public. </w:t>
      </w:r>
    </w:p>
    <w:p w14:paraId="62F1B9AF" w14:textId="77777777" w:rsidR="00AE1972" w:rsidRPr="00781112" w:rsidRDefault="00AE1972" w:rsidP="00AE1972">
      <w:pPr>
        <w:rPr>
          <w:rFonts w:cs="Arial"/>
          <w:b/>
          <w:bCs/>
        </w:rPr>
      </w:pPr>
      <w:r w:rsidRPr="00781112">
        <w:rPr>
          <w:rFonts w:cs="Arial"/>
          <w:b/>
          <w:bCs/>
        </w:rPr>
        <w:t>Were there any concerns expressed by stakeholders during engagement activities?</w:t>
      </w:r>
      <w:r w:rsidRPr="00781112">
        <w:rPr>
          <w:b/>
          <w:bCs/>
        </w:rPr>
        <w:t xml:space="preserve"> (yes/no)</w:t>
      </w:r>
    </w:p>
    <w:p w14:paraId="6E6D597F" w14:textId="77777777" w:rsidR="00AE1972" w:rsidRDefault="00AE1972" w:rsidP="00AE1972">
      <w:pPr>
        <w:rPr>
          <w:color w:val="000000" w:themeColor="text1"/>
        </w:rPr>
      </w:pPr>
      <w:r w:rsidRPr="00781112">
        <w:rPr>
          <w:color w:val="000000" w:themeColor="text1"/>
        </w:rPr>
        <w:t>YES</w:t>
      </w:r>
    </w:p>
    <w:p w14:paraId="740F3EB1" w14:textId="77777777" w:rsidR="00AE1972" w:rsidRPr="00781112" w:rsidRDefault="00C2635F" w:rsidP="00AE1972">
      <w:pPr>
        <w:rPr>
          <w:rFonts w:cs="Arial"/>
          <w:b/>
          <w:bCs/>
        </w:rPr>
      </w:pPr>
      <w:r w:rsidRPr="00781112">
        <w:rPr>
          <w:rFonts w:cs="Arial"/>
          <w:b/>
          <w:bCs/>
        </w:rPr>
        <w:t xml:space="preserve">Describe how the State addressed the concerns expressed by stakeholders. </w:t>
      </w:r>
    </w:p>
    <w:p w14:paraId="07E4F953" w14:textId="77777777" w:rsidR="00AE1972" w:rsidRDefault="00AE1972" w:rsidP="00AE1972">
      <w:pPr>
        <w:rPr>
          <w:color w:val="000000" w:themeColor="text1"/>
        </w:rPr>
      </w:pPr>
      <w:r w:rsidRPr="00781112">
        <w:rPr>
          <w:color w:val="000000" w:themeColor="text1"/>
        </w:rPr>
        <w:t xml:space="preserve">Stakeholders expressed that it isn’t enough to improve graduation results for students with disabilities, but they want to see post-school outcomes also improve. Stakeholders do not want to lose any ground gained </w:t>
      </w:r>
      <w:proofErr w:type="gramStart"/>
      <w:r w:rsidRPr="00781112">
        <w:rPr>
          <w:color w:val="000000" w:themeColor="text1"/>
        </w:rPr>
        <w:t>in regards to</w:t>
      </w:r>
      <w:proofErr w:type="gramEnd"/>
      <w:r w:rsidRPr="00781112">
        <w:rPr>
          <w:color w:val="000000" w:themeColor="text1"/>
        </w:rPr>
        <w:t xml:space="preserve"> graduation data (preliminary results indicate that graduation is at or near the </w:t>
      </w:r>
      <w:proofErr w:type="spellStart"/>
      <w:r w:rsidRPr="00781112">
        <w:rPr>
          <w:color w:val="000000" w:themeColor="text1"/>
        </w:rPr>
        <w:t>SiMR</w:t>
      </w:r>
      <w:proofErr w:type="spellEnd"/>
      <w:r w:rsidRPr="00781112">
        <w:rPr>
          <w:color w:val="000000" w:themeColor="text1"/>
        </w:rPr>
        <w:t xml:space="preserve"> target as of 06/30/2025), thus they have requested that the next iteration of the </w:t>
      </w:r>
      <w:proofErr w:type="spellStart"/>
      <w:r w:rsidRPr="00781112">
        <w:rPr>
          <w:color w:val="000000" w:themeColor="text1"/>
        </w:rPr>
        <w:t>SiMR</w:t>
      </w:r>
      <w:proofErr w:type="spellEnd"/>
      <w:r w:rsidRPr="00781112">
        <w:rPr>
          <w:color w:val="000000" w:themeColor="text1"/>
        </w:rPr>
        <w:t xml:space="preserve"> include results for post-school outcomes. To address these concerns, the WVDE/OSE will be including results from both indicators 1 and 14 to measure progress toward a revised </w:t>
      </w:r>
      <w:proofErr w:type="spellStart"/>
      <w:r w:rsidRPr="00781112">
        <w:rPr>
          <w:color w:val="000000" w:themeColor="text1"/>
        </w:rPr>
        <w:t>SiMR</w:t>
      </w:r>
      <w:proofErr w:type="spellEnd"/>
      <w:r w:rsidRPr="00781112">
        <w:rPr>
          <w:color w:val="000000" w:themeColor="text1"/>
        </w:rPr>
        <w:t xml:space="preserve"> for FFY2025; although stakeholders have not yet determined which indicator should become the primary measurement, changes for SSIP will include revisions to the theory of action, evaluation plan, as well as new baselines and targets for data used to measure progress toward the </w:t>
      </w:r>
      <w:proofErr w:type="spellStart"/>
      <w:r w:rsidRPr="00781112">
        <w:rPr>
          <w:color w:val="000000" w:themeColor="text1"/>
        </w:rPr>
        <w:t>SiMR</w:t>
      </w:r>
      <w:proofErr w:type="spellEnd"/>
      <w:r w:rsidRPr="00781112">
        <w:rPr>
          <w:color w:val="000000" w:themeColor="text1"/>
        </w:rPr>
        <w:t xml:space="preserve">. </w:t>
      </w:r>
    </w:p>
    <w:p w14:paraId="763DA3B7" w14:textId="77777777" w:rsidR="00AE1972" w:rsidRPr="00781112" w:rsidRDefault="00AE1972" w:rsidP="00AE1972">
      <w:pPr>
        <w:rPr>
          <w:rFonts w:cs="Arial"/>
          <w:b/>
          <w:bCs/>
        </w:rPr>
      </w:pPr>
    </w:p>
    <w:p w14:paraId="35BE9705" w14:textId="77777777" w:rsidR="00AE1972" w:rsidRPr="00781112" w:rsidRDefault="00AE1972" w:rsidP="00AE1972">
      <w:pPr>
        <w:rPr>
          <w:rFonts w:cstheme="minorHAnsi"/>
          <w:b/>
          <w:bCs/>
        </w:rPr>
      </w:pPr>
      <w:r w:rsidRPr="00781112">
        <w:rPr>
          <w:rFonts w:cstheme="minorHAnsi"/>
          <w:b/>
          <w:bCs/>
        </w:rPr>
        <w:t>Additional Implementation Activities</w:t>
      </w:r>
    </w:p>
    <w:p w14:paraId="6BB47840" w14:textId="77777777" w:rsidR="00AE1972" w:rsidRPr="00781112" w:rsidRDefault="00AE1972" w:rsidP="00AE1972">
      <w:pPr>
        <w:rPr>
          <w:b/>
          <w:bCs/>
        </w:rPr>
      </w:pPr>
      <w:r w:rsidRPr="00781112">
        <w:rPr>
          <w:b/>
          <w:bCs/>
        </w:rPr>
        <w:t xml:space="preserve">List any activities not already described that the State intends to implement in the next fiscal year that are related to the </w:t>
      </w:r>
      <w:proofErr w:type="spellStart"/>
      <w:r w:rsidRPr="00781112">
        <w:rPr>
          <w:b/>
          <w:bCs/>
        </w:rPr>
        <w:t>SiMR</w:t>
      </w:r>
      <w:proofErr w:type="spellEnd"/>
      <w:r w:rsidRPr="00781112">
        <w:rPr>
          <w:b/>
          <w:bCs/>
        </w:rPr>
        <w:t>.</w:t>
      </w:r>
    </w:p>
    <w:p w14:paraId="05761C80" w14:textId="77777777" w:rsidR="00AE1972" w:rsidRPr="00781112" w:rsidRDefault="00AE1972" w:rsidP="00AE1972">
      <w:pPr>
        <w:rPr>
          <w:color w:val="000000" w:themeColor="text1"/>
        </w:rPr>
      </w:pPr>
      <w:r w:rsidRPr="00781112">
        <w:rPr>
          <w:color w:val="000000" w:themeColor="text1"/>
        </w:rPr>
        <w:t xml:space="preserve">INTEGRATE BOTH GRADUATION AND POST-SCHOOL OUTCOMES TO MEASURE PROGRESS ON SIMR – Engage stakeholders in discussion of new targets and baselines for </w:t>
      </w:r>
      <w:proofErr w:type="spellStart"/>
      <w:r w:rsidRPr="00781112">
        <w:rPr>
          <w:color w:val="000000" w:themeColor="text1"/>
        </w:rPr>
        <w:t>SiMR</w:t>
      </w:r>
      <w:proofErr w:type="spellEnd"/>
      <w:r w:rsidRPr="00781112">
        <w:rPr>
          <w:color w:val="000000" w:themeColor="text1"/>
        </w:rPr>
        <w:t xml:space="preserve"> aligned indicators.</w:t>
      </w:r>
    </w:p>
    <w:p w14:paraId="1F3007AF" w14:textId="77777777" w:rsidR="00AE1972" w:rsidRPr="00781112" w:rsidRDefault="00AE1972" w:rsidP="00AE1972">
      <w:pPr>
        <w:rPr>
          <w:rFonts w:cs="Arial"/>
          <w:b/>
          <w:bCs/>
        </w:rPr>
      </w:pPr>
      <w:r w:rsidRPr="00781112">
        <w:rPr>
          <w:rFonts w:cs="Arial"/>
          <w:b/>
          <w:bCs/>
        </w:rPr>
        <w:t xml:space="preserve">Provide a timeline, anticipated data collection and measures, and expected outcomes for these activities that are related to the </w:t>
      </w:r>
      <w:proofErr w:type="spellStart"/>
      <w:r w:rsidRPr="00781112">
        <w:rPr>
          <w:rFonts w:cs="Arial"/>
          <w:b/>
          <w:bCs/>
        </w:rPr>
        <w:t>SiMR</w:t>
      </w:r>
      <w:proofErr w:type="spellEnd"/>
      <w:r w:rsidRPr="00781112">
        <w:rPr>
          <w:rFonts w:cs="Arial"/>
          <w:b/>
          <w:bCs/>
        </w:rPr>
        <w:t xml:space="preserve">. </w:t>
      </w:r>
    </w:p>
    <w:p w14:paraId="10A38C5C" w14:textId="77777777" w:rsidR="00AE1972" w:rsidRPr="00781112" w:rsidRDefault="00AE1972" w:rsidP="00AE1972">
      <w:pPr>
        <w:rPr>
          <w:color w:val="000000" w:themeColor="text1"/>
        </w:rPr>
      </w:pPr>
      <w:r w:rsidRPr="00781112">
        <w:rPr>
          <w:color w:val="000000" w:themeColor="text1"/>
        </w:rPr>
        <w:t xml:space="preserve">WVDE/OSE will engage stakeholders throughout Fall 2025–Summer 2026 to integrate graduation (Indicator?1) and post school outcomes (Indicator?14) into a unified </w:t>
      </w:r>
      <w:proofErr w:type="spellStart"/>
      <w:r w:rsidRPr="00781112">
        <w:rPr>
          <w:color w:val="000000" w:themeColor="text1"/>
        </w:rPr>
        <w:t>SiMR</w:t>
      </w:r>
      <w:proofErr w:type="spellEnd"/>
      <w:r w:rsidRPr="00781112">
        <w:rPr>
          <w:color w:val="000000" w:themeColor="text1"/>
        </w:rPr>
        <w:t xml:space="preserve"> framework by reviewing historical data, analyzing baseline options, and determining new targets for FFY2025–2030. </w:t>
      </w:r>
    </w:p>
    <w:p w14:paraId="6D4C5958" w14:textId="77777777" w:rsidR="00CA787A" w:rsidRDefault="003169E9">
      <w:r>
        <w:rPr>
          <w:color w:val="000000"/>
        </w:rPr>
        <w:t xml:space="preserve">Data collection sources will be included in a revised evaluation plan with consideration toward </w:t>
      </w:r>
      <w:proofErr w:type="spellStart"/>
      <w:proofErr w:type="gramStart"/>
      <w:r>
        <w:rPr>
          <w:color w:val="000000"/>
        </w:rPr>
        <w:t>multi year</w:t>
      </w:r>
      <w:proofErr w:type="spellEnd"/>
      <w:proofErr w:type="gramEnd"/>
      <w:r>
        <w:rPr>
          <w:color w:val="000000"/>
        </w:rPr>
        <w:t xml:space="preserve"> disaggregated Indicator?1 and 14 trends, attendance and survey feedback from stakeholder sessions, and documentation of proposed baselines and selection criteria. </w:t>
      </w:r>
    </w:p>
    <w:p w14:paraId="250C8074" w14:textId="77777777" w:rsidR="00CA787A" w:rsidRDefault="003169E9">
      <w:r>
        <w:rPr>
          <w:color w:val="000000"/>
        </w:rPr>
        <w:t xml:space="preserve">Expected outcomes include a stakeholder validated </w:t>
      </w:r>
      <w:proofErr w:type="spellStart"/>
      <w:r>
        <w:rPr>
          <w:color w:val="000000"/>
        </w:rPr>
        <w:t>SiMR</w:t>
      </w:r>
      <w:proofErr w:type="spellEnd"/>
      <w:r>
        <w:rPr>
          <w:color w:val="000000"/>
        </w:rPr>
        <w:t xml:space="preserve"> with integrated baselines and targets, stronger alignment across indicators, clearer guidance for LEA planning, and a more comprehensive focus on long term outcomes for students with disabilities. </w:t>
      </w:r>
    </w:p>
    <w:p w14:paraId="6BA8A2CD" w14:textId="77777777" w:rsidR="00AE1972" w:rsidRPr="00781112" w:rsidRDefault="00AE1972" w:rsidP="00AE1972">
      <w:pPr>
        <w:rPr>
          <w:color w:val="000000" w:themeColor="text1"/>
        </w:rPr>
      </w:pPr>
    </w:p>
    <w:p w14:paraId="3F7A894F" w14:textId="77777777" w:rsidR="00AE1972" w:rsidRPr="00781112" w:rsidRDefault="00AE1972" w:rsidP="00AE1972">
      <w:pPr>
        <w:rPr>
          <w:rFonts w:cs="Arial"/>
          <w:b/>
          <w:bCs/>
        </w:rPr>
      </w:pPr>
      <w:r w:rsidRPr="00781112">
        <w:rPr>
          <w:rFonts w:cs="Arial"/>
          <w:b/>
          <w:bCs/>
        </w:rPr>
        <w:t>Describe any newly identified barriers and include steps to address these barriers.</w:t>
      </w:r>
    </w:p>
    <w:p w14:paraId="5AF278D5" w14:textId="77777777" w:rsidR="00AE1972" w:rsidRPr="00781112" w:rsidRDefault="00AE1972" w:rsidP="00AE1972">
      <w:pPr>
        <w:rPr>
          <w:color w:val="000000" w:themeColor="text1"/>
        </w:rPr>
      </w:pPr>
      <w:r w:rsidRPr="00781112">
        <w:rPr>
          <w:color w:val="000000" w:themeColor="text1"/>
        </w:rPr>
        <w:t xml:space="preserve">SSIP funding is not a guarantee and if federal funding is not sustained at current levels, then capacity building activities may be reduced at both the LEA and SEA level as many of these activities are funding through SSIP grants (which come from IDEA discretionary funds). </w:t>
      </w:r>
    </w:p>
    <w:p w14:paraId="23127B1E" w14:textId="77777777" w:rsidR="00CA787A" w:rsidRDefault="00CA787A"/>
    <w:p w14:paraId="1709EB6B" w14:textId="77777777" w:rsidR="00CA787A" w:rsidRDefault="003169E9">
      <w:r>
        <w:rPr>
          <w:color w:val="000000"/>
        </w:rPr>
        <w:t xml:space="preserve">Staff turnover is always an issue and WVDE/OSE will continue to provide support through the monthly CoP and office hours. </w:t>
      </w:r>
    </w:p>
    <w:p w14:paraId="72992037" w14:textId="77777777" w:rsidR="00AE1972" w:rsidRPr="00781112" w:rsidRDefault="00AE1972" w:rsidP="00AE1972">
      <w:pPr>
        <w:rPr>
          <w:rFonts w:cs="Arial"/>
          <w:b/>
          <w:bCs/>
        </w:rPr>
      </w:pPr>
    </w:p>
    <w:p w14:paraId="7775CE98" w14:textId="77777777" w:rsidR="00AE1972" w:rsidRPr="00781112" w:rsidRDefault="00AE1972" w:rsidP="00AE1972">
      <w:pPr>
        <w:rPr>
          <w:rFonts w:cs="Arial"/>
          <w:b/>
          <w:bCs/>
        </w:rPr>
      </w:pPr>
      <w:r w:rsidRPr="00781112">
        <w:rPr>
          <w:rFonts w:cs="Arial"/>
          <w:b/>
          <w:bCs/>
        </w:rPr>
        <w:t>Provide additional information about this indicator (optional).</w:t>
      </w:r>
    </w:p>
    <w:p w14:paraId="7D839DB8" w14:textId="77777777" w:rsidR="00AE1972" w:rsidRPr="00781112" w:rsidRDefault="00AE1972" w:rsidP="00AE1972">
      <w:pPr>
        <w:rPr>
          <w:color w:val="000000" w:themeColor="text1"/>
        </w:rPr>
      </w:pPr>
    </w:p>
    <w:p w14:paraId="3D468977" w14:textId="77777777" w:rsidR="00AE1972" w:rsidRPr="00781112" w:rsidRDefault="00AE1972" w:rsidP="00AE1972">
      <w:pPr>
        <w:rPr>
          <w:b/>
          <w:bCs/>
        </w:rPr>
      </w:pPr>
    </w:p>
    <w:p w14:paraId="56146A2E" w14:textId="77777777" w:rsidR="00AE1972" w:rsidRPr="00781112" w:rsidRDefault="00AE1972" w:rsidP="00AE1972">
      <w:pPr>
        <w:pStyle w:val="Heading2"/>
      </w:pPr>
      <w:r w:rsidRPr="00781112">
        <w:t>1</w:t>
      </w:r>
      <w:r w:rsidR="00B90835" w:rsidRPr="00781112">
        <w:t>7</w:t>
      </w:r>
      <w:r w:rsidRPr="00781112">
        <w:t xml:space="preserve"> - Prior FFY Required Actions</w:t>
      </w:r>
    </w:p>
    <w:p w14:paraId="683A3948" w14:textId="77777777" w:rsidR="00AE1972" w:rsidRPr="00781112" w:rsidRDefault="00AE1972" w:rsidP="00AE1972">
      <w:pPr>
        <w:rPr>
          <w:color w:val="000000" w:themeColor="text1"/>
        </w:rPr>
      </w:pPr>
      <w:r w:rsidRPr="00781112">
        <w:rPr>
          <w:color w:val="000000" w:themeColor="text1"/>
        </w:rPr>
        <w:t>None</w:t>
      </w:r>
    </w:p>
    <w:p w14:paraId="1CB45F71" w14:textId="77777777" w:rsidR="00AE1972" w:rsidRPr="00781112" w:rsidRDefault="00AE1972" w:rsidP="00AE1972">
      <w:pPr>
        <w:pStyle w:val="Heading2"/>
      </w:pPr>
      <w:r w:rsidRPr="00781112">
        <w:t>1</w:t>
      </w:r>
      <w:r w:rsidR="00B90835" w:rsidRPr="00781112">
        <w:t>7</w:t>
      </w:r>
      <w:r w:rsidRPr="00781112">
        <w:t xml:space="preserve"> - OSEP Response</w:t>
      </w:r>
    </w:p>
    <w:p w14:paraId="4EBE3530" w14:textId="77777777" w:rsidR="00AE1972" w:rsidRPr="00781112" w:rsidRDefault="00AE1972" w:rsidP="00AE1972">
      <w:pPr>
        <w:rPr>
          <w:color w:val="000000" w:themeColor="text1"/>
        </w:rPr>
      </w:pPr>
    </w:p>
    <w:p w14:paraId="720B42AF" w14:textId="77777777" w:rsidR="00AE1972" w:rsidRPr="00781112" w:rsidRDefault="00AE1972" w:rsidP="00AE1972">
      <w:pPr>
        <w:pStyle w:val="Heading2"/>
      </w:pPr>
      <w:r w:rsidRPr="00781112">
        <w:t>1</w:t>
      </w:r>
      <w:r w:rsidR="00B90835" w:rsidRPr="00781112">
        <w:t>7</w:t>
      </w:r>
      <w:r w:rsidRPr="00781112">
        <w:t xml:space="preserve"> - Required Actions</w:t>
      </w:r>
    </w:p>
    <w:p w14:paraId="350A2205" w14:textId="77777777" w:rsidR="00066BAA" w:rsidRDefault="00066BAA" w:rsidP="000532EB">
      <w:pPr>
        <w:rPr>
          <w:color w:val="000000" w:themeColor="text1"/>
        </w:rPr>
      </w:pPr>
    </w:p>
    <w:p w14:paraId="60C7E9C3" w14:textId="77777777" w:rsidR="007B2985" w:rsidRDefault="007B2985">
      <w:pPr>
        <w:spacing w:before="0" w:after="200" w:line="276" w:lineRule="auto"/>
        <w:rPr>
          <w:color w:val="000000" w:themeColor="text1"/>
        </w:rPr>
      </w:pPr>
      <w:r>
        <w:rPr>
          <w:color w:val="000000" w:themeColor="text1"/>
        </w:rPr>
        <w:br w:type="page"/>
      </w:r>
    </w:p>
    <w:p w14:paraId="705FD6C5" w14:textId="77777777" w:rsidR="00B9250E" w:rsidRDefault="00B9250E" w:rsidP="00B9250E">
      <w:pPr>
        <w:pStyle w:val="Heading1"/>
      </w:pPr>
      <w:bookmarkStart w:id="98" w:name="_Hlk173251796"/>
      <w:r>
        <w:lastRenderedPageBreak/>
        <w:t>Indicator 18: General Supervision</w:t>
      </w:r>
    </w:p>
    <w:bookmarkEnd w:id="98"/>
    <w:p w14:paraId="27BF4A37" w14:textId="77777777" w:rsidR="00B9250E" w:rsidRPr="002C274F" w:rsidRDefault="00B9250E" w:rsidP="002C274F">
      <w:pPr>
        <w:rPr>
          <w:b/>
          <w:bCs/>
          <w:sz w:val="20"/>
          <w:szCs w:val="20"/>
        </w:rPr>
      </w:pPr>
      <w:r w:rsidRPr="002C274F">
        <w:rPr>
          <w:b/>
          <w:bCs/>
          <w:sz w:val="20"/>
          <w:szCs w:val="20"/>
        </w:rPr>
        <w:t>Instructions and Measurement</w:t>
      </w:r>
    </w:p>
    <w:p w14:paraId="708EE330" w14:textId="77777777" w:rsidR="00B9250E" w:rsidRPr="00CB52C7" w:rsidRDefault="00B9250E" w:rsidP="00B9250E">
      <w:pPr>
        <w:keepNext/>
        <w:spacing w:after="0"/>
        <w:rPr>
          <w:rFonts w:eastAsia="Calibri" w:cs="Arial"/>
          <w:bCs/>
          <w:szCs w:val="16"/>
        </w:rPr>
      </w:pPr>
      <w:r w:rsidRPr="00CB52C7">
        <w:rPr>
          <w:rFonts w:eastAsia="Calibri" w:cs="Arial"/>
          <w:b/>
          <w:szCs w:val="16"/>
        </w:rPr>
        <w:t xml:space="preserve">Monitoring Priority: </w:t>
      </w:r>
      <w:r w:rsidRPr="00CB52C7">
        <w:rPr>
          <w:rFonts w:eastAsia="Calibri" w:cs="Arial"/>
          <w:bCs/>
          <w:szCs w:val="16"/>
        </w:rPr>
        <w:t>General Supervision</w:t>
      </w:r>
    </w:p>
    <w:p w14:paraId="34AEA605" w14:textId="77777777" w:rsidR="00B9250E" w:rsidRPr="00CB52C7" w:rsidRDefault="00B9250E" w:rsidP="00B9250E">
      <w:pPr>
        <w:keepNext/>
        <w:spacing w:after="0"/>
        <w:rPr>
          <w:rFonts w:eastAsia="Calibri" w:cs="Arial"/>
          <w:bCs/>
          <w:szCs w:val="16"/>
        </w:rPr>
      </w:pPr>
      <w:r w:rsidRPr="00CB52C7">
        <w:rPr>
          <w:rFonts w:eastAsia="Calibri" w:cs="Arial"/>
          <w:b/>
          <w:szCs w:val="16"/>
        </w:rPr>
        <w:t xml:space="preserve">Compliance indicator: </w:t>
      </w:r>
      <w:r w:rsidRPr="00CB52C7">
        <w:rPr>
          <w:rFonts w:eastAsia="Calibri" w:cs="Arial"/>
          <w:bCs/>
          <w:szCs w:val="16"/>
        </w:rPr>
        <w:t>This SPP/APR indicator focuses on the State’s exercise of its general supervision responsibility to monitor its local educational agencies (LEAs) for requirements under Part B of the Individuals with Disabilities Education Act (IDEA) through the State’s reporting on timely correction of noncompliance (20 U.S.C. 1412(a)(11) and 1416(a); and 34 C.F.R. §§ 300.149, 300.600). In reporting on findings under this indicator, the State must include findings from data collected through all components of the State’s general supervision system that are used to identify noncompliance. This includes, but is not limited to, information collected through State monitoring, State database/data system, dispute resolution, and fiscal management systems as well as other mechanisms through which noncompliance is identified by the State.</w:t>
      </w:r>
    </w:p>
    <w:p w14:paraId="2B23D1C7" w14:textId="77777777" w:rsidR="00B9250E" w:rsidRPr="00CB52C7" w:rsidRDefault="00B9250E" w:rsidP="00B9250E">
      <w:pPr>
        <w:keepNext/>
        <w:spacing w:after="0"/>
        <w:rPr>
          <w:rFonts w:eastAsia="Calibri" w:cs="Arial"/>
          <w:b/>
          <w:szCs w:val="16"/>
        </w:rPr>
      </w:pPr>
      <w:r w:rsidRPr="00CB52C7">
        <w:rPr>
          <w:rFonts w:eastAsia="Calibri" w:cs="Arial"/>
          <w:b/>
          <w:szCs w:val="16"/>
        </w:rPr>
        <w:t>Data Source</w:t>
      </w:r>
    </w:p>
    <w:p w14:paraId="18338F78" w14:textId="77777777" w:rsidR="0089302A" w:rsidRDefault="00B9250E" w:rsidP="00B9250E">
      <w:pPr>
        <w:rPr>
          <w:rFonts w:eastAsia="Calibri" w:cs="Arial"/>
          <w:bCs/>
          <w:szCs w:val="16"/>
        </w:rPr>
      </w:pPr>
      <w:r w:rsidRPr="00CB52C7">
        <w:rPr>
          <w:rFonts w:eastAsia="Calibri" w:cs="Arial"/>
          <w:bCs/>
          <w:szCs w:val="16"/>
        </w:rPr>
        <w:t>The State must include findings from data collected through all components of the State’s general supervision system that are used to identify noncompliance. This includes, but is not limited to, information collected through State monitoring, State database/data system, dispute resolution, and fiscal management systems as well as other mechanisms through which noncompliance is identified by the State. Provide the actual numbers used in the calculation. Include all findings of noncompliance regardless of the specific type and extent of noncompliance.</w:t>
      </w:r>
    </w:p>
    <w:p w14:paraId="0D13AFB6" w14:textId="77777777" w:rsidR="00B9250E" w:rsidRPr="00CB52C7" w:rsidRDefault="00B9250E" w:rsidP="00B9250E">
      <w:pPr>
        <w:rPr>
          <w:rFonts w:eastAsia="Calibri" w:cs="Arial"/>
          <w:b/>
          <w:szCs w:val="16"/>
        </w:rPr>
      </w:pPr>
      <w:r w:rsidRPr="00CB52C7">
        <w:rPr>
          <w:rFonts w:eastAsia="Calibri" w:cs="Arial"/>
          <w:b/>
          <w:szCs w:val="16"/>
        </w:rPr>
        <w:t>Measurement</w:t>
      </w:r>
    </w:p>
    <w:p w14:paraId="474886AC" w14:textId="77777777" w:rsidR="00B9250E" w:rsidRPr="00CB52C7" w:rsidRDefault="00B9250E" w:rsidP="00B9250E">
      <w:pPr>
        <w:rPr>
          <w:rFonts w:eastAsia="Calibri" w:cs="Arial"/>
          <w:szCs w:val="16"/>
        </w:rPr>
      </w:pPr>
      <w:r w:rsidRPr="00CB52C7">
        <w:rPr>
          <w:rFonts w:eastAsia="Calibri" w:cs="Arial"/>
          <w:szCs w:val="16"/>
        </w:rPr>
        <w:t xml:space="preserve">This SPP/APR indicator requires the reporting on the percent of findings of noncompliance corrected within one year of identification: </w:t>
      </w:r>
    </w:p>
    <w:p w14:paraId="44635F1B" w14:textId="77777777" w:rsidR="00B9250E" w:rsidRPr="00CB52C7" w:rsidRDefault="00B9250E" w:rsidP="00B9250E">
      <w:pPr>
        <w:keepNext/>
        <w:spacing w:after="0"/>
        <w:ind w:left="720" w:hanging="360"/>
        <w:rPr>
          <w:rFonts w:eastAsia="Calibri" w:cs="Arial"/>
          <w:szCs w:val="16"/>
        </w:rPr>
      </w:pPr>
      <w:r w:rsidRPr="00CB52C7">
        <w:rPr>
          <w:rFonts w:eastAsia="Calibri" w:cs="Arial"/>
          <w:szCs w:val="16"/>
        </w:rPr>
        <w:t>a. # of findings of noncompliance issued the prior Federal fiscal year (FFY) (e.g., for the FFY 2024 submission, use FFY 2023, July 1, 2023 – June 30, 2024)</w:t>
      </w:r>
    </w:p>
    <w:p w14:paraId="33447ADB" w14:textId="77777777" w:rsidR="00B9250E" w:rsidRPr="00CB52C7" w:rsidRDefault="00B9250E" w:rsidP="00B9250E">
      <w:pPr>
        <w:keepNext/>
        <w:spacing w:after="0"/>
        <w:ind w:left="720" w:hanging="360"/>
        <w:rPr>
          <w:rFonts w:eastAsia="Calibri" w:cs="Arial"/>
          <w:szCs w:val="16"/>
        </w:rPr>
      </w:pPr>
      <w:r w:rsidRPr="00CB52C7">
        <w:rPr>
          <w:rFonts w:eastAsia="Calibri" w:cs="Arial"/>
          <w:szCs w:val="16"/>
        </w:rPr>
        <w:t>b. # of findings of noncompliance the State verified were corrected no later than one year after the State’s written notification of findings of noncompliance.</w:t>
      </w:r>
    </w:p>
    <w:p w14:paraId="6529FA8C" w14:textId="77777777" w:rsidR="008D02A5" w:rsidRDefault="00B9250E" w:rsidP="003E5D5A">
      <w:pPr>
        <w:ind w:firstLine="360"/>
        <w:rPr>
          <w:rFonts w:eastAsia="Calibri" w:cs="Arial"/>
          <w:szCs w:val="16"/>
        </w:rPr>
      </w:pPr>
      <w:r w:rsidRPr="00CB52C7">
        <w:rPr>
          <w:rFonts w:eastAsia="Calibri" w:cs="Arial"/>
          <w:szCs w:val="16"/>
        </w:rPr>
        <w:t>Percent = [(b) divided by (a)] times 100</w:t>
      </w:r>
    </w:p>
    <w:p w14:paraId="167DC8A5" w14:textId="77777777" w:rsidR="00A51003" w:rsidRPr="00CB52C7" w:rsidRDefault="00A51003" w:rsidP="00A51003">
      <w:pPr>
        <w:rPr>
          <w:rFonts w:eastAsia="Calibri" w:cs="Arial"/>
          <w:b/>
          <w:szCs w:val="16"/>
        </w:rPr>
      </w:pPr>
      <w:r w:rsidRPr="00CB52C7">
        <w:rPr>
          <w:rFonts w:eastAsia="Calibri" w:cs="Arial"/>
          <w:b/>
          <w:szCs w:val="16"/>
        </w:rPr>
        <w:t>Instructions</w:t>
      </w:r>
    </w:p>
    <w:p w14:paraId="7287181D" w14:textId="77777777" w:rsidR="00A51003" w:rsidRPr="00CB52C7" w:rsidRDefault="00A51003" w:rsidP="00A51003">
      <w:pPr>
        <w:rPr>
          <w:rFonts w:eastAsia="Calibri" w:cs="Arial"/>
          <w:szCs w:val="16"/>
        </w:rPr>
      </w:pPr>
      <w:r w:rsidRPr="00CB52C7">
        <w:rPr>
          <w:rFonts w:eastAsia="Calibri" w:cs="Arial"/>
          <w:szCs w:val="16"/>
        </w:rPr>
        <w:t>Targets must be 100%.</w:t>
      </w:r>
    </w:p>
    <w:p w14:paraId="43B4F6E3" w14:textId="77777777" w:rsidR="00A51003" w:rsidRPr="003E5D5A" w:rsidRDefault="00A51003" w:rsidP="00A51003">
      <w:pPr>
        <w:rPr>
          <w:rFonts w:eastAsia="Calibri" w:cs="Arial"/>
          <w:i/>
          <w:iCs/>
          <w:szCs w:val="16"/>
        </w:rPr>
      </w:pPr>
      <w:r w:rsidRPr="008D02A5">
        <w:rPr>
          <w:rFonts w:eastAsia="Calibri" w:cs="Arial"/>
          <w:i/>
          <w:iCs/>
          <w:szCs w:val="16"/>
        </w:rPr>
        <w:t xml:space="preserve">States are required to complete the General Supervision Data Table within the online reporting tool. </w:t>
      </w:r>
    </w:p>
    <w:p w14:paraId="1070411A" w14:textId="77777777" w:rsidR="00A51003" w:rsidRDefault="00A51003" w:rsidP="00A51003">
      <w:pPr>
        <w:rPr>
          <w:rFonts w:eastAsia="Calibri" w:cs="Arial"/>
          <w:szCs w:val="16"/>
        </w:rPr>
      </w:pPr>
      <w:r w:rsidRPr="00FD7EF5">
        <w:rPr>
          <w:rFonts w:eastAsia="Calibri" w:cs="Arial"/>
          <w:szCs w:val="16"/>
        </w:rPr>
        <w:t xml:space="preserve">Report in Column A, the number of findings of noncompliance made in FFY 2023 (July 1, 2023 – June 30, 2024), as reported in the compliance indicator, and report in Column C1, the number of those findings which were timely corrected, as soon as possible and in no case later than one year after the State’s written notification of noncompliance. Report in Column B, the number of additional findings of noncompliance related to the compliance indicator made in FFY 2023 (July 1, 2023-June 30, 2024) and report in Column C2, the number of those additional findings related to the compliance indicator which were timely corrected, as soon as possible and in no case later than one year after the State’s written notification of noncompliance. </w:t>
      </w:r>
    </w:p>
    <w:p w14:paraId="3D7E45BB" w14:textId="77777777" w:rsidR="00A51003" w:rsidRPr="00CB52C7" w:rsidRDefault="00A51003" w:rsidP="00A51003">
      <w:pPr>
        <w:rPr>
          <w:rFonts w:eastAsia="Calibri" w:cs="Arial"/>
          <w:szCs w:val="16"/>
        </w:rPr>
      </w:pPr>
      <w:r w:rsidRPr="00CB52C7">
        <w:rPr>
          <w:rFonts w:eastAsia="Calibri" w:cs="Arial"/>
          <w:szCs w:val="16"/>
        </w:rPr>
        <w:t>States may also provide additional information related to other findings of noncompliance that are not specific to the compliance indicators. This row would include reporting on all other findings of noncompliance that were not reported by the State under the compliance indicators listed below (e.g., Results indicators (including related requirements), Fiscal, Dispute Resolution, etc.). In future years (e.g., with the FFY 2026 SPP/APR), States may be required to further disaggregate findings by results indicators (1, 2, 3, 4A, 5, 6, 7, 8, 14, 15, 16, and 17), fiscal and other areas.</w:t>
      </w:r>
    </w:p>
    <w:p w14:paraId="3045F51F" w14:textId="77777777" w:rsidR="00B9250E" w:rsidRPr="00CB52C7" w:rsidRDefault="00A51003" w:rsidP="00A51003">
      <w:pPr>
        <w:rPr>
          <w:rFonts w:eastAsia="Calibri" w:cs="Arial"/>
          <w:szCs w:val="16"/>
        </w:rPr>
      </w:pPr>
      <w:r w:rsidRPr="004F1A69">
        <w:rPr>
          <w:rFonts w:eastAsia="Calibri" w:cs="Arial"/>
          <w:szCs w:val="16"/>
        </w:rPr>
        <w:t>Provide detailed information about the timely correction of child-specific and regulatory/systemic noncompliance as noted in OSEP’s response for the previous SPP/APR. If the State did not ensure timely correction of the previous findings of noncompliance, provide information on the extent to which noncompliance was subsequently corrected (more than one year after identification). In addition, provide information regarding the nature of any continuing noncompliance and the actions that have been taken or will be taken, to ensure the subsequent correction of the outstanding noncompliance, to address areas in need of improvement, and any sanctions or enforcement actions used, as necessary and consistent with IDEA’s enforcement provisions, the OMB Uniform Administrative Requirements, Cost Principles, and Audit Requirements for Federal Awards (Uniform Guidance), and State rules.</w:t>
      </w:r>
    </w:p>
    <w:p w14:paraId="06D9661B" w14:textId="77777777" w:rsidR="00B9250E" w:rsidRPr="00CB52C7" w:rsidRDefault="00C615CF" w:rsidP="007F76DD">
      <w:pPr>
        <w:pStyle w:val="Heading2"/>
      </w:pPr>
      <w:r>
        <w:t xml:space="preserve">18 - </w:t>
      </w:r>
      <w:r w:rsidR="00B9250E" w:rsidRPr="00CB52C7">
        <w:t>Indicator Data</w:t>
      </w:r>
    </w:p>
    <w:p w14:paraId="5D2EC3FE" w14:textId="77777777" w:rsidR="00B9250E" w:rsidRPr="00CB52C7" w:rsidRDefault="00B9250E" w:rsidP="00C144F3">
      <w:pPr>
        <w:keepNext/>
        <w:rPr>
          <w:rFonts w:eastAsia="Calibri" w:cs="Arial"/>
          <w:b/>
          <w:szCs w:val="16"/>
        </w:rPr>
      </w:pPr>
      <w:r w:rsidRPr="00CB52C7">
        <w:rPr>
          <w:rFonts w:eastAsia="Calibri" w:cs="Arial"/>
          <w:b/>
          <w:szCs w:val="16"/>
        </w:rPr>
        <w:t>Historical Data</w:t>
      </w:r>
    </w:p>
    <w:tbl>
      <w:tblPr>
        <w:tblStyle w:val="TableGrid"/>
        <w:tblW w:w="0" w:type="auto"/>
        <w:tblLayout w:type="fixed"/>
        <w:tblLook w:val="04A0" w:firstRow="1" w:lastRow="0" w:firstColumn="1" w:lastColumn="0" w:noHBand="0" w:noVBand="1"/>
        <w:tblCaption w:val="B18HISTORICALDATA"/>
      </w:tblPr>
      <w:tblGrid>
        <w:gridCol w:w="1797"/>
        <w:gridCol w:w="1798"/>
      </w:tblGrid>
      <w:tr w:rsidR="00B9250E" w:rsidRPr="00CB52C7" w14:paraId="3EAC6CE2" w14:textId="77777777" w:rsidTr="00C144F3">
        <w:trPr>
          <w:trHeight w:val="360"/>
          <w:tblHeader/>
        </w:trPr>
        <w:tc>
          <w:tcPr>
            <w:tcW w:w="1797" w:type="dxa"/>
          </w:tcPr>
          <w:p w14:paraId="6621CB3A" w14:textId="77777777" w:rsidR="00B9250E" w:rsidRPr="00CB52C7" w:rsidRDefault="00B9250E">
            <w:pPr>
              <w:jc w:val="center"/>
              <w:rPr>
                <w:rFonts w:eastAsia="Calibri" w:cs="Arial"/>
                <w:b/>
                <w:color w:val="000000"/>
                <w:szCs w:val="16"/>
              </w:rPr>
            </w:pPr>
            <w:r w:rsidRPr="00CB52C7">
              <w:rPr>
                <w:rFonts w:eastAsia="Calibri" w:cs="Arial"/>
                <w:b/>
                <w:color w:val="000000"/>
                <w:szCs w:val="16"/>
              </w:rPr>
              <w:t>Baseline Year</w:t>
            </w:r>
          </w:p>
        </w:tc>
        <w:tc>
          <w:tcPr>
            <w:tcW w:w="1798" w:type="dxa"/>
          </w:tcPr>
          <w:p w14:paraId="397E55C0" w14:textId="77777777" w:rsidR="00B9250E" w:rsidRPr="00CB52C7" w:rsidRDefault="00B9250E">
            <w:pPr>
              <w:jc w:val="center"/>
              <w:rPr>
                <w:rFonts w:eastAsia="Calibri" w:cs="Arial"/>
                <w:b/>
                <w:color w:val="000000"/>
                <w:szCs w:val="16"/>
              </w:rPr>
            </w:pPr>
            <w:r w:rsidRPr="00CB52C7">
              <w:rPr>
                <w:rFonts w:eastAsia="Calibri" w:cs="Arial"/>
                <w:b/>
                <w:color w:val="000000"/>
                <w:szCs w:val="16"/>
              </w:rPr>
              <w:t>Baseline Data</w:t>
            </w:r>
          </w:p>
        </w:tc>
      </w:tr>
      <w:tr w:rsidR="00AA0F28" w:rsidRPr="00CB52C7" w14:paraId="01105160" w14:textId="77777777" w:rsidTr="00C144F3">
        <w:trPr>
          <w:trHeight w:val="360"/>
          <w:tblHeader/>
        </w:trPr>
        <w:tc>
          <w:tcPr>
            <w:tcW w:w="1797" w:type="dxa"/>
          </w:tcPr>
          <w:p w14:paraId="77D9F489" w14:textId="77777777" w:rsidR="00AA0F28" w:rsidRPr="00CB52C7" w:rsidRDefault="00AA0F28" w:rsidP="00AA0F28">
            <w:pPr>
              <w:jc w:val="center"/>
              <w:rPr>
                <w:rFonts w:eastAsia="Calibri" w:cs="Arial"/>
                <w:b/>
                <w:color w:val="000000"/>
                <w:szCs w:val="16"/>
              </w:rPr>
            </w:pPr>
            <w:r w:rsidRPr="00ED172B">
              <w:rPr>
                <w:color w:val="000000" w:themeColor="text1"/>
              </w:rPr>
              <w:t>2023</w:t>
            </w:r>
          </w:p>
        </w:tc>
        <w:tc>
          <w:tcPr>
            <w:tcW w:w="1798" w:type="dxa"/>
            <w:vAlign w:val="center"/>
          </w:tcPr>
          <w:p w14:paraId="7F87352F" w14:textId="77777777" w:rsidR="00AA0F28" w:rsidRPr="00CB52C7" w:rsidRDefault="00AA0F28" w:rsidP="00AA0F28">
            <w:pPr>
              <w:jc w:val="center"/>
              <w:rPr>
                <w:rFonts w:eastAsia="Calibri" w:cs="Arial"/>
                <w:b/>
                <w:color w:val="000000"/>
                <w:szCs w:val="16"/>
              </w:rPr>
            </w:pPr>
            <w:r w:rsidRPr="00ED172B">
              <w:rPr>
                <w:color w:val="000000" w:themeColor="text1"/>
              </w:rPr>
              <w:t>98.21%</w:t>
            </w:r>
          </w:p>
        </w:tc>
      </w:tr>
    </w:tbl>
    <w:p w14:paraId="6A0E88BE" w14:textId="77777777" w:rsidR="00B9250E" w:rsidRDefault="00B9250E" w:rsidP="00B9250E">
      <w:pPr>
        <w:keepNext/>
        <w:spacing w:after="0"/>
        <w:rPr>
          <w:rFonts w:eastAsia="Calibri" w:cs="Arial"/>
          <w:b/>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18HISTDATA"/>
      </w:tblPr>
      <w:tblGrid>
        <w:gridCol w:w="1797"/>
        <w:gridCol w:w="1797"/>
        <w:gridCol w:w="1800"/>
        <w:gridCol w:w="1798"/>
        <w:gridCol w:w="1798"/>
        <w:gridCol w:w="1800"/>
      </w:tblGrid>
      <w:tr w:rsidR="00C76E75" w14:paraId="003058F1" w14:textId="77777777" w:rsidTr="008C215C">
        <w:trPr>
          <w:trHeight w:val="350"/>
        </w:trPr>
        <w:tc>
          <w:tcPr>
            <w:tcW w:w="833" w:type="pct"/>
            <w:hideMark/>
          </w:tcPr>
          <w:p w14:paraId="4AA0DC0E" w14:textId="77777777" w:rsidR="00C76E75" w:rsidRDefault="00C76E75" w:rsidP="0032759D">
            <w:pPr>
              <w:spacing w:line="276" w:lineRule="auto"/>
              <w:jc w:val="center"/>
              <w:rPr>
                <w:rFonts w:cs="Arial"/>
                <w:b/>
                <w:color w:val="000000" w:themeColor="text1"/>
                <w:szCs w:val="16"/>
              </w:rPr>
            </w:pPr>
            <w:r>
              <w:rPr>
                <w:rFonts w:cs="Arial"/>
                <w:b/>
                <w:color w:val="000000" w:themeColor="text1"/>
                <w:szCs w:val="16"/>
              </w:rPr>
              <w:t>FFY</w:t>
            </w:r>
          </w:p>
        </w:tc>
        <w:tc>
          <w:tcPr>
            <w:tcW w:w="833" w:type="pct"/>
            <w:hideMark/>
          </w:tcPr>
          <w:p w14:paraId="1826F422" w14:textId="77777777" w:rsidR="00C76E75" w:rsidRDefault="00C76E75" w:rsidP="0032759D">
            <w:pPr>
              <w:spacing w:line="276" w:lineRule="auto"/>
              <w:jc w:val="center"/>
              <w:rPr>
                <w:rFonts w:cs="Arial"/>
                <w:b/>
                <w:color w:val="000000" w:themeColor="text1"/>
                <w:szCs w:val="16"/>
              </w:rPr>
            </w:pPr>
            <w:r>
              <w:rPr>
                <w:rFonts w:cs="Arial"/>
                <w:b/>
                <w:color w:val="000000" w:themeColor="text1"/>
                <w:szCs w:val="16"/>
              </w:rPr>
              <w:t>2019</w:t>
            </w:r>
          </w:p>
        </w:tc>
        <w:tc>
          <w:tcPr>
            <w:tcW w:w="834" w:type="pct"/>
            <w:hideMark/>
          </w:tcPr>
          <w:p w14:paraId="2970772C" w14:textId="77777777" w:rsidR="00C76E75" w:rsidRDefault="00C76E75" w:rsidP="0032759D">
            <w:pPr>
              <w:spacing w:line="276" w:lineRule="auto"/>
              <w:jc w:val="center"/>
              <w:rPr>
                <w:rFonts w:cs="Arial"/>
                <w:b/>
                <w:color w:val="000000" w:themeColor="text1"/>
                <w:szCs w:val="16"/>
              </w:rPr>
            </w:pPr>
            <w:r>
              <w:rPr>
                <w:rFonts w:cs="Arial"/>
                <w:b/>
                <w:color w:val="000000" w:themeColor="text1"/>
                <w:szCs w:val="16"/>
              </w:rPr>
              <w:t>2020</w:t>
            </w:r>
          </w:p>
        </w:tc>
        <w:tc>
          <w:tcPr>
            <w:tcW w:w="833" w:type="pct"/>
            <w:vAlign w:val="center"/>
            <w:hideMark/>
          </w:tcPr>
          <w:p w14:paraId="5A989D03" w14:textId="77777777" w:rsidR="00C76E75" w:rsidRDefault="00C76E75" w:rsidP="0032759D">
            <w:pPr>
              <w:spacing w:line="276" w:lineRule="auto"/>
              <w:jc w:val="center"/>
              <w:rPr>
                <w:rFonts w:cs="Arial"/>
                <w:b/>
                <w:color w:val="000000" w:themeColor="text1"/>
                <w:szCs w:val="16"/>
              </w:rPr>
            </w:pPr>
            <w:r>
              <w:rPr>
                <w:rFonts w:cs="Arial"/>
                <w:b/>
                <w:color w:val="000000" w:themeColor="text1"/>
                <w:szCs w:val="16"/>
              </w:rPr>
              <w:t>2021</w:t>
            </w:r>
          </w:p>
        </w:tc>
        <w:tc>
          <w:tcPr>
            <w:tcW w:w="833" w:type="pct"/>
            <w:vAlign w:val="center"/>
            <w:hideMark/>
          </w:tcPr>
          <w:p w14:paraId="2BCC679D" w14:textId="77777777" w:rsidR="00C76E75" w:rsidRDefault="00C76E75" w:rsidP="0032759D">
            <w:pPr>
              <w:spacing w:line="276" w:lineRule="auto"/>
              <w:jc w:val="center"/>
              <w:rPr>
                <w:rFonts w:cs="Arial"/>
                <w:b/>
                <w:color w:val="000000" w:themeColor="text1"/>
                <w:szCs w:val="16"/>
              </w:rPr>
            </w:pPr>
            <w:r>
              <w:rPr>
                <w:rFonts w:cs="Arial"/>
                <w:b/>
                <w:color w:val="000000" w:themeColor="text1"/>
                <w:szCs w:val="16"/>
              </w:rPr>
              <w:t>2022</w:t>
            </w:r>
          </w:p>
        </w:tc>
        <w:tc>
          <w:tcPr>
            <w:tcW w:w="834" w:type="pct"/>
            <w:vAlign w:val="center"/>
            <w:hideMark/>
          </w:tcPr>
          <w:p w14:paraId="5BAFBE9C" w14:textId="77777777" w:rsidR="00C76E75" w:rsidRDefault="00C76E75" w:rsidP="0032759D">
            <w:pPr>
              <w:spacing w:line="276" w:lineRule="auto"/>
              <w:jc w:val="center"/>
              <w:rPr>
                <w:rFonts w:cs="Arial"/>
                <w:b/>
                <w:color w:val="000000" w:themeColor="text1"/>
                <w:szCs w:val="16"/>
              </w:rPr>
            </w:pPr>
            <w:r>
              <w:rPr>
                <w:rFonts w:cs="Arial"/>
                <w:b/>
                <w:color w:val="000000" w:themeColor="text1"/>
                <w:szCs w:val="16"/>
              </w:rPr>
              <w:t>2023</w:t>
            </w:r>
          </w:p>
        </w:tc>
      </w:tr>
      <w:tr w:rsidR="00C76E75" w14:paraId="605E8ED0" w14:textId="77777777" w:rsidTr="008C215C">
        <w:trPr>
          <w:trHeight w:val="357"/>
        </w:trPr>
        <w:tc>
          <w:tcPr>
            <w:tcW w:w="833" w:type="pct"/>
            <w:hideMark/>
          </w:tcPr>
          <w:p w14:paraId="59D0C91A" w14:textId="77777777" w:rsidR="00C76E75" w:rsidRPr="00F1472B" w:rsidRDefault="00C76E75" w:rsidP="00924AD9">
            <w:pPr>
              <w:jc w:val="center"/>
              <w:rPr>
                <w:rFonts w:cs="Arial"/>
                <w:color w:val="000000" w:themeColor="text1"/>
                <w:szCs w:val="16"/>
              </w:rPr>
            </w:pPr>
            <w:r w:rsidRPr="00F1472B">
              <w:rPr>
                <w:rFonts w:cs="Arial"/>
                <w:color w:val="000000" w:themeColor="text1"/>
                <w:szCs w:val="16"/>
              </w:rPr>
              <w:t>Target</w:t>
            </w:r>
          </w:p>
        </w:tc>
        <w:tc>
          <w:tcPr>
            <w:tcW w:w="833" w:type="pct"/>
            <w:hideMark/>
          </w:tcPr>
          <w:p w14:paraId="39BFC316" w14:textId="77777777" w:rsidR="00C76E75" w:rsidRPr="00924AD9" w:rsidRDefault="00C76E75" w:rsidP="00924AD9">
            <w:pPr>
              <w:jc w:val="center"/>
              <w:rPr>
                <w:rFonts w:cs="Arial"/>
                <w:color w:val="000000" w:themeColor="text1"/>
                <w:szCs w:val="16"/>
              </w:rPr>
            </w:pPr>
            <w:r w:rsidRPr="00F1472B">
              <w:rPr>
                <w:rFonts w:cs="Arial"/>
                <w:color w:val="000000" w:themeColor="text1"/>
                <w:szCs w:val="16"/>
              </w:rPr>
              <w:t>100%</w:t>
            </w:r>
          </w:p>
          <w:p w14:paraId="0CAC06A6" w14:textId="77777777" w:rsidR="00C76E75" w:rsidRPr="00924AD9" w:rsidRDefault="00C76E75" w:rsidP="00924AD9">
            <w:pPr>
              <w:jc w:val="center"/>
              <w:rPr>
                <w:rFonts w:cs="Arial"/>
                <w:color w:val="000000" w:themeColor="text1"/>
                <w:szCs w:val="16"/>
              </w:rPr>
            </w:pPr>
          </w:p>
        </w:tc>
        <w:tc>
          <w:tcPr>
            <w:tcW w:w="834" w:type="pct"/>
            <w:hideMark/>
          </w:tcPr>
          <w:p w14:paraId="3E87D81C" w14:textId="77777777" w:rsidR="00C76E75" w:rsidRPr="00F1472B" w:rsidRDefault="00C76E75" w:rsidP="00924AD9">
            <w:pPr>
              <w:jc w:val="center"/>
              <w:rPr>
                <w:rFonts w:cs="Arial"/>
                <w:color w:val="000000" w:themeColor="text1"/>
                <w:szCs w:val="16"/>
              </w:rPr>
            </w:pPr>
            <w:r w:rsidRPr="00F1472B">
              <w:rPr>
                <w:rFonts w:cs="Arial"/>
                <w:color w:val="000000" w:themeColor="text1"/>
                <w:szCs w:val="16"/>
              </w:rPr>
              <w:t>100%</w:t>
            </w:r>
          </w:p>
        </w:tc>
        <w:tc>
          <w:tcPr>
            <w:tcW w:w="833" w:type="pct"/>
            <w:hideMark/>
          </w:tcPr>
          <w:p w14:paraId="7C7A80C9" w14:textId="77777777" w:rsidR="00C76E75" w:rsidRPr="00F1472B" w:rsidRDefault="00C76E75" w:rsidP="00924AD9">
            <w:pPr>
              <w:jc w:val="center"/>
              <w:rPr>
                <w:rFonts w:cs="Arial"/>
                <w:color w:val="000000" w:themeColor="text1"/>
                <w:szCs w:val="16"/>
              </w:rPr>
            </w:pPr>
            <w:r w:rsidRPr="00F1472B">
              <w:rPr>
                <w:rFonts w:cs="Arial"/>
                <w:color w:val="000000" w:themeColor="text1"/>
                <w:szCs w:val="16"/>
              </w:rPr>
              <w:t>100%</w:t>
            </w:r>
          </w:p>
        </w:tc>
        <w:tc>
          <w:tcPr>
            <w:tcW w:w="833" w:type="pct"/>
            <w:hideMark/>
          </w:tcPr>
          <w:p w14:paraId="02AB9E54" w14:textId="77777777" w:rsidR="00C76E75" w:rsidRDefault="00C76E75" w:rsidP="00924AD9">
            <w:pPr>
              <w:jc w:val="center"/>
              <w:rPr>
                <w:rFonts w:cs="Arial"/>
                <w:color w:val="000000" w:themeColor="text1"/>
                <w:szCs w:val="16"/>
              </w:rPr>
            </w:pPr>
            <w:r>
              <w:rPr>
                <w:rFonts w:cs="Arial"/>
                <w:color w:val="000000" w:themeColor="text1"/>
                <w:szCs w:val="16"/>
              </w:rPr>
              <w:t>100%</w:t>
            </w:r>
          </w:p>
        </w:tc>
        <w:tc>
          <w:tcPr>
            <w:tcW w:w="834" w:type="pct"/>
            <w:hideMark/>
          </w:tcPr>
          <w:p w14:paraId="0CE5A102" w14:textId="77777777" w:rsidR="00C76E75" w:rsidRDefault="00C76E75" w:rsidP="00924AD9">
            <w:pPr>
              <w:jc w:val="center"/>
              <w:rPr>
                <w:rFonts w:cs="Arial"/>
                <w:color w:val="000000" w:themeColor="text1"/>
                <w:szCs w:val="16"/>
              </w:rPr>
            </w:pPr>
            <w:r>
              <w:rPr>
                <w:rFonts w:cs="Arial"/>
                <w:color w:val="000000" w:themeColor="text1"/>
                <w:szCs w:val="16"/>
              </w:rPr>
              <w:t>100%</w:t>
            </w:r>
          </w:p>
        </w:tc>
      </w:tr>
      <w:tr w:rsidR="00C76E75" w14:paraId="15A97152" w14:textId="77777777" w:rsidTr="008C215C">
        <w:trPr>
          <w:trHeight w:val="85"/>
        </w:trPr>
        <w:tc>
          <w:tcPr>
            <w:tcW w:w="833" w:type="pct"/>
            <w:hideMark/>
          </w:tcPr>
          <w:p w14:paraId="26999E2B" w14:textId="77777777" w:rsidR="00C76E75" w:rsidRDefault="00C76E75" w:rsidP="00924AD9">
            <w:pPr>
              <w:jc w:val="center"/>
              <w:rPr>
                <w:rFonts w:cs="Arial"/>
                <w:color w:val="000000" w:themeColor="text1"/>
                <w:szCs w:val="16"/>
              </w:rPr>
            </w:pPr>
            <w:r>
              <w:rPr>
                <w:rFonts w:cs="Arial"/>
                <w:color w:val="000000" w:themeColor="text1"/>
                <w:szCs w:val="16"/>
              </w:rPr>
              <w:t>Data</w:t>
            </w:r>
          </w:p>
        </w:tc>
        <w:tc>
          <w:tcPr>
            <w:tcW w:w="833" w:type="pct"/>
            <w:hideMark/>
          </w:tcPr>
          <w:p w14:paraId="6E558F4A" w14:textId="77777777" w:rsidR="00C76E75" w:rsidRDefault="00C76E75" w:rsidP="00924AD9">
            <w:pPr>
              <w:jc w:val="center"/>
              <w:rPr>
                <w:rFonts w:cs="Arial"/>
                <w:color w:val="000000" w:themeColor="text1"/>
                <w:szCs w:val="16"/>
              </w:rPr>
            </w:pPr>
          </w:p>
        </w:tc>
        <w:tc>
          <w:tcPr>
            <w:tcW w:w="834" w:type="pct"/>
            <w:hideMark/>
          </w:tcPr>
          <w:p w14:paraId="63670883" w14:textId="77777777" w:rsidR="00C76E75" w:rsidRDefault="00C76E75" w:rsidP="00924AD9">
            <w:pPr>
              <w:jc w:val="center"/>
              <w:rPr>
                <w:rFonts w:cs="Arial"/>
                <w:color w:val="000000" w:themeColor="text1"/>
                <w:szCs w:val="16"/>
              </w:rPr>
            </w:pPr>
          </w:p>
        </w:tc>
        <w:tc>
          <w:tcPr>
            <w:tcW w:w="833" w:type="pct"/>
            <w:hideMark/>
          </w:tcPr>
          <w:p w14:paraId="02BE6289" w14:textId="77777777" w:rsidR="00C76E75" w:rsidRDefault="00C76E75" w:rsidP="00924AD9">
            <w:pPr>
              <w:jc w:val="center"/>
              <w:rPr>
                <w:rFonts w:cs="Arial"/>
                <w:color w:val="000000" w:themeColor="text1"/>
                <w:szCs w:val="16"/>
              </w:rPr>
            </w:pPr>
          </w:p>
        </w:tc>
        <w:tc>
          <w:tcPr>
            <w:tcW w:w="833" w:type="pct"/>
            <w:hideMark/>
          </w:tcPr>
          <w:p w14:paraId="5CD6C62F" w14:textId="77777777" w:rsidR="00C76E75" w:rsidRDefault="00C76E75" w:rsidP="00924AD9">
            <w:pPr>
              <w:jc w:val="center"/>
              <w:rPr>
                <w:rFonts w:cs="Arial"/>
                <w:color w:val="000000" w:themeColor="text1"/>
                <w:szCs w:val="16"/>
              </w:rPr>
            </w:pPr>
          </w:p>
        </w:tc>
        <w:tc>
          <w:tcPr>
            <w:tcW w:w="834" w:type="pct"/>
            <w:hideMark/>
          </w:tcPr>
          <w:p w14:paraId="367DDD8E" w14:textId="77777777" w:rsidR="00C76E75" w:rsidRDefault="00C76E75" w:rsidP="00924AD9">
            <w:pPr>
              <w:jc w:val="center"/>
              <w:rPr>
                <w:rFonts w:cs="Arial"/>
                <w:color w:val="000000" w:themeColor="text1"/>
                <w:szCs w:val="16"/>
              </w:rPr>
            </w:pPr>
            <w:r>
              <w:rPr>
                <w:rFonts w:cs="Arial"/>
                <w:color w:val="000000" w:themeColor="text1"/>
                <w:szCs w:val="16"/>
              </w:rPr>
              <w:t>98.21%</w:t>
            </w:r>
          </w:p>
        </w:tc>
      </w:tr>
    </w:tbl>
    <w:p w14:paraId="206D1D60" w14:textId="77777777" w:rsidR="00C76E75" w:rsidRPr="00CB52C7" w:rsidRDefault="00C76E75" w:rsidP="00B9250E">
      <w:pPr>
        <w:keepNext/>
        <w:spacing w:after="0"/>
        <w:rPr>
          <w:rFonts w:eastAsia="Calibri" w:cs="Arial"/>
          <w:b/>
          <w:szCs w:val="16"/>
        </w:rPr>
      </w:pPr>
    </w:p>
    <w:p w14:paraId="150CA366" w14:textId="77777777" w:rsidR="00B9250E" w:rsidRPr="00CB52C7" w:rsidRDefault="00B9250E" w:rsidP="001C2EC2">
      <w:pPr>
        <w:rPr>
          <w:rFonts w:eastAsia="Calibri" w:cs="Arial"/>
          <w:b/>
          <w:szCs w:val="16"/>
        </w:rPr>
      </w:pPr>
      <w:r w:rsidRPr="00CB52C7">
        <w:rPr>
          <w:rFonts w:eastAsia="Calibri" w:cs="Arial"/>
          <w:b/>
          <w:szCs w:val="16"/>
        </w:rPr>
        <w:t>Targets</w:t>
      </w:r>
    </w:p>
    <w:tbl>
      <w:tblPr>
        <w:tblStyle w:val="TableGrid1"/>
        <w:tblW w:w="2696" w:type="pct"/>
        <w:tblLook w:val="0020" w:firstRow="1" w:lastRow="0" w:firstColumn="0" w:lastColumn="0" w:noHBand="0" w:noVBand="0"/>
        <w:tblCaption w:val="B18TARGETS"/>
      </w:tblPr>
      <w:tblGrid>
        <w:gridCol w:w="706"/>
        <w:gridCol w:w="2468"/>
        <w:gridCol w:w="2644"/>
      </w:tblGrid>
      <w:tr w:rsidR="008B52D3" w:rsidRPr="00CB52C7" w14:paraId="51ED0B19" w14:textId="77777777" w:rsidTr="00924AD9">
        <w:trPr>
          <w:trHeight w:val="350"/>
        </w:trPr>
        <w:tc>
          <w:tcPr>
            <w:tcW w:w="607" w:type="pct"/>
          </w:tcPr>
          <w:p w14:paraId="20E54A63" w14:textId="77777777" w:rsidR="008B52D3" w:rsidRPr="00CB52C7" w:rsidRDefault="008B52D3" w:rsidP="00211C03">
            <w:pPr>
              <w:keepNext/>
              <w:jc w:val="center"/>
              <w:rPr>
                <w:rFonts w:eastAsia="Calibri" w:cs="Arial"/>
                <w:b/>
                <w:szCs w:val="16"/>
              </w:rPr>
            </w:pPr>
            <w:r w:rsidRPr="00CB52C7">
              <w:rPr>
                <w:rFonts w:eastAsia="Calibri" w:cs="Arial"/>
                <w:b/>
                <w:szCs w:val="16"/>
              </w:rPr>
              <w:t>FFY</w:t>
            </w:r>
          </w:p>
        </w:tc>
        <w:tc>
          <w:tcPr>
            <w:tcW w:w="2121" w:type="pct"/>
            <w:vAlign w:val="center"/>
          </w:tcPr>
          <w:p w14:paraId="176372A3" w14:textId="77777777" w:rsidR="008B52D3" w:rsidRPr="00CB52C7" w:rsidRDefault="008B52D3" w:rsidP="00211C03">
            <w:pPr>
              <w:keepNext/>
              <w:jc w:val="center"/>
              <w:rPr>
                <w:rFonts w:eastAsia="Calibri" w:cs="Arial"/>
                <w:b/>
                <w:bCs/>
                <w:szCs w:val="16"/>
              </w:rPr>
            </w:pPr>
            <w:r w:rsidRPr="00781112">
              <w:rPr>
                <w:b/>
                <w:color w:val="000000" w:themeColor="text1"/>
              </w:rPr>
              <w:t>2024</w:t>
            </w:r>
          </w:p>
        </w:tc>
        <w:tc>
          <w:tcPr>
            <w:tcW w:w="2273" w:type="pct"/>
          </w:tcPr>
          <w:p w14:paraId="5D31934E" w14:textId="77777777" w:rsidR="008B52D3" w:rsidRPr="00CB52C7" w:rsidDel="00654CAF" w:rsidRDefault="008B52D3" w:rsidP="00211C03">
            <w:pPr>
              <w:keepNext/>
              <w:jc w:val="center"/>
              <w:rPr>
                <w:rFonts w:eastAsia="Calibri" w:cs="Arial"/>
                <w:b/>
                <w:bCs/>
                <w:szCs w:val="16"/>
              </w:rPr>
            </w:pPr>
            <w:r w:rsidRPr="00781112">
              <w:rPr>
                <w:rFonts w:cs="Arial"/>
                <w:b/>
                <w:color w:val="000000" w:themeColor="text1"/>
                <w:szCs w:val="16"/>
              </w:rPr>
              <w:t>2025</w:t>
            </w:r>
          </w:p>
        </w:tc>
      </w:tr>
      <w:tr w:rsidR="008B52D3" w:rsidRPr="00CB52C7" w14:paraId="41516542" w14:textId="77777777" w:rsidTr="00924AD9">
        <w:trPr>
          <w:trHeight w:val="357"/>
        </w:trPr>
        <w:tc>
          <w:tcPr>
            <w:tcW w:w="607" w:type="pct"/>
          </w:tcPr>
          <w:p w14:paraId="0DCFB047" w14:textId="77777777" w:rsidR="008B52D3" w:rsidRPr="00C85110" w:rsidRDefault="008B52D3" w:rsidP="00AA0F28">
            <w:pPr>
              <w:rPr>
                <w:rFonts w:eastAsia="Calibri" w:cs="Arial"/>
                <w:b/>
                <w:bCs/>
                <w:szCs w:val="16"/>
              </w:rPr>
            </w:pPr>
            <w:r w:rsidRPr="00C85110">
              <w:rPr>
                <w:rFonts w:eastAsia="Calibri" w:cs="Arial"/>
                <w:b/>
                <w:bCs/>
                <w:szCs w:val="16"/>
              </w:rPr>
              <w:t>Target</w:t>
            </w:r>
          </w:p>
        </w:tc>
        <w:tc>
          <w:tcPr>
            <w:tcW w:w="2121" w:type="pct"/>
            <w:vAlign w:val="center"/>
          </w:tcPr>
          <w:p w14:paraId="73AA405F" w14:textId="77777777" w:rsidR="008B52D3" w:rsidRPr="00CB52C7" w:rsidRDefault="008B52D3" w:rsidP="00AA0F28">
            <w:pPr>
              <w:jc w:val="center"/>
              <w:rPr>
                <w:rFonts w:eastAsia="Calibri" w:cs="Arial"/>
                <w:caps/>
                <w:color w:val="548DD4"/>
                <w:szCs w:val="16"/>
              </w:rPr>
            </w:pPr>
            <w:r w:rsidRPr="00ED172B">
              <w:rPr>
                <w:color w:val="000000" w:themeColor="text1"/>
              </w:rPr>
              <w:t>100%</w:t>
            </w:r>
          </w:p>
        </w:tc>
        <w:tc>
          <w:tcPr>
            <w:tcW w:w="2273" w:type="pct"/>
          </w:tcPr>
          <w:p w14:paraId="65747FA2" w14:textId="77777777" w:rsidR="008B52D3" w:rsidRPr="00CB52C7" w:rsidRDefault="008B52D3" w:rsidP="00AA0F28">
            <w:pPr>
              <w:jc w:val="center"/>
              <w:rPr>
                <w:rFonts w:eastAsia="Calibri" w:cs="Arial"/>
                <w:caps/>
                <w:color w:val="548DD4"/>
                <w:szCs w:val="16"/>
              </w:rPr>
            </w:pPr>
            <w:r>
              <w:rPr>
                <w:rFonts w:cs="Arial"/>
                <w:color w:val="000000" w:themeColor="text1"/>
                <w:szCs w:val="16"/>
              </w:rPr>
              <w:t>100%</w:t>
            </w:r>
          </w:p>
        </w:tc>
      </w:tr>
    </w:tbl>
    <w:p w14:paraId="6AA67508" w14:textId="77777777" w:rsidR="00B9250E" w:rsidRPr="00CB52C7" w:rsidRDefault="00B9250E" w:rsidP="00B9250E">
      <w:pPr>
        <w:rPr>
          <w:rFonts w:eastAsia="Calibri" w:cs="Arial"/>
          <w:b/>
          <w:szCs w:val="16"/>
        </w:rPr>
      </w:pPr>
    </w:p>
    <w:p w14:paraId="0EE4AEDE" w14:textId="77777777" w:rsidR="00B9250E" w:rsidRPr="00CB52C7" w:rsidRDefault="00B9250E" w:rsidP="00C144F3">
      <w:pPr>
        <w:textAlignment w:val="baseline"/>
        <w:rPr>
          <w:rFonts w:eastAsia="Times New Roman" w:cs="Arial"/>
          <w:b/>
          <w:bCs/>
          <w:szCs w:val="16"/>
        </w:rPr>
      </w:pPr>
      <w:r w:rsidRPr="00CB52C7">
        <w:rPr>
          <w:rFonts w:eastAsia="Times New Roman" w:cs="Arial"/>
          <w:b/>
          <w:bCs/>
          <w:szCs w:val="16"/>
        </w:rPr>
        <w:t>Indicator 4B. Percent of LEAs that have: (a) a significant discrepancy, as defined by the State, by race or ethnicity, in the rate of suspensions and expulsions of greater than 10 days in a school year for children with IEPs; and (b) policies, procedures or practices that contribute to the significant discrepancy, as defined by the State, and do not comply with requirements relating to the development and implementation of IEPs, the use of positive behavioral interventions and supports, and procedural safeguards. (20 U.S.C. 1416(a)(3)(A); 1412(a)(22))</w:t>
      </w:r>
    </w:p>
    <w:p w14:paraId="761530E5" w14:textId="77777777" w:rsidR="00B9250E" w:rsidRPr="00CB52C7" w:rsidRDefault="00B9250E" w:rsidP="00C144F3">
      <w:pPr>
        <w:jc w:val="both"/>
        <w:textAlignment w:val="baseline"/>
        <w:rPr>
          <w:rFonts w:eastAsia="Calibri" w:cs="Arial"/>
          <w:b/>
          <w:szCs w:val="16"/>
        </w:rPr>
      </w:pPr>
      <w:bookmarkStart w:id="99" w:name="_Hlk175325033"/>
      <w:r w:rsidRPr="00CB52C7">
        <w:rPr>
          <w:rFonts w:eastAsia="Times New Roman" w:cs="Arial"/>
          <w:b/>
          <w:bCs/>
          <w:szCs w:val="16"/>
        </w:rPr>
        <w:t>Findings of Noncompliance Identified in FFY 2023</w:t>
      </w:r>
    </w:p>
    <w:tbl>
      <w:tblPr>
        <w:tblStyle w:val="TableGrid"/>
        <w:tblW w:w="0" w:type="auto"/>
        <w:tblLook w:val="04A0" w:firstRow="1" w:lastRow="0" w:firstColumn="1" w:lastColumn="0" w:noHBand="0" w:noVBand="1"/>
        <w:tblCaption w:val="B18FINDINGSOFNONCOMPLIANCEIND4B"/>
      </w:tblPr>
      <w:tblGrid>
        <w:gridCol w:w="1815"/>
        <w:gridCol w:w="2440"/>
        <w:gridCol w:w="2233"/>
        <w:gridCol w:w="2233"/>
        <w:gridCol w:w="2069"/>
      </w:tblGrid>
      <w:tr w:rsidR="000439AF" w:rsidRPr="00CB52C7" w14:paraId="309F2675" w14:textId="77777777" w:rsidTr="00C144F3">
        <w:trPr>
          <w:trHeight w:val="360"/>
          <w:tblHeader/>
        </w:trPr>
        <w:tc>
          <w:tcPr>
            <w:tcW w:w="0" w:type="auto"/>
          </w:tcPr>
          <w:bookmarkEnd w:id="99"/>
          <w:p w14:paraId="2601AE84" w14:textId="77777777" w:rsidR="00F8304E" w:rsidRPr="00CB52C7" w:rsidRDefault="00F8304E" w:rsidP="00F8304E">
            <w:pPr>
              <w:jc w:val="center"/>
              <w:textAlignment w:val="baseline"/>
              <w:rPr>
                <w:rFonts w:eastAsia="Calibri" w:cs="Arial"/>
                <w:b/>
                <w:szCs w:val="16"/>
              </w:rPr>
            </w:pPr>
            <w:r w:rsidRPr="007D0769">
              <w:rPr>
                <w:rFonts w:eastAsia="Times New Roman" w:cs="Arial"/>
                <w:b/>
                <w:bCs/>
                <w:szCs w:val="16"/>
              </w:rPr>
              <w:lastRenderedPageBreak/>
              <w:t>Column A:</w:t>
            </w:r>
            <w:r w:rsidRPr="007D0769">
              <w:rPr>
                <w:rFonts w:eastAsia="Times New Roman" w:cs="Arial"/>
                <w:szCs w:val="16"/>
              </w:rPr>
              <w:t> </w:t>
            </w:r>
            <w:r w:rsidRPr="007D0769">
              <w:rPr>
                <w:rFonts w:eastAsia="Times New Roman" w:cs="Arial"/>
                <w:b/>
                <w:bCs/>
                <w:szCs w:val="16"/>
              </w:rPr>
              <w:t xml:space="preserve"># of written findings of noncompliance identified in FFY </w:t>
            </w:r>
            <w:r w:rsidR="0039210B">
              <w:rPr>
                <w:rFonts w:eastAsia="Times New Roman" w:cs="Arial"/>
                <w:b/>
                <w:bCs/>
                <w:szCs w:val="16"/>
              </w:rPr>
              <w:t>2023</w:t>
            </w:r>
            <w:r w:rsidRPr="007D0769">
              <w:rPr>
                <w:rFonts w:eastAsia="Times New Roman" w:cs="Arial"/>
                <w:b/>
                <w:bCs/>
                <w:szCs w:val="16"/>
              </w:rPr>
              <w:t xml:space="preserve"> (</w:t>
            </w:r>
            <w:r w:rsidR="0039210B">
              <w:rPr>
                <w:rFonts w:eastAsia="Times New Roman" w:cs="Arial"/>
                <w:b/>
                <w:bCs/>
                <w:szCs w:val="16"/>
              </w:rPr>
              <w:t>7/1/23</w:t>
            </w:r>
            <w:r w:rsidRPr="007D0769">
              <w:rPr>
                <w:rFonts w:eastAsia="Times New Roman" w:cs="Arial"/>
                <w:b/>
                <w:bCs/>
                <w:szCs w:val="16"/>
              </w:rPr>
              <w:t xml:space="preserve"> </w:t>
            </w:r>
            <w:r w:rsidRPr="007D0769">
              <w:rPr>
                <w:rFonts w:eastAsia="Times New Roman" w:cs="Arial"/>
                <w:szCs w:val="16"/>
              </w:rPr>
              <w:t>–</w:t>
            </w:r>
            <w:r w:rsidRPr="007D0769">
              <w:rPr>
                <w:rFonts w:eastAsia="Times New Roman" w:cs="Arial"/>
                <w:b/>
                <w:bCs/>
                <w:szCs w:val="16"/>
              </w:rPr>
              <w:t xml:space="preserve"> </w:t>
            </w:r>
            <w:r w:rsidR="0039210B">
              <w:rPr>
                <w:rFonts w:eastAsia="Times New Roman" w:cs="Arial"/>
                <w:b/>
                <w:bCs/>
                <w:szCs w:val="16"/>
              </w:rPr>
              <w:t>6/30/24</w:t>
            </w:r>
            <w:r w:rsidRPr="007D0769">
              <w:rPr>
                <w:rFonts w:eastAsia="Times New Roman" w:cs="Arial"/>
                <w:b/>
                <w:bCs/>
                <w:szCs w:val="16"/>
              </w:rPr>
              <w:t>)</w:t>
            </w:r>
          </w:p>
        </w:tc>
        <w:tc>
          <w:tcPr>
            <w:tcW w:w="0" w:type="auto"/>
          </w:tcPr>
          <w:p w14:paraId="2990B208" w14:textId="77777777" w:rsidR="00F8304E" w:rsidRPr="00CB52C7" w:rsidRDefault="00F8304E" w:rsidP="00F8304E">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2023 not reported in Column A (e.g., those issued based on other IDEA requirements), if applicable</w:t>
            </w:r>
          </w:p>
        </w:tc>
        <w:tc>
          <w:tcPr>
            <w:tcW w:w="0" w:type="auto"/>
          </w:tcPr>
          <w:p w14:paraId="2F0A9999" w14:textId="77777777"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0" w:type="auto"/>
          </w:tcPr>
          <w:p w14:paraId="44B3615E" w14:textId="77777777"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0" w:type="auto"/>
          </w:tcPr>
          <w:p w14:paraId="30AB245F" w14:textId="77777777" w:rsidR="00F8304E" w:rsidRPr="00CB52C7" w:rsidRDefault="00F8304E" w:rsidP="00E8722F">
            <w:pPr>
              <w:jc w:val="center"/>
              <w:textAlignment w:val="baseline"/>
              <w:rPr>
                <w:rFonts w:eastAsia="Calibri" w:cs="Arial"/>
                <w:b/>
                <w:szCs w:val="16"/>
              </w:rPr>
            </w:pPr>
            <w:r w:rsidRPr="000370DE">
              <w:rPr>
                <w:rFonts w:eastAsia="Times New Roman" w:cs="Arial"/>
                <w:b/>
                <w:bCs/>
                <w:szCs w:val="16"/>
              </w:rPr>
              <w:t>Column D: # of written findings of noncompliance from Columns A and B for which correction was not completed or timely corrected</w:t>
            </w:r>
          </w:p>
        </w:tc>
      </w:tr>
      <w:tr w:rsidR="000439AF" w:rsidRPr="00C85110" w14:paraId="76524326" w14:textId="77777777" w:rsidTr="00C144F3">
        <w:trPr>
          <w:trHeight w:val="360"/>
          <w:tblHeader/>
        </w:trPr>
        <w:tc>
          <w:tcPr>
            <w:tcW w:w="0" w:type="auto"/>
          </w:tcPr>
          <w:p w14:paraId="64931717" w14:textId="77777777" w:rsidR="00AA0F28" w:rsidRPr="00CB52C7" w:rsidRDefault="00AA0F28" w:rsidP="00AA0F28">
            <w:pPr>
              <w:jc w:val="center"/>
              <w:textAlignment w:val="baseline"/>
              <w:rPr>
                <w:rFonts w:eastAsia="Times New Roman" w:cs="Arial"/>
                <w:b/>
                <w:bCs/>
                <w:szCs w:val="16"/>
              </w:rPr>
            </w:pPr>
            <w:r w:rsidRPr="00ED172B">
              <w:rPr>
                <w:rFonts w:cs="Arial"/>
                <w:color w:val="000000" w:themeColor="text1"/>
                <w:szCs w:val="16"/>
              </w:rPr>
              <w:t>6</w:t>
            </w:r>
          </w:p>
        </w:tc>
        <w:tc>
          <w:tcPr>
            <w:tcW w:w="0" w:type="auto"/>
          </w:tcPr>
          <w:p w14:paraId="79E9BD38" w14:textId="77777777" w:rsidR="00AA0F28" w:rsidRPr="00CB52C7" w:rsidRDefault="00AA0F28" w:rsidP="00AA0F28">
            <w:pPr>
              <w:ind w:left="45" w:right="77"/>
              <w:jc w:val="center"/>
              <w:textAlignment w:val="baseline"/>
              <w:rPr>
                <w:rFonts w:eastAsia="Times New Roman" w:cs="Arial"/>
                <w:b/>
                <w:bCs/>
                <w:szCs w:val="16"/>
              </w:rPr>
            </w:pPr>
            <w:r>
              <w:rPr>
                <w:rFonts w:eastAsia="Times New Roman" w:cs="Arial"/>
                <w:szCs w:val="16"/>
              </w:rPr>
              <w:t>0</w:t>
            </w:r>
          </w:p>
        </w:tc>
        <w:tc>
          <w:tcPr>
            <w:tcW w:w="0" w:type="auto"/>
          </w:tcPr>
          <w:p w14:paraId="170D14D1" w14:textId="77777777" w:rsidR="00AA0F28" w:rsidRPr="00CB52C7" w:rsidRDefault="00AA0F28" w:rsidP="00AA0F28">
            <w:pPr>
              <w:jc w:val="center"/>
              <w:textAlignment w:val="baseline"/>
              <w:rPr>
                <w:rFonts w:eastAsia="Times New Roman" w:cs="Arial"/>
                <w:b/>
                <w:bCs/>
                <w:szCs w:val="16"/>
              </w:rPr>
            </w:pPr>
            <w:r w:rsidRPr="00ED172B">
              <w:rPr>
                <w:rFonts w:cs="Arial"/>
                <w:color w:val="000000" w:themeColor="text1"/>
                <w:szCs w:val="16"/>
              </w:rPr>
              <w:t>4</w:t>
            </w:r>
          </w:p>
        </w:tc>
        <w:tc>
          <w:tcPr>
            <w:tcW w:w="0" w:type="auto"/>
          </w:tcPr>
          <w:p w14:paraId="6BE458FC" w14:textId="77777777" w:rsidR="00AA0F28" w:rsidRPr="00CB52C7" w:rsidRDefault="00AA0F28" w:rsidP="00AA0F28">
            <w:pPr>
              <w:jc w:val="center"/>
              <w:textAlignment w:val="baseline"/>
              <w:rPr>
                <w:rFonts w:eastAsia="Times New Roman" w:cs="Arial"/>
                <w:b/>
                <w:bCs/>
                <w:szCs w:val="16"/>
              </w:rPr>
            </w:pPr>
            <w:r>
              <w:rPr>
                <w:rFonts w:eastAsia="Times New Roman" w:cs="Arial"/>
                <w:szCs w:val="16"/>
              </w:rPr>
              <w:t>0</w:t>
            </w:r>
          </w:p>
        </w:tc>
        <w:tc>
          <w:tcPr>
            <w:tcW w:w="0" w:type="auto"/>
          </w:tcPr>
          <w:p w14:paraId="3236AB31" w14:textId="77777777" w:rsidR="00AA0F28" w:rsidRPr="00A964C2" w:rsidRDefault="00AA0F28" w:rsidP="00AA0F28">
            <w:pPr>
              <w:jc w:val="center"/>
              <w:textAlignment w:val="baseline"/>
              <w:rPr>
                <w:rFonts w:eastAsia="Times New Roman" w:cs="Arial"/>
                <w:b/>
                <w:bCs/>
                <w:szCs w:val="16"/>
              </w:rPr>
            </w:pPr>
            <w:r w:rsidRPr="00A964C2">
              <w:rPr>
                <w:rFonts w:eastAsia="Times New Roman" w:cs="Arial"/>
                <w:szCs w:val="16"/>
              </w:rPr>
              <w:t>2</w:t>
            </w:r>
          </w:p>
        </w:tc>
      </w:tr>
    </w:tbl>
    <w:p w14:paraId="4CE70C87" w14:textId="77777777" w:rsidR="0079169F" w:rsidRDefault="0079169F" w:rsidP="001C2EC2">
      <w:pPr>
        <w:keepNext/>
        <w:rPr>
          <w:rFonts w:eastAsia="Times New Roman" w:cs="Arial"/>
          <w:b/>
          <w:szCs w:val="16"/>
        </w:rPr>
      </w:pPr>
    </w:p>
    <w:p w14:paraId="56D87D78" w14:textId="77777777" w:rsidR="00A9475A" w:rsidRDefault="00BB5149" w:rsidP="00C144F3">
      <w:pPr>
        <w:keepNext/>
        <w:rPr>
          <w:rFonts w:eastAsia="Times New Roman" w:cs="Arial"/>
          <w:b/>
          <w:szCs w:val="16"/>
        </w:rPr>
      </w:pPr>
      <w:r w:rsidRPr="00C9662C">
        <w:rPr>
          <w:rFonts w:eastAsia="Times New Roman" w:cs="Arial"/>
          <w:b/>
          <w:szCs w:val="16"/>
        </w:rPr>
        <w:t>Please explain the source (e.g., State monitoring, State database/data system, dispute resolution, fiscal, related requirements, etc.) of any additional findings reported in Column B.</w:t>
      </w:r>
    </w:p>
    <w:p w14:paraId="4A524A0C" w14:textId="77777777" w:rsidR="00A9475A" w:rsidRPr="00C144F3" w:rsidRDefault="000439AF" w:rsidP="00C144F3">
      <w:pPr>
        <w:keepNext/>
        <w:rPr>
          <w:rFonts w:eastAsia="Times New Roman" w:cs="Arial"/>
          <w:bCs/>
          <w:szCs w:val="16"/>
        </w:rPr>
      </w:pPr>
      <w:r>
        <w:rPr>
          <w:rFonts w:eastAsia="Times New Roman" w:cs="Arial"/>
          <w:bCs/>
          <w:szCs w:val="16"/>
        </w:rPr>
        <w:t>There are no differences in the number of findings reported in this data table and those reported in Indicator 4B.</w:t>
      </w:r>
    </w:p>
    <w:p w14:paraId="51EF85F3" w14:textId="77777777" w:rsidR="00B9250E" w:rsidRPr="00CB52C7" w:rsidRDefault="00B9250E" w:rsidP="00C144F3">
      <w:pPr>
        <w:keepNext/>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CB52C7">
        <w:rPr>
          <w:rFonts w:eastAsia="Times New Roman" w:cs="Arial"/>
          <w:b/>
          <w:i/>
          <w:iCs/>
          <w:szCs w:val="16"/>
        </w:rPr>
        <w:t xml:space="preserve"> </w:t>
      </w:r>
      <w:r w:rsidRPr="00CB52C7">
        <w:rPr>
          <w:rFonts w:eastAsia="Times New Roman" w:cs="Arial"/>
          <w:b/>
          <w:szCs w:val="16"/>
        </w:rPr>
        <w:t xml:space="preserve">based on </w:t>
      </w:r>
      <w:r w:rsidRPr="00CB52C7">
        <w:rPr>
          <w:rFonts w:eastAsia="Times New Roman" w:cs="Arial"/>
          <w:b/>
          <w:i/>
          <w:iCs/>
          <w:szCs w:val="16"/>
        </w:rPr>
        <w:t>updated data</w:t>
      </w:r>
      <w:r w:rsidRPr="00CB52C7">
        <w:rPr>
          <w:rFonts w:eastAsia="Times New Roman" w:cs="Arial"/>
          <w:b/>
          <w:szCs w:val="16"/>
        </w:rPr>
        <w:t>:</w:t>
      </w:r>
    </w:p>
    <w:p w14:paraId="6CF2A214" w14:textId="77777777" w:rsidR="00B9250E" w:rsidRDefault="00B9250E" w:rsidP="00C144F3">
      <w:pPr>
        <w:spacing w:line="276" w:lineRule="auto"/>
        <w:rPr>
          <w:color w:val="000000" w:themeColor="text1"/>
        </w:rPr>
      </w:pPr>
      <w:r>
        <w:rPr>
          <w:color w:val="000000" w:themeColor="text1"/>
        </w:rPr>
        <w:t>Correct implementation of the specific regulatory requirements was verified through a review of updated data for the six (6) LEAs identified as having policies, procedures, or practices that contributed to a significant discrepancy in the rate of suspensions and expulsions of greater than 10 days in a school year for students with disabilities in FFY 2023. Additional student records for each race/ethnicity category identified with a significant discrepancy were reviewed by WVDE/OSE to verify correct implementation of the regulatory requirements for each issue identified in the initial reviews. Ongoing feedback and technical assistance were provided by WVDE/OSE after each subsequent review. Upon completion of all subsequent reviews, WVDE/OSE verified that all six (6) LEAs were correctly implementing state and federal regulatory requirements consistent with OSEP QA 23-01.</w:t>
      </w:r>
    </w:p>
    <w:p w14:paraId="3340BB33" w14:textId="77777777" w:rsidR="00CA787A" w:rsidRDefault="00CA787A"/>
    <w:p w14:paraId="555A5696" w14:textId="77777777" w:rsidR="00CA787A" w:rsidRDefault="00CA787A"/>
    <w:p w14:paraId="05B8A824" w14:textId="77777777" w:rsidR="00CA787A" w:rsidRDefault="003169E9">
      <w:r>
        <w:rPr>
          <w:color w:val="000000"/>
        </w:rPr>
        <w:t>Four (4) LEAs achieved 100% compliance within one year of identification. For the two (2) LEAs that did not demonstrate 100% compliance within the one-year correction window, WVDE/OSE provided continued technical assistance and conducted additional reviews of updated data. Upon completion of those additional reviews, WVDE/OSE verified that these two (2) LEAs had also achieved 100% compliance with the specific regulatory requirements. WVDE/OSE issued written notification to each of the six (6) LEAs confirming that the findings of noncompliance had been corrected.</w:t>
      </w:r>
    </w:p>
    <w:p w14:paraId="181712EB" w14:textId="77777777" w:rsidR="00B9250E" w:rsidRPr="00CB52C7" w:rsidRDefault="00B9250E" w:rsidP="00C144F3">
      <w:pPr>
        <w:keepNext/>
        <w:rPr>
          <w:rFonts w:eastAsia="Calibri" w:cs="Arial"/>
          <w:szCs w:val="16"/>
        </w:rPr>
      </w:pPr>
      <w:r>
        <w:rPr>
          <w:rFonts w:eastAsia="Times New Roman" w:cs="Arial"/>
          <w:b/>
          <w:szCs w:val="16"/>
        </w:rPr>
        <w:t xml:space="preserve">Please describe, consistent with OSEP QA 23-01, how the State verified that each </w:t>
      </w:r>
      <w:r w:rsidRPr="00CB52C7">
        <w:rPr>
          <w:rFonts w:eastAsia="Times New Roman" w:cs="Arial"/>
          <w:b/>
          <w:i/>
          <w:iCs/>
          <w:szCs w:val="16"/>
        </w:rPr>
        <w:t>individual case</w:t>
      </w:r>
      <w:r w:rsidRPr="00CB52C7">
        <w:rPr>
          <w:rFonts w:eastAsia="Times New Roman" w:cs="Arial"/>
          <w:b/>
          <w:szCs w:val="16"/>
        </w:rPr>
        <w:t xml:space="preserve"> of noncompliance was corrected:</w:t>
      </w:r>
    </w:p>
    <w:p w14:paraId="483D90CB" w14:textId="77777777" w:rsidR="00B9250E" w:rsidRDefault="00B9250E" w:rsidP="00C144F3">
      <w:pPr>
        <w:spacing w:line="276" w:lineRule="auto"/>
        <w:rPr>
          <w:color w:val="000000" w:themeColor="text1"/>
        </w:rPr>
      </w:pPr>
      <w:r>
        <w:rPr>
          <w:color w:val="000000" w:themeColor="text1"/>
        </w:rPr>
        <w:t>WVDE/OSE verified correction of each of the twenty (20) individual cases initially identified as noncompliant in FFY 2023 across each of the six (6) LEAs through a review of updated data obtained from WVEIS, documentation submitted by LEAs, or on-site monitoring, consistent with OSEP QA 23-01. Specifically, WVDE/OSE verified correction by confirming that: (a) the student was no longer being suspended or expelled for more than 10 days in a school year; (b) the LEA completed individual corrections to previously noncompliant procedures and practices, as verified through updated data; or (c) where suspensions or expulsions subsequently exceeded 10 days, updated data confirmed that the LEA was correctly implementing the relevant regulatory requirements for that student. Where a student was no longer within the jurisdiction of the LEA, WVDE/OSE documented that individual correction was not required, consistent with OSEP QA 23-01.</w:t>
      </w:r>
    </w:p>
    <w:p w14:paraId="7CE8AA43" w14:textId="77777777" w:rsidR="001C2EC2" w:rsidRDefault="001C2EC2" w:rsidP="00B9250E">
      <w:pPr>
        <w:spacing w:after="0"/>
        <w:textAlignment w:val="baseline"/>
        <w:rPr>
          <w:rFonts w:eastAsia="Times New Roman" w:cs="Arial"/>
          <w:b/>
          <w:bCs/>
          <w:szCs w:val="16"/>
        </w:rPr>
      </w:pPr>
    </w:p>
    <w:p w14:paraId="04D8C979" w14:textId="77777777" w:rsidR="00B9250E" w:rsidRPr="00CB52C7" w:rsidRDefault="00B9250E" w:rsidP="00C144F3">
      <w:pPr>
        <w:textAlignment w:val="baseline"/>
        <w:rPr>
          <w:rFonts w:eastAsia="Times New Roman" w:cs="Arial"/>
          <w:b/>
          <w:bCs/>
          <w:szCs w:val="16"/>
        </w:rPr>
      </w:pPr>
      <w:r w:rsidRPr="00CB52C7">
        <w:rPr>
          <w:rFonts w:eastAsia="Times New Roman" w:cs="Arial"/>
          <w:b/>
          <w:bCs/>
          <w:szCs w:val="16"/>
        </w:rPr>
        <w:t>Indicator 9. Percent of districts with disproportionate representation of racial and ethnic groups in special education and related services that is the result of inappropriate identification. (20 U.S.C. 1416(a)(3)(C))</w:t>
      </w:r>
    </w:p>
    <w:p w14:paraId="0BB5E7A0" w14:textId="77777777" w:rsidR="00B9250E" w:rsidRPr="00CB52C7" w:rsidRDefault="00B9250E" w:rsidP="00C144F3">
      <w:pPr>
        <w:textAlignment w:val="baseline"/>
        <w:rPr>
          <w:rFonts w:eastAsia="Times New Roman" w:cs="Arial"/>
          <w:szCs w:val="16"/>
        </w:rPr>
      </w:pPr>
      <w:r w:rsidRPr="00CB52C7">
        <w:rPr>
          <w:rFonts w:eastAsia="Times New Roman" w:cs="Arial"/>
          <w:b/>
          <w:bCs/>
          <w:szCs w:val="16"/>
        </w:rPr>
        <w:t>Findings of Noncompliance Identified in FFY 2023</w:t>
      </w:r>
    </w:p>
    <w:tbl>
      <w:tblPr>
        <w:tblStyle w:val="TableGrid"/>
        <w:tblW w:w="0" w:type="auto"/>
        <w:tblLayout w:type="fixed"/>
        <w:tblLook w:val="04A0" w:firstRow="1" w:lastRow="0" w:firstColumn="1" w:lastColumn="0" w:noHBand="0" w:noVBand="1"/>
        <w:tblCaption w:val="B18FINDINGSOFNONCOMPLIANCEIND9"/>
      </w:tblPr>
      <w:tblGrid>
        <w:gridCol w:w="2158"/>
        <w:gridCol w:w="2158"/>
        <w:gridCol w:w="2158"/>
        <w:gridCol w:w="2158"/>
        <w:gridCol w:w="2158"/>
      </w:tblGrid>
      <w:tr w:rsidR="00F8304E" w:rsidRPr="00CB52C7" w14:paraId="1FFEA846" w14:textId="77777777" w:rsidTr="00C144F3">
        <w:trPr>
          <w:trHeight w:val="360"/>
        </w:trPr>
        <w:tc>
          <w:tcPr>
            <w:tcW w:w="2158" w:type="dxa"/>
          </w:tcPr>
          <w:p w14:paraId="5C838F3C" w14:textId="77777777"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w:t>
            </w:r>
            <w:r w:rsidR="0039210B">
              <w:rPr>
                <w:rFonts w:eastAsia="Times New Roman" w:cs="Arial"/>
                <w:b/>
                <w:bCs/>
                <w:szCs w:val="16"/>
              </w:rPr>
              <w:t>2023</w:t>
            </w:r>
            <w:r w:rsidRPr="007D0769">
              <w:rPr>
                <w:rFonts w:eastAsia="Times New Roman" w:cs="Arial"/>
                <w:b/>
                <w:bCs/>
                <w:szCs w:val="16"/>
              </w:rPr>
              <w:t xml:space="preserve"> (</w:t>
            </w:r>
            <w:r w:rsidR="0039210B">
              <w:rPr>
                <w:rFonts w:eastAsia="Times New Roman" w:cs="Arial"/>
                <w:b/>
                <w:bCs/>
                <w:szCs w:val="16"/>
              </w:rPr>
              <w:t>7/1/23</w:t>
            </w:r>
            <w:r w:rsidRPr="007D0769">
              <w:rPr>
                <w:rFonts w:eastAsia="Times New Roman" w:cs="Arial"/>
                <w:b/>
                <w:bCs/>
                <w:szCs w:val="16"/>
              </w:rPr>
              <w:t xml:space="preserve"> </w:t>
            </w:r>
            <w:r w:rsidRPr="007D0769">
              <w:rPr>
                <w:rFonts w:eastAsia="Times New Roman" w:cs="Arial"/>
                <w:szCs w:val="16"/>
              </w:rPr>
              <w:t>–</w:t>
            </w:r>
            <w:r w:rsidRPr="007D0769">
              <w:rPr>
                <w:rFonts w:eastAsia="Times New Roman" w:cs="Arial"/>
                <w:b/>
                <w:bCs/>
                <w:szCs w:val="16"/>
              </w:rPr>
              <w:t xml:space="preserve"> </w:t>
            </w:r>
            <w:r w:rsidR="0039210B">
              <w:rPr>
                <w:rFonts w:eastAsia="Times New Roman" w:cs="Arial"/>
                <w:b/>
                <w:bCs/>
                <w:szCs w:val="16"/>
              </w:rPr>
              <w:t>6/30/24</w:t>
            </w:r>
            <w:r w:rsidRPr="007D0769">
              <w:rPr>
                <w:rFonts w:eastAsia="Times New Roman" w:cs="Arial"/>
                <w:b/>
                <w:bCs/>
                <w:szCs w:val="16"/>
              </w:rPr>
              <w:t>)</w:t>
            </w:r>
          </w:p>
        </w:tc>
        <w:tc>
          <w:tcPr>
            <w:tcW w:w="2158" w:type="dxa"/>
          </w:tcPr>
          <w:p w14:paraId="3E1ACDC9" w14:textId="77777777" w:rsidR="00F8304E" w:rsidRPr="00CB52C7" w:rsidRDefault="00F8304E" w:rsidP="00F8304E">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2023 not reported in Column A (e.g., those issued based on other IDEA requirements), if applicable</w:t>
            </w:r>
          </w:p>
        </w:tc>
        <w:tc>
          <w:tcPr>
            <w:tcW w:w="2158" w:type="dxa"/>
          </w:tcPr>
          <w:p w14:paraId="25555B75" w14:textId="77777777"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56A25D43" w14:textId="77777777"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2DE0B14D" w14:textId="77777777" w:rsidR="00F8304E" w:rsidRPr="00CB52C7" w:rsidRDefault="00F8304E" w:rsidP="00963D63">
            <w:pPr>
              <w:jc w:val="center"/>
              <w:textAlignment w:val="baseline"/>
              <w:rPr>
                <w:rFonts w:eastAsia="Calibri" w:cs="Arial"/>
                <w:b/>
                <w:szCs w:val="16"/>
              </w:rPr>
            </w:pPr>
            <w:r w:rsidRPr="000370DE">
              <w:rPr>
                <w:rFonts w:eastAsia="Times New Roman" w:cs="Arial"/>
                <w:b/>
                <w:bCs/>
                <w:szCs w:val="16"/>
              </w:rPr>
              <w:t>Column D: # of written findings of noncompliance from Columns A and B for which correction was not completed or timely corrected</w:t>
            </w:r>
          </w:p>
        </w:tc>
      </w:tr>
      <w:tr w:rsidR="009C75E8" w:rsidRPr="00C85110" w14:paraId="08309AD3" w14:textId="77777777" w:rsidTr="00C144F3">
        <w:trPr>
          <w:trHeight w:val="360"/>
        </w:trPr>
        <w:tc>
          <w:tcPr>
            <w:tcW w:w="2158" w:type="dxa"/>
          </w:tcPr>
          <w:p w14:paraId="078A3BFB" w14:textId="77777777" w:rsidR="00AA0F28" w:rsidRPr="00CB52C7" w:rsidRDefault="005069CB" w:rsidP="00AA0F28">
            <w:pPr>
              <w:jc w:val="center"/>
              <w:textAlignment w:val="baseline"/>
              <w:rPr>
                <w:rFonts w:eastAsia="Times New Roman" w:cs="Arial"/>
                <w:b/>
                <w:bCs/>
                <w:szCs w:val="16"/>
              </w:rPr>
            </w:pPr>
            <w:r w:rsidRPr="00781112">
              <w:rPr>
                <w:rFonts w:cs="Arial"/>
                <w:color w:val="000000" w:themeColor="text1"/>
                <w:szCs w:val="16"/>
              </w:rPr>
              <w:t>0</w:t>
            </w:r>
          </w:p>
        </w:tc>
        <w:tc>
          <w:tcPr>
            <w:tcW w:w="2158" w:type="dxa"/>
          </w:tcPr>
          <w:p w14:paraId="5D2BC8A6" w14:textId="77777777" w:rsidR="00AA0F28" w:rsidRPr="00CB52C7" w:rsidRDefault="00AA0F28" w:rsidP="00AA0F28">
            <w:pPr>
              <w:ind w:left="45" w:right="77"/>
              <w:jc w:val="center"/>
              <w:textAlignment w:val="baseline"/>
              <w:rPr>
                <w:rFonts w:eastAsia="Times New Roman" w:cs="Arial"/>
                <w:b/>
                <w:bCs/>
                <w:szCs w:val="16"/>
              </w:rPr>
            </w:pPr>
            <w:r>
              <w:rPr>
                <w:rFonts w:eastAsia="Times New Roman" w:cs="Arial"/>
                <w:szCs w:val="16"/>
              </w:rPr>
              <w:t>0</w:t>
            </w:r>
          </w:p>
        </w:tc>
        <w:tc>
          <w:tcPr>
            <w:tcW w:w="2158" w:type="dxa"/>
          </w:tcPr>
          <w:p w14:paraId="73BD788B" w14:textId="77777777" w:rsidR="00AA0F28" w:rsidRPr="00CB52C7" w:rsidRDefault="005069CB" w:rsidP="00AA0F28">
            <w:pPr>
              <w:jc w:val="center"/>
              <w:textAlignment w:val="baseline"/>
              <w:rPr>
                <w:rFonts w:eastAsia="Times New Roman" w:cs="Arial"/>
                <w:b/>
                <w:bCs/>
                <w:szCs w:val="16"/>
              </w:rPr>
            </w:pPr>
            <w:r w:rsidRPr="00781112">
              <w:rPr>
                <w:rFonts w:cs="Arial"/>
                <w:color w:val="000000" w:themeColor="text1"/>
                <w:szCs w:val="16"/>
              </w:rPr>
              <w:t>0</w:t>
            </w:r>
          </w:p>
        </w:tc>
        <w:tc>
          <w:tcPr>
            <w:tcW w:w="2158" w:type="dxa"/>
          </w:tcPr>
          <w:p w14:paraId="46C67072" w14:textId="77777777" w:rsidR="00AA0F28" w:rsidRPr="00CB52C7" w:rsidRDefault="00AA0F28" w:rsidP="00AA0F28">
            <w:pPr>
              <w:jc w:val="center"/>
              <w:textAlignment w:val="baseline"/>
              <w:rPr>
                <w:rFonts w:eastAsia="Times New Roman" w:cs="Arial"/>
                <w:b/>
                <w:bCs/>
                <w:szCs w:val="16"/>
              </w:rPr>
            </w:pPr>
            <w:r>
              <w:rPr>
                <w:rFonts w:eastAsia="Times New Roman" w:cs="Arial"/>
                <w:szCs w:val="16"/>
              </w:rPr>
              <w:t>0</w:t>
            </w:r>
          </w:p>
        </w:tc>
        <w:tc>
          <w:tcPr>
            <w:tcW w:w="2158" w:type="dxa"/>
          </w:tcPr>
          <w:p w14:paraId="45D49A4F" w14:textId="77777777" w:rsidR="00AA0F28" w:rsidRPr="00A964C2" w:rsidRDefault="00AA0F28" w:rsidP="00AA0F28">
            <w:pPr>
              <w:jc w:val="center"/>
              <w:textAlignment w:val="baseline"/>
              <w:rPr>
                <w:rFonts w:eastAsia="Times New Roman" w:cs="Arial"/>
                <w:b/>
                <w:bCs/>
                <w:szCs w:val="16"/>
              </w:rPr>
            </w:pPr>
            <w:r w:rsidRPr="00755D89">
              <w:rPr>
                <w:rFonts w:eastAsia="Times New Roman" w:cs="Arial"/>
                <w:szCs w:val="16"/>
              </w:rPr>
              <w:t>0</w:t>
            </w:r>
          </w:p>
        </w:tc>
      </w:tr>
    </w:tbl>
    <w:p w14:paraId="4BB04720" w14:textId="77777777" w:rsidR="00C9712C" w:rsidRDefault="00C9712C" w:rsidP="001C2EC2">
      <w:pPr>
        <w:keepNext/>
        <w:rPr>
          <w:rFonts w:eastAsia="Times New Roman" w:cs="Arial"/>
          <w:b/>
          <w:szCs w:val="16"/>
        </w:rPr>
      </w:pPr>
    </w:p>
    <w:p w14:paraId="44A5727D" w14:textId="77777777" w:rsidR="00A9475A" w:rsidRDefault="00131D38" w:rsidP="00C144F3">
      <w:pPr>
        <w:keepNext/>
        <w:rPr>
          <w:rFonts w:eastAsia="Times New Roman" w:cs="Arial"/>
          <w:b/>
          <w:szCs w:val="16"/>
        </w:rPr>
      </w:pPr>
      <w:r w:rsidRPr="00C9662C">
        <w:rPr>
          <w:rFonts w:eastAsia="Times New Roman" w:cs="Arial"/>
          <w:b/>
          <w:szCs w:val="16"/>
        </w:rPr>
        <w:t>Please explain the source (e.g., State monitoring, State database/data system, dispute resolution, fiscal, related requirements, etc.) of any additional findings reported in Column B.</w:t>
      </w:r>
    </w:p>
    <w:p w14:paraId="1A25F36A" w14:textId="77777777" w:rsidR="00A9475A" w:rsidRPr="000D073F" w:rsidRDefault="00A9475A" w:rsidP="00C144F3">
      <w:pPr>
        <w:keepNext/>
        <w:rPr>
          <w:rFonts w:eastAsia="Times New Roman" w:cs="Arial"/>
          <w:bCs/>
          <w:szCs w:val="16"/>
        </w:rPr>
      </w:pPr>
      <w:r w:rsidRPr="000D073F">
        <w:rPr>
          <w:rFonts w:eastAsia="Times New Roman" w:cs="Arial"/>
          <w:bCs/>
          <w:szCs w:val="16"/>
        </w:rPr>
        <w:t>There are no differences in the number of findings reported in this data table and those reported in Indicator 9.</w:t>
      </w:r>
    </w:p>
    <w:p w14:paraId="3CF7E05B" w14:textId="77777777" w:rsidR="00B9250E" w:rsidRPr="00CB52C7" w:rsidRDefault="00B9250E" w:rsidP="00C144F3">
      <w:pPr>
        <w:keepNext/>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CB52C7">
        <w:rPr>
          <w:rFonts w:eastAsia="Times New Roman" w:cs="Arial"/>
          <w:b/>
          <w:i/>
          <w:iCs/>
          <w:szCs w:val="16"/>
        </w:rPr>
        <w:t xml:space="preserve"> </w:t>
      </w:r>
      <w:r w:rsidRPr="00CB52C7">
        <w:rPr>
          <w:rFonts w:eastAsia="Times New Roman" w:cs="Arial"/>
          <w:b/>
          <w:szCs w:val="16"/>
        </w:rPr>
        <w:t xml:space="preserve">based on </w:t>
      </w:r>
      <w:r w:rsidRPr="00CB52C7">
        <w:rPr>
          <w:rFonts w:eastAsia="Times New Roman" w:cs="Arial"/>
          <w:b/>
          <w:i/>
          <w:iCs/>
          <w:szCs w:val="16"/>
        </w:rPr>
        <w:t>updated data</w:t>
      </w:r>
      <w:r w:rsidRPr="00CB52C7">
        <w:rPr>
          <w:rFonts w:eastAsia="Times New Roman" w:cs="Arial"/>
          <w:b/>
          <w:szCs w:val="16"/>
        </w:rPr>
        <w:t>:</w:t>
      </w:r>
    </w:p>
    <w:p w14:paraId="0C66DB67" w14:textId="77777777" w:rsidR="00B9250E" w:rsidRDefault="00B9250E" w:rsidP="00C144F3">
      <w:pPr>
        <w:spacing w:line="276" w:lineRule="auto"/>
        <w:rPr>
          <w:color w:val="000000" w:themeColor="text1"/>
        </w:rPr>
      </w:pPr>
      <w:r>
        <w:rPr>
          <w:color w:val="000000" w:themeColor="text1"/>
        </w:rPr>
        <w:t>There was no disproportionate representation of racial and ethnic groups in special education identified.</w:t>
      </w:r>
    </w:p>
    <w:p w14:paraId="60FBB7D0" w14:textId="77777777" w:rsidR="00B9250E" w:rsidRPr="00CB52C7" w:rsidRDefault="00B9250E" w:rsidP="00C144F3">
      <w:pPr>
        <w:keepNext/>
        <w:rPr>
          <w:rFonts w:eastAsia="Calibri" w:cs="Arial"/>
          <w:szCs w:val="16"/>
        </w:rPr>
      </w:pPr>
      <w:r>
        <w:rPr>
          <w:rFonts w:eastAsia="Times New Roman" w:cs="Arial"/>
          <w:b/>
          <w:szCs w:val="16"/>
        </w:rPr>
        <w:t xml:space="preserve">Please describe, consistent with OSEP QA 23-01, how the State verified that each </w:t>
      </w:r>
      <w:r w:rsidRPr="00CB52C7">
        <w:rPr>
          <w:rFonts w:eastAsia="Times New Roman" w:cs="Arial"/>
          <w:b/>
          <w:i/>
          <w:iCs/>
          <w:szCs w:val="16"/>
        </w:rPr>
        <w:t>individual case</w:t>
      </w:r>
      <w:r w:rsidRPr="00CB52C7">
        <w:rPr>
          <w:rFonts w:eastAsia="Times New Roman" w:cs="Arial"/>
          <w:b/>
          <w:szCs w:val="16"/>
        </w:rPr>
        <w:t xml:space="preserve"> of noncompliance was corrected:</w:t>
      </w:r>
    </w:p>
    <w:p w14:paraId="33C785A6" w14:textId="77777777" w:rsidR="00B9250E" w:rsidRDefault="00B9250E" w:rsidP="00C144F3">
      <w:pPr>
        <w:spacing w:line="276" w:lineRule="auto"/>
        <w:rPr>
          <w:color w:val="000000" w:themeColor="text1"/>
        </w:rPr>
      </w:pPr>
      <w:r>
        <w:rPr>
          <w:color w:val="000000" w:themeColor="text1"/>
        </w:rPr>
        <w:t>There was no disproportionate representation of racial and ethnic groups in special education identified.</w:t>
      </w:r>
    </w:p>
    <w:p w14:paraId="085EF80A" w14:textId="77777777" w:rsidR="001C2EC2" w:rsidRDefault="001C2EC2" w:rsidP="001C2EC2">
      <w:pPr>
        <w:textAlignment w:val="baseline"/>
        <w:rPr>
          <w:rFonts w:eastAsia="Times New Roman" w:cs="Arial"/>
          <w:b/>
          <w:bCs/>
          <w:szCs w:val="16"/>
        </w:rPr>
      </w:pPr>
    </w:p>
    <w:p w14:paraId="3E5E5D17" w14:textId="77777777" w:rsidR="00B9250E" w:rsidRPr="00CB52C7" w:rsidRDefault="00B9250E" w:rsidP="00C144F3">
      <w:pPr>
        <w:textAlignment w:val="baseline"/>
        <w:rPr>
          <w:rFonts w:eastAsia="Times New Roman" w:cs="Arial"/>
          <w:b/>
          <w:bCs/>
          <w:szCs w:val="16"/>
        </w:rPr>
      </w:pPr>
      <w:r w:rsidRPr="00CB52C7">
        <w:rPr>
          <w:rFonts w:eastAsia="Times New Roman" w:cs="Arial"/>
          <w:b/>
          <w:bCs/>
          <w:szCs w:val="16"/>
        </w:rPr>
        <w:t>Indicator 10. Percent of districts with disproportionate representation of racial and ethnic groups in specific disability categories that is the result of inappropriate identification. (20 U.S.C. 1416(a)(3)(C))</w:t>
      </w:r>
    </w:p>
    <w:p w14:paraId="452623CE" w14:textId="77777777" w:rsidR="00B9250E" w:rsidRPr="00CB52C7" w:rsidRDefault="00B9250E" w:rsidP="00C144F3">
      <w:pPr>
        <w:textAlignment w:val="baseline"/>
        <w:rPr>
          <w:rFonts w:eastAsia="Times New Roman" w:cs="Arial"/>
          <w:szCs w:val="16"/>
        </w:rPr>
      </w:pPr>
      <w:r w:rsidRPr="00CB52C7">
        <w:rPr>
          <w:rFonts w:eastAsia="Times New Roman" w:cs="Arial"/>
          <w:b/>
          <w:bCs/>
          <w:szCs w:val="16"/>
        </w:rPr>
        <w:t>Findings of Noncompliance Identified in FFY 2023</w:t>
      </w:r>
    </w:p>
    <w:tbl>
      <w:tblPr>
        <w:tblStyle w:val="TableGrid"/>
        <w:tblW w:w="0" w:type="auto"/>
        <w:tblLayout w:type="fixed"/>
        <w:tblLook w:val="04A0" w:firstRow="1" w:lastRow="0" w:firstColumn="1" w:lastColumn="0" w:noHBand="0" w:noVBand="1"/>
        <w:tblCaption w:val="B18FINDINGSOFNONCOMPLIANCEIND10"/>
      </w:tblPr>
      <w:tblGrid>
        <w:gridCol w:w="2158"/>
        <w:gridCol w:w="2158"/>
        <w:gridCol w:w="2158"/>
        <w:gridCol w:w="2158"/>
        <w:gridCol w:w="2158"/>
      </w:tblGrid>
      <w:tr w:rsidR="00F8304E" w:rsidRPr="00CB52C7" w14:paraId="798C183F" w14:textId="77777777" w:rsidTr="00C144F3">
        <w:trPr>
          <w:trHeight w:val="360"/>
          <w:tblHeader/>
        </w:trPr>
        <w:tc>
          <w:tcPr>
            <w:tcW w:w="2158" w:type="dxa"/>
          </w:tcPr>
          <w:p w14:paraId="6338779E" w14:textId="77777777" w:rsidR="00F8304E" w:rsidRPr="00CB52C7" w:rsidRDefault="00F8304E" w:rsidP="00F8304E">
            <w:pPr>
              <w:jc w:val="center"/>
              <w:textAlignment w:val="baseline"/>
              <w:rPr>
                <w:rFonts w:eastAsia="Calibri" w:cs="Arial"/>
                <w:b/>
                <w:szCs w:val="16"/>
              </w:rPr>
            </w:pPr>
            <w:r w:rsidRPr="007D0769">
              <w:rPr>
                <w:rFonts w:eastAsia="Times New Roman" w:cs="Arial"/>
                <w:b/>
                <w:bCs/>
                <w:szCs w:val="16"/>
              </w:rPr>
              <w:lastRenderedPageBreak/>
              <w:t>Column A:</w:t>
            </w:r>
            <w:r w:rsidRPr="007D0769">
              <w:rPr>
                <w:rFonts w:eastAsia="Times New Roman" w:cs="Arial"/>
                <w:szCs w:val="16"/>
              </w:rPr>
              <w:t> </w:t>
            </w:r>
            <w:r w:rsidRPr="007D0769">
              <w:rPr>
                <w:rFonts w:eastAsia="Times New Roman" w:cs="Arial"/>
                <w:b/>
                <w:bCs/>
                <w:szCs w:val="16"/>
              </w:rPr>
              <w:t xml:space="preserve"># of written findings of noncompliance identified in FFY </w:t>
            </w:r>
            <w:r w:rsidR="0039210B">
              <w:rPr>
                <w:rFonts w:eastAsia="Times New Roman" w:cs="Arial"/>
                <w:b/>
                <w:bCs/>
                <w:szCs w:val="16"/>
              </w:rPr>
              <w:t>2023</w:t>
            </w:r>
            <w:r w:rsidRPr="007D0769">
              <w:rPr>
                <w:rFonts w:eastAsia="Times New Roman" w:cs="Arial"/>
                <w:b/>
                <w:bCs/>
                <w:szCs w:val="16"/>
              </w:rPr>
              <w:t xml:space="preserve"> (</w:t>
            </w:r>
            <w:r w:rsidR="0039210B">
              <w:rPr>
                <w:rFonts w:eastAsia="Times New Roman" w:cs="Arial"/>
                <w:b/>
                <w:bCs/>
                <w:szCs w:val="16"/>
              </w:rPr>
              <w:t>7/1/23</w:t>
            </w:r>
            <w:r w:rsidRPr="007D0769">
              <w:rPr>
                <w:rFonts w:eastAsia="Times New Roman" w:cs="Arial"/>
                <w:b/>
                <w:bCs/>
                <w:szCs w:val="16"/>
              </w:rPr>
              <w:t xml:space="preserve"> </w:t>
            </w:r>
            <w:r w:rsidRPr="007D0769">
              <w:rPr>
                <w:rFonts w:eastAsia="Times New Roman" w:cs="Arial"/>
                <w:szCs w:val="16"/>
              </w:rPr>
              <w:t>–</w:t>
            </w:r>
            <w:r w:rsidRPr="007D0769">
              <w:rPr>
                <w:rFonts w:eastAsia="Times New Roman" w:cs="Arial"/>
                <w:b/>
                <w:bCs/>
                <w:szCs w:val="16"/>
              </w:rPr>
              <w:t xml:space="preserve"> </w:t>
            </w:r>
            <w:r w:rsidR="0039210B">
              <w:rPr>
                <w:rFonts w:eastAsia="Times New Roman" w:cs="Arial"/>
                <w:b/>
                <w:bCs/>
                <w:szCs w:val="16"/>
              </w:rPr>
              <w:t>6/30/24</w:t>
            </w:r>
            <w:r w:rsidRPr="007D0769">
              <w:rPr>
                <w:rFonts w:eastAsia="Times New Roman" w:cs="Arial"/>
                <w:b/>
                <w:bCs/>
                <w:szCs w:val="16"/>
              </w:rPr>
              <w:t>)</w:t>
            </w:r>
          </w:p>
        </w:tc>
        <w:tc>
          <w:tcPr>
            <w:tcW w:w="2158" w:type="dxa"/>
          </w:tcPr>
          <w:p w14:paraId="0851C3D1" w14:textId="77777777" w:rsidR="00F8304E" w:rsidRPr="00CB52C7" w:rsidRDefault="00F8304E" w:rsidP="00F8304E">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2023 not reported in Column A (e.g., those issued based on other IDEA requirements), if applicable</w:t>
            </w:r>
          </w:p>
        </w:tc>
        <w:tc>
          <w:tcPr>
            <w:tcW w:w="2158" w:type="dxa"/>
          </w:tcPr>
          <w:p w14:paraId="43D1CD1E" w14:textId="77777777"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62B6C778" w14:textId="77777777"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190F430D" w14:textId="77777777" w:rsidR="00F8304E" w:rsidRPr="00CB52C7" w:rsidRDefault="00F8304E" w:rsidP="00963D63">
            <w:pPr>
              <w:jc w:val="center"/>
              <w:textAlignment w:val="baseline"/>
              <w:rPr>
                <w:rFonts w:eastAsia="Calibri" w:cs="Arial"/>
                <w:b/>
                <w:szCs w:val="16"/>
              </w:rPr>
            </w:pPr>
            <w:r w:rsidRPr="000370DE">
              <w:rPr>
                <w:rFonts w:eastAsia="Times New Roman" w:cs="Arial"/>
                <w:b/>
                <w:bCs/>
                <w:szCs w:val="16"/>
              </w:rPr>
              <w:t>Column D: # of written findings of noncompliance from Columns A and B for which correction was not completed or timely corrected</w:t>
            </w:r>
          </w:p>
        </w:tc>
      </w:tr>
      <w:tr w:rsidR="00C048FB" w:rsidRPr="00C85110" w14:paraId="0E9B015B" w14:textId="77777777" w:rsidTr="00C144F3">
        <w:trPr>
          <w:trHeight w:val="360"/>
          <w:tblHeader/>
        </w:trPr>
        <w:tc>
          <w:tcPr>
            <w:tcW w:w="2158" w:type="dxa"/>
          </w:tcPr>
          <w:p w14:paraId="0E8B1084" w14:textId="77777777" w:rsidR="00AA0F28" w:rsidRPr="00CB52C7" w:rsidRDefault="00C048FB" w:rsidP="00AA0F28">
            <w:pPr>
              <w:jc w:val="center"/>
              <w:textAlignment w:val="baseline"/>
              <w:rPr>
                <w:rFonts w:eastAsia="Times New Roman" w:cs="Arial"/>
                <w:b/>
                <w:bCs/>
                <w:szCs w:val="16"/>
              </w:rPr>
            </w:pPr>
            <w:r w:rsidRPr="00781112">
              <w:rPr>
                <w:rFonts w:cs="Arial"/>
                <w:color w:val="000000" w:themeColor="text1"/>
                <w:szCs w:val="16"/>
              </w:rPr>
              <w:t>0</w:t>
            </w:r>
          </w:p>
        </w:tc>
        <w:tc>
          <w:tcPr>
            <w:tcW w:w="2158" w:type="dxa"/>
          </w:tcPr>
          <w:p w14:paraId="08055386" w14:textId="77777777" w:rsidR="00AA0F28" w:rsidRPr="00CB52C7" w:rsidRDefault="00AA0F28" w:rsidP="00AA0F28">
            <w:pPr>
              <w:ind w:left="45" w:right="77"/>
              <w:jc w:val="center"/>
              <w:textAlignment w:val="baseline"/>
              <w:rPr>
                <w:rFonts w:eastAsia="Times New Roman" w:cs="Arial"/>
                <w:b/>
                <w:bCs/>
                <w:szCs w:val="16"/>
              </w:rPr>
            </w:pPr>
            <w:r>
              <w:rPr>
                <w:rFonts w:eastAsia="Times New Roman" w:cs="Arial"/>
                <w:szCs w:val="16"/>
              </w:rPr>
              <w:t>0</w:t>
            </w:r>
          </w:p>
        </w:tc>
        <w:tc>
          <w:tcPr>
            <w:tcW w:w="2158" w:type="dxa"/>
          </w:tcPr>
          <w:p w14:paraId="4F61FEAA" w14:textId="77777777" w:rsidR="00AA0F28" w:rsidRPr="00CB52C7" w:rsidRDefault="00C048FB" w:rsidP="00AA0F28">
            <w:pPr>
              <w:jc w:val="center"/>
              <w:textAlignment w:val="baseline"/>
              <w:rPr>
                <w:rFonts w:eastAsia="Times New Roman" w:cs="Arial"/>
                <w:b/>
                <w:bCs/>
                <w:szCs w:val="16"/>
              </w:rPr>
            </w:pPr>
            <w:r w:rsidRPr="00781112">
              <w:rPr>
                <w:rFonts w:cs="Arial"/>
                <w:color w:val="000000" w:themeColor="text1"/>
                <w:szCs w:val="16"/>
              </w:rPr>
              <w:t>0</w:t>
            </w:r>
          </w:p>
        </w:tc>
        <w:tc>
          <w:tcPr>
            <w:tcW w:w="2158" w:type="dxa"/>
          </w:tcPr>
          <w:p w14:paraId="7D73A86E" w14:textId="77777777" w:rsidR="00AA0F28" w:rsidRPr="00CB52C7" w:rsidRDefault="00AA0F28" w:rsidP="00AA0F28">
            <w:pPr>
              <w:jc w:val="center"/>
              <w:textAlignment w:val="baseline"/>
              <w:rPr>
                <w:rFonts w:eastAsia="Times New Roman" w:cs="Arial"/>
                <w:b/>
                <w:bCs/>
                <w:szCs w:val="16"/>
              </w:rPr>
            </w:pPr>
            <w:r>
              <w:rPr>
                <w:rFonts w:eastAsia="Times New Roman" w:cs="Arial"/>
                <w:szCs w:val="16"/>
              </w:rPr>
              <w:t>0</w:t>
            </w:r>
          </w:p>
        </w:tc>
        <w:tc>
          <w:tcPr>
            <w:tcW w:w="2158" w:type="dxa"/>
          </w:tcPr>
          <w:p w14:paraId="59117AA5" w14:textId="77777777" w:rsidR="00AA0F28" w:rsidRPr="00A964C2" w:rsidRDefault="00AA0F28" w:rsidP="00AA0F28">
            <w:pPr>
              <w:jc w:val="center"/>
              <w:textAlignment w:val="baseline"/>
              <w:rPr>
                <w:rFonts w:eastAsia="Times New Roman" w:cs="Arial"/>
                <w:b/>
                <w:bCs/>
                <w:szCs w:val="16"/>
              </w:rPr>
            </w:pPr>
            <w:r w:rsidRPr="00755D89">
              <w:rPr>
                <w:rFonts w:eastAsia="Times New Roman" w:cs="Arial"/>
                <w:szCs w:val="16"/>
              </w:rPr>
              <w:t>0</w:t>
            </w:r>
          </w:p>
        </w:tc>
      </w:tr>
    </w:tbl>
    <w:p w14:paraId="6B8FCBBC" w14:textId="77777777" w:rsidR="0079169F" w:rsidRPr="00A964C2" w:rsidRDefault="0079169F" w:rsidP="0079169F">
      <w:pPr>
        <w:rPr>
          <w:rFonts w:eastAsia="Calibri" w:cs="Arial"/>
          <w:b/>
          <w:szCs w:val="16"/>
        </w:rPr>
      </w:pPr>
    </w:p>
    <w:p w14:paraId="0687D6AC" w14:textId="77777777" w:rsidR="00A9475A" w:rsidRDefault="00A5172C" w:rsidP="00C144F3">
      <w:pPr>
        <w:keepNext/>
        <w:rPr>
          <w:rFonts w:eastAsia="Times New Roman" w:cs="Arial"/>
          <w:b/>
          <w:szCs w:val="16"/>
        </w:rPr>
      </w:pPr>
      <w:r w:rsidRPr="00C9662C">
        <w:rPr>
          <w:rFonts w:eastAsia="Times New Roman" w:cs="Arial"/>
          <w:b/>
          <w:szCs w:val="16"/>
        </w:rPr>
        <w:t>Please explain the source (e.g., State monitoring, State database/data system, dispute resolution, fiscal, related requirements, etc.) of any additional findings reported in Column B.</w:t>
      </w:r>
    </w:p>
    <w:p w14:paraId="24434334" w14:textId="77777777" w:rsidR="00A9475A" w:rsidRPr="000D073F" w:rsidRDefault="00A9475A" w:rsidP="00C144F3">
      <w:pPr>
        <w:keepNext/>
        <w:rPr>
          <w:rFonts w:eastAsia="Times New Roman" w:cs="Arial"/>
          <w:bCs/>
          <w:szCs w:val="16"/>
        </w:rPr>
      </w:pPr>
      <w:r w:rsidRPr="000D073F">
        <w:rPr>
          <w:rFonts w:eastAsia="Times New Roman" w:cs="Arial"/>
          <w:bCs/>
          <w:szCs w:val="16"/>
        </w:rPr>
        <w:t>There are no differences in the number of findings reported in this data table and those reported in Indicator 10.</w:t>
      </w:r>
    </w:p>
    <w:p w14:paraId="4375D6A4" w14:textId="77777777" w:rsidR="00B9250E" w:rsidRPr="00CB52C7" w:rsidRDefault="00B9250E" w:rsidP="00C144F3">
      <w:pPr>
        <w:keepNext/>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CB52C7">
        <w:rPr>
          <w:rFonts w:eastAsia="Times New Roman" w:cs="Arial"/>
          <w:b/>
          <w:i/>
          <w:iCs/>
          <w:szCs w:val="16"/>
        </w:rPr>
        <w:t xml:space="preserve"> </w:t>
      </w:r>
      <w:r w:rsidRPr="00CB52C7">
        <w:rPr>
          <w:rFonts w:eastAsia="Times New Roman" w:cs="Arial"/>
          <w:b/>
          <w:szCs w:val="16"/>
        </w:rPr>
        <w:t xml:space="preserve">based on </w:t>
      </w:r>
      <w:r w:rsidRPr="00CB52C7">
        <w:rPr>
          <w:rFonts w:eastAsia="Times New Roman" w:cs="Arial"/>
          <w:b/>
          <w:i/>
          <w:iCs/>
          <w:szCs w:val="16"/>
        </w:rPr>
        <w:t>updated data</w:t>
      </w:r>
      <w:r w:rsidRPr="00CB52C7">
        <w:rPr>
          <w:rFonts w:eastAsia="Times New Roman" w:cs="Arial"/>
          <w:b/>
          <w:szCs w:val="16"/>
        </w:rPr>
        <w:t>:</w:t>
      </w:r>
    </w:p>
    <w:p w14:paraId="1AB826A0" w14:textId="77777777" w:rsidR="00B9250E" w:rsidRDefault="00B9250E" w:rsidP="00C144F3">
      <w:pPr>
        <w:spacing w:line="276" w:lineRule="auto"/>
        <w:rPr>
          <w:color w:val="000000" w:themeColor="text1"/>
        </w:rPr>
      </w:pPr>
      <w:r>
        <w:rPr>
          <w:color w:val="000000" w:themeColor="text1"/>
        </w:rPr>
        <w:t>There was no disproportionate representation of racial and ethnic groups in specific disability categories identified.</w:t>
      </w:r>
    </w:p>
    <w:p w14:paraId="25AE81D2" w14:textId="77777777" w:rsidR="00B9250E" w:rsidRPr="00CB52C7" w:rsidRDefault="00B9250E" w:rsidP="00C144F3">
      <w:pPr>
        <w:keepNext/>
        <w:rPr>
          <w:rFonts w:eastAsia="Calibri" w:cs="Arial"/>
          <w:szCs w:val="16"/>
        </w:rPr>
      </w:pPr>
      <w:r>
        <w:rPr>
          <w:rFonts w:eastAsia="Times New Roman" w:cs="Arial"/>
          <w:b/>
          <w:szCs w:val="16"/>
        </w:rPr>
        <w:t xml:space="preserve">Please describe, consistent with OSEP QA 23-01, how the State verified that each </w:t>
      </w:r>
      <w:r w:rsidRPr="00CB52C7">
        <w:rPr>
          <w:rFonts w:eastAsia="Times New Roman" w:cs="Arial"/>
          <w:b/>
          <w:i/>
          <w:iCs/>
          <w:szCs w:val="16"/>
        </w:rPr>
        <w:t>individual case</w:t>
      </w:r>
      <w:r w:rsidRPr="00CB52C7">
        <w:rPr>
          <w:rFonts w:eastAsia="Times New Roman" w:cs="Arial"/>
          <w:b/>
          <w:szCs w:val="16"/>
        </w:rPr>
        <w:t xml:space="preserve"> of noncompliance was corrected:</w:t>
      </w:r>
    </w:p>
    <w:p w14:paraId="32B729E2" w14:textId="77777777" w:rsidR="00AA0F28" w:rsidRDefault="00AA0F28" w:rsidP="00C144F3">
      <w:pPr>
        <w:spacing w:line="276" w:lineRule="auto"/>
        <w:rPr>
          <w:color w:val="000000" w:themeColor="text1"/>
        </w:rPr>
      </w:pPr>
      <w:r>
        <w:rPr>
          <w:color w:val="000000" w:themeColor="text1"/>
        </w:rPr>
        <w:t>There was no disproportionate representation of racial and ethnic groups in specific disability categories identified.</w:t>
      </w:r>
    </w:p>
    <w:p w14:paraId="37CE9FB7" w14:textId="77777777" w:rsidR="001C2EC2" w:rsidRDefault="001C2EC2" w:rsidP="001C2EC2">
      <w:pPr>
        <w:textAlignment w:val="baseline"/>
        <w:rPr>
          <w:rFonts w:eastAsia="Times New Roman" w:cs="Arial"/>
          <w:b/>
          <w:bCs/>
          <w:szCs w:val="16"/>
        </w:rPr>
      </w:pPr>
    </w:p>
    <w:p w14:paraId="0CD1F671" w14:textId="77777777" w:rsidR="00B9250E" w:rsidRPr="00CB52C7" w:rsidRDefault="00B9250E" w:rsidP="00C144F3">
      <w:pPr>
        <w:textAlignment w:val="baseline"/>
        <w:rPr>
          <w:rFonts w:eastAsia="Times New Roman" w:cs="Arial"/>
          <w:b/>
          <w:bCs/>
          <w:szCs w:val="16"/>
        </w:rPr>
      </w:pPr>
      <w:r w:rsidRPr="00CB52C7">
        <w:rPr>
          <w:rFonts w:eastAsia="Times New Roman" w:cs="Arial"/>
          <w:b/>
          <w:bCs/>
          <w:szCs w:val="16"/>
        </w:rPr>
        <w:t>Indicator 11. Percent of children who were evaluated within 60 days of receiving parental consent for initial evaluation or, if the State establishes a timeframe within which the evaluation must be conducted, within that timeframe. (20 U.S.C. 1416(a)(3)(B))</w:t>
      </w:r>
    </w:p>
    <w:p w14:paraId="6DE8010C" w14:textId="77777777" w:rsidR="00B9250E" w:rsidRPr="00CB52C7" w:rsidRDefault="00B9250E" w:rsidP="00C144F3">
      <w:pPr>
        <w:textAlignment w:val="baseline"/>
        <w:rPr>
          <w:rFonts w:eastAsia="Times New Roman" w:cs="Arial"/>
          <w:szCs w:val="16"/>
        </w:rPr>
      </w:pPr>
      <w:r w:rsidRPr="00CB52C7">
        <w:rPr>
          <w:rFonts w:eastAsia="Times New Roman" w:cs="Arial"/>
          <w:b/>
          <w:bCs/>
          <w:szCs w:val="16"/>
        </w:rPr>
        <w:t>Findings of Noncompliance Identified in FFY 2023</w:t>
      </w:r>
    </w:p>
    <w:tbl>
      <w:tblPr>
        <w:tblStyle w:val="TableGrid"/>
        <w:tblW w:w="0" w:type="auto"/>
        <w:tblLayout w:type="fixed"/>
        <w:tblLook w:val="04A0" w:firstRow="1" w:lastRow="0" w:firstColumn="1" w:lastColumn="0" w:noHBand="0" w:noVBand="1"/>
        <w:tblCaption w:val="B18FINDINGSOFNONCOMPLIANCEIND11"/>
      </w:tblPr>
      <w:tblGrid>
        <w:gridCol w:w="2158"/>
        <w:gridCol w:w="2158"/>
        <w:gridCol w:w="2158"/>
        <w:gridCol w:w="2158"/>
        <w:gridCol w:w="2158"/>
      </w:tblGrid>
      <w:tr w:rsidR="00F8304E" w:rsidRPr="00CB52C7" w14:paraId="17D097FA" w14:textId="77777777" w:rsidTr="00C144F3">
        <w:trPr>
          <w:trHeight w:val="360"/>
          <w:tblHeader/>
        </w:trPr>
        <w:tc>
          <w:tcPr>
            <w:tcW w:w="2158" w:type="dxa"/>
          </w:tcPr>
          <w:p w14:paraId="787D2BCE" w14:textId="77777777"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w:t>
            </w:r>
            <w:r w:rsidR="0039210B">
              <w:rPr>
                <w:rFonts w:eastAsia="Times New Roman" w:cs="Arial"/>
                <w:b/>
                <w:bCs/>
                <w:szCs w:val="16"/>
              </w:rPr>
              <w:t>2023</w:t>
            </w:r>
            <w:r w:rsidRPr="007D0769">
              <w:rPr>
                <w:rFonts w:eastAsia="Times New Roman" w:cs="Arial"/>
                <w:b/>
                <w:bCs/>
                <w:szCs w:val="16"/>
              </w:rPr>
              <w:t xml:space="preserve"> (</w:t>
            </w:r>
            <w:r w:rsidR="0039210B">
              <w:rPr>
                <w:rFonts w:eastAsia="Times New Roman" w:cs="Arial"/>
                <w:b/>
                <w:bCs/>
                <w:szCs w:val="16"/>
              </w:rPr>
              <w:t>7/1/23</w:t>
            </w:r>
            <w:r w:rsidRPr="007D0769">
              <w:rPr>
                <w:rFonts w:eastAsia="Times New Roman" w:cs="Arial"/>
                <w:b/>
                <w:bCs/>
                <w:szCs w:val="16"/>
              </w:rPr>
              <w:t xml:space="preserve"> </w:t>
            </w:r>
            <w:r w:rsidRPr="007D0769">
              <w:rPr>
                <w:rFonts w:eastAsia="Times New Roman" w:cs="Arial"/>
                <w:szCs w:val="16"/>
              </w:rPr>
              <w:t>–</w:t>
            </w:r>
            <w:r w:rsidRPr="007D0769">
              <w:rPr>
                <w:rFonts w:eastAsia="Times New Roman" w:cs="Arial"/>
                <w:b/>
                <w:bCs/>
                <w:szCs w:val="16"/>
              </w:rPr>
              <w:t xml:space="preserve"> </w:t>
            </w:r>
            <w:r w:rsidR="0039210B">
              <w:rPr>
                <w:rFonts w:eastAsia="Times New Roman" w:cs="Arial"/>
                <w:b/>
                <w:bCs/>
                <w:szCs w:val="16"/>
              </w:rPr>
              <w:t>6/30/24</w:t>
            </w:r>
            <w:r w:rsidRPr="007D0769">
              <w:rPr>
                <w:rFonts w:eastAsia="Times New Roman" w:cs="Arial"/>
                <w:b/>
                <w:bCs/>
                <w:szCs w:val="16"/>
              </w:rPr>
              <w:t>)</w:t>
            </w:r>
          </w:p>
        </w:tc>
        <w:tc>
          <w:tcPr>
            <w:tcW w:w="2158" w:type="dxa"/>
          </w:tcPr>
          <w:p w14:paraId="7506872D" w14:textId="77777777" w:rsidR="00F8304E" w:rsidRPr="00CB52C7" w:rsidRDefault="00F8304E" w:rsidP="00F8304E">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2023 not reported in Column A (e.g., those issued based on other IDEA requirements), if applicable</w:t>
            </w:r>
          </w:p>
        </w:tc>
        <w:tc>
          <w:tcPr>
            <w:tcW w:w="2158" w:type="dxa"/>
          </w:tcPr>
          <w:p w14:paraId="167CC79B" w14:textId="77777777"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4C023B55" w14:textId="77777777"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0CAB044C" w14:textId="77777777" w:rsidR="00F8304E" w:rsidRPr="00CB52C7" w:rsidRDefault="00F8304E" w:rsidP="00963D63">
            <w:pPr>
              <w:jc w:val="center"/>
              <w:textAlignment w:val="baseline"/>
              <w:rPr>
                <w:rFonts w:eastAsia="Calibri" w:cs="Arial"/>
                <w:b/>
                <w:szCs w:val="16"/>
              </w:rPr>
            </w:pPr>
            <w:r w:rsidRPr="000370DE">
              <w:rPr>
                <w:rFonts w:eastAsia="Times New Roman" w:cs="Arial"/>
                <w:b/>
                <w:bCs/>
                <w:szCs w:val="16"/>
              </w:rPr>
              <w:t>Column D: # of written findings of noncompliance from Columns A and B for which correction was not completed or timely corrected</w:t>
            </w:r>
          </w:p>
        </w:tc>
      </w:tr>
      <w:tr w:rsidR="00E8739D" w:rsidRPr="00C85110" w14:paraId="6C91981C" w14:textId="77777777" w:rsidTr="00C144F3">
        <w:trPr>
          <w:trHeight w:val="360"/>
          <w:tblHeader/>
        </w:trPr>
        <w:tc>
          <w:tcPr>
            <w:tcW w:w="2158" w:type="dxa"/>
          </w:tcPr>
          <w:p w14:paraId="3863066C" w14:textId="77777777" w:rsidR="00AA0F28" w:rsidRPr="00CB52C7" w:rsidRDefault="00C048FB" w:rsidP="00AA0F28">
            <w:pPr>
              <w:jc w:val="center"/>
              <w:textAlignment w:val="baseline"/>
              <w:rPr>
                <w:rFonts w:eastAsia="Times New Roman" w:cs="Arial"/>
                <w:b/>
                <w:bCs/>
                <w:szCs w:val="16"/>
              </w:rPr>
            </w:pPr>
            <w:r w:rsidRPr="00781112">
              <w:rPr>
                <w:rFonts w:cs="Arial"/>
                <w:color w:val="000000" w:themeColor="text1"/>
                <w:szCs w:val="16"/>
              </w:rPr>
              <w:t>24</w:t>
            </w:r>
          </w:p>
        </w:tc>
        <w:tc>
          <w:tcPr>
            <w:tcW w:w="2158" w:type="dxa"/>
          </w:tcPr>
          <w:p w14:paraId="49FA2457" w14:textId="77777777" w:rsidR="00AA0F28" w:rsidRPr="00CB52C7" w:rsidRDefault="00AA0F28" w:rsidP="00AA0F28">
            <w:pPr>
              <w:ind w:left="45" w:right="77"/>
              <w:jc w:val="center"/>
              <w:textAlignment w:val="baseline"/>
              <w:rPr>
                <w:rFonts w:eastAsia="Times New Roman" w:cs="Arial"/>
                <w:b/>
                <w:bCs/>
                <w:szCs w:val="16"/>
              </w:rPr>
            </w:pPr>
            <w:r>
              <w:rPr>
                <w:rFonts w:eastAsia="Times New Roman" w:cs="Arial"/>
                <w:szCs w:val="16"/>
              </w:rPr>
              <w:t>4</w:t>
            </w:r>
          </w:p>
        </w:tc>
        <w:tc>
          <w:tcPr>
            <w:tcW w:w="2158" w:type="dxa"/>
          </w:tcPr>
          <w:p w14:paraId="1C5105E8" w14:textId="77777777" w:rsidR="00AA0F28" w:rsidRPr="00CB52C7" w:rsidRDefault="00C048FB" w:rsidP="00AA0F28">
            <w:pPr>
              <w:jc w:val="center"/>
              <w:textAlignment w:val="baseline"/>
              <w:rPr>
                <w:rFonts w:eastAsia="Times New Roman" w:cs="Arial"/>
                <w:b/>
                <w:bCs/>
                <w:szCs w:val="16"/>
              </w:rPr>
            </w:pPr>
            <w:r w:rsidRPr="00781112">
              <w:rPr>
                <w:rFonts w:cs="Arial"/>
                <w:color w:val="000000" w:themeColor="text1"/>
                <w:szCs w:val="16"/>
              </w:rPr>
              <w:t>24</w:t>
            </w:r>
          </w:p>
        </w:tc>
        <w:tc>
          <w:tcPr>
            <w:tcW w:w="2158" w:type="dxa"/>
          </w:tcPr>
          <w:p w14:paraId="6B5C6920" w14:textId="77777777" w:rsidR="00AA0F28" w:rsidRPr="00CB52C7" w:rsidRDefault="00AA0F28" w:rsidP="00AA0F28">
            <w:pPr>
              <w:jc w:val="center"/>
              <w:textAlignment w:val="baseline"/>
              <w:rPr>
                <w:rFonts w:eastAsia="Times New Roman" w:cs="Arial"/>
                <w:b/>
                <w:bCs/>
                <w:szCs w:val="16"/>
              </w:rPr>
            </w:pPr>
            <w:r>
              <w:rPr>
                <w:rFonts w:eastAsia="Times New Roman" w:cs="Arial"/>
                <w:szCs w:val="16"/>
              </w:rPr>
              <w:t>4</w:t>
            </w:r>
          </w:p>
        </w:tc>
        <w:tc>
          <w:tcPr>
            <w:tcW w:w="2158" w:type="dxa"/>
          </w:tcPr>
          <w:p w14:paraId="5339D447" w14:textId="77777777" w:rsidR="00AA0F28" w:rsidRPr="00A964C2" w:rsidRDefault="00AA0F28" w:rsidP="00AA0F28">
            <w:pPr>
              <w:jc w:val="center"/>
              <w:textAlignment w:val="baseline"/>
              <w:rPr>
                <w:rFonts w:eastAsia="Times New Roman" w:cs="Arial"/>
                <w:b/>
                <w:bCs/>
                <w:szCs w:val="16"/>
              </w:rPr>
            </w:pPr>
            <w:r w:rsidRPr="00755D89">
              <w:rPr>
                <w:rFonts w:eastAsia="Times New Roman" w:cs="Arial"/>
                <w:szCs w:val="16"/>
              </w:rPr>
              <w:t>0</w:t>
            </w:r>
          </w:p>
        </w:tc>
      </w:tr>
    </w:tbl>
    <w:p w14:paraId="28854EBA" w14:textId="77777777" w:rsidR="00C9712C" w:rsidRDefault="00C9712C" w:rsidP="001C2EC2">
      <w:pPr>
        <w:keepNext/>
        <w:rPr>
          <w:rFonts w:eastAsia="Calibri" w:cs="Arial"/>
          <w:b/>
          <w:szCs w:val="16"/>
        </w:rPr>
      </w:pPr>
    </w:p>
    <w:p w14:paraId="1D2A066C" w14:textId="77777777" w:rsidR="00A9475A" w:rsidRDefault="00A5172C" w:rsidP="00C144F3">
      <w:pPr>
        <w:keepNext/>
        <w:rPr>
          <w:rFonts w:eastAsia="Times New Roman" w:cs="Arial"/>
          <w:b/>
          <w:szCs w:val="16"/>
        </w:rPr>
      </w:pPr>
      <w:r w:rsidRPr="00C9662C">
        <w:rPr>
          <w:rFonts w:eastAsia="Times New Roman" w:cs="Arial"/>
          <w:b/>
          <w:szCs w:val="16"/>
        </w:rPr>
        <w:t>Please explain the source (e.g., State monitoring, State database/data system, dispute resolution, fiscal, related requirements, etc.) of any additional findings reported in Column B.</w:t>
      </w:r>
    </w:p>
    <w:p w14:paraId="70451055" w14:textId="77777777" w:rsidR="00A9475A" w:rsidRPr="000D073F" w:rsidRDefault="00A9475A" w:rsidP="00C144F3">
      <w:pPr>
        <w:keepNext/>
        <w:rPr>
          <w:rFonts w:eastAsia="Times New Roman" w:cs="Arial"/>
          <w:bCs/>
          <w:szCs w:val="16"/>
        </w:rPr>
      </w:pPr>
      <w:r w:rsidRPr="000D073F">
        <w:rPr>
          <w:rFonts w:eastAsia="Times New Roman" w:cs="Arial"/>
          <w:bCs/>
          <w:szCs w:val="16"/>
        </w:rPr>
        <w:t>The difference in the number of findings reported in the Indicator 11 data table and the number of findings reported in Indicator 11 is due to additional findings identified in four (4) LEAs during general file reviews within the state’s cyclical monitoring process. The additional findings were related to another related IDEA requirement, which is not captured under the Indicator 11 measurement.</w:t>
      </w:r>
    </w:p>
    <w:p w14:paraId="24908870" w14:textId="77777777" w:rsidR="00B9250E" w:rsidRPr="00CB52C7" w:rsidRDefault="00B9250E" w:rsidP="00C144F3">
      <w:pPr>
        <w:keepNext/>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CB52C7">
        <w:rPr>
          <w:rFonts w:eastAsia="Times New Roman" w:cs="Arial"/>
          <w:b/>
          <w:i/>
          <w:iCs/>
          <w:szCs w:val="16"/>
        </w:rPr>
        <w:t xml:space="preserve"> </w:t>
      </w:r>
      <w:r w:rsidRPr="00CB52C7">
        <w:rPr>
          <w:rFonts w:eastAsia="Times New Roman" w:cs="Arial"/>
          <w:b/>
          <w:szCs w:val="16"/>
        </w:rPr>
        <w:t xml:space="preserve">based on </w:t>
      </w:r>
      <w:r w:rsidRPr="00CB52C7">
        <w:rPr>
          <w:rFonts w:eastAsia="Times New Roman" w:cs="Arial"/>
          <w:b/>
          <w:i/>
          <w:iCs/>
          <w:szCs w:val="16"/>
        </w:rPr>
        <w:t>updated data</w:t>
      </w:r>
      <w:r w:rsidRPr="00CB52C7">
        <w:rPr>
          <w:rFonts w:eastAsia="Times New Roman" w:cs="Arial"/>
          <w:b/>
          <w:szCs w:val="16"/>
        </w:rPr>
        <w:t>:</w:t>
      </w:r>
    </w:p>
    <w:p w14:paraId="57CEF865" w14:textId="77777777" w:rsidR="00AA0F28" w:rsidRDefault="00AA0F28" w:rsidP="00C144F3">
      <w:pPr>
        <w:spacing w:line="276" w:lineRule="auto"/>
        <w:rPr>
          <w:color w:val="000000" w:themeColor="text1"/>
        </w:rPr>
      </w:pPr>
      <w:r>
        <w:rPr>
          <w:color w:val="000000" w:themeColor="text1"/>
        </w:rPr>
        <w:t xml:space="preserve">—Column A: Subsequent reviews of updated data for each of the twenty-four (24) LEAs identified with noncompliance were conducted through quarterly monitoring using the statewide initial evaluation application in WVEIS. Technical assistance and feedback were provided to each LEA after the quarterly reviews of updated data. WVDE/OSE verified that each of the twenty-four (24) LEAs is correctly implementing the specific regulatory requirements consistent with OSEP QA 23-01. Specifically, each LEA achieved 100% compliance regarding timelines for initial evaluations for a minimum of 90 consecutive days. WVDE/OSE provided written notification to each LEA that the findings of noncompliance had been corrected. </w:t>
      </w:r>
    </w:p>
    <w:p w14:paraId="3A1C0E03" w14:textId="77777777" w:rsidR="00CA787A" w:rsidRDefault="003169E9">
      <w:r>
        <w:rPr>
          <w:color w:val="000000"/>
        </w:rPr>
        <w:t>—Column B: For the four (4) findings of noncompliance in Column B, the WVDE/OSE verified that the four (4) LEAs identified with noncompliance with 34 CFR §300.304 are now correctly implementing the regulatory requirements based on a review of updated data, consistent with OSEP QA 23-01. Additional student files were reviewed to ensure compliance, confirming that each noted area of concern had been evaluated and documented in the evaluation reports. The WVDE/OSE also compared the consent to evaluate forms with the evaluations documented on the eligibility committee reports.</w:t>
      </w:r>
    </w:p>
    <w:p w14:paraId="61526254" w14:textId="77777777" w:rsidR="00B9250E" w:rsidRPr="00CB52C7" w:rsidRDefault="00B9250E" w:rsidP="00C144F3">
      <w:pPr>
        <w:keepNext/>
        <w:rPr>
          <w:rFonts w:eastAsia="Calibri" w:cs="Arial"/>
          <w:szCs w:val="16"/>
        </w:rPr>
      </w:pPr>
      <w:r>
        <w:rPr>
          <w:rFonts w:eastAsia="Times New Roman" w:cs="Arial"/>
          <w:b/>
          <w:szCs w:val="16"/>
        </w:rPr>
        <w:t xml:space="preserve">Please describe, consistent with OSEP QA 23-01, how the State verified that each </w:t>
      </w:r>
      <w:r w:rsidRPr="00CB52C7">
        <w:rPr>
          <w:rFonts w:eastAsia="Times New Roman" w:cs="Arial"/>
          <w:b/>
          <w:i/>
          <w:iCs/>
          <w:szCs w:val="16"/>
        </w:rPr>
        <w:t>individual case</w:t>
      </w:r>
      <w:r w:rsidRPr="00CB52C7">
        <w:rPr>
          <w:rFonts w:eastAsia="Times New Roman" w:cs="Arial"/>
          <w:b/>
          <w:szCs w:val="16"/>
        </w:rPr>
        <w:t xml:space="preserve"> of noncompliance was corrected:</w:t>
      </w:r>
    </w:p>
    <w:p w14:paraId="3093172B" w14:textId="77777777" w:rsidR="00AA0F28" w:rsidRDefault="00AA0F28" w:rsidP="00C144F3">
      <w:pPr>
        <w:spacing w:line="276" w:lineRule="auto"/>
        <w:rPr>
          <w:color w:val="000000" w:themeColor="text1"/>
        </w:rPr>
      </w:pPr>
      <w:r>
        <w:rPr>
          <w:color w:val="000000" w:themeColor="text1"/>
        </w:rPr>
        <w:t>—Column A: WVDE/OSE verified through a review of updated data collected through WVEIS that, although late, each of the 78 individual cases of child-specific noncompliance for initial evaluations was corrected. Verification of corrections included reviewing evidence that each initial evaluation was completed prior to the end of the school year, unless the student was no longer within the jurisdiction of the LEA, consistent with OSEP QA 23-01.</w:t>
      </w:r>
    </w:p>
    <w:p w14:paraId="15ECA09E" w14:textId="77777777" w:rsidR="00CA787A" w:rsidRDefault="003169E9">
      <w:r>
        <w:rPr>
          <w:color w:val="000000"/>
        </w:rPr>
        <w:t>—Column B: For the four (4) findings of noncompliance in Column B, the WVDE/OSE verified that each of the five (5) individual cases of noncompliance was corrected by reviewing evidence that each noted area of concern for each of the five (5) individual cases had been subsequently evaluated and documented in the evaluation reports. Additionally, the consent to evaluate forms were cross-referenced with the evaluations documented on the eligibility determination forms to verify compliance.</w:t>
      </w:r>
    </w:p>
    <w:p w14:paraId="31DA98A1" w14:textId="77777777" w:rsidR="001C2EC2" w:rsidRDefault="001C2EC2" w:rsidP="001C2EC2">
      <w:pPr>
        <w:textAlignment w:val="baseline"/>
        <w:rPr>
          <w:rFonts w:eastAsia="Times New Roman" w:cs="Arial"/>
          <w:b/>
          <w:bCs/>
          <w:szCs w:val="16"/>
        </w:rPr>
      </w:pPr>
    </w:p>
    <w:p w14:paraId="2A1E1A0D" w14:textId="77777777" w:rsidR="00B9250E" w:rsidRPr="00CB52C7" w:rsidRDefault="00B9250E" w:rsidP="00C144F3">
      <w:pPr>
        <w:textAlignment w:val="baseline"/>
        <w:rPr>
          <w:rFonts w:eastAsia="Times New Roman" w:cs="Arial"/>
          <w:b/>
          <w:bCs/>
          <w:szCs w:val="16"/>
        </w:rPr>
      </w:pPr>
      <w:r w:rsidRPr="00CB52C7">
        <w:rPr>
          <w:rFonts w:eastAsia="Times New Roman" w:cs="Arial"/>
          <w:b/>
          <w:bCs/>
          <w:szCs w:val="16"/>
        </w:rPr>
        <w:t>Indicator 12. Percent of children referred by Part C prior to age 3, who are found eligible for Part B, and who have an IEP developed and implemented by their third birthdays. (20 U.S.C. 1416(a)(3)(B))</w:t>
      </w:r>
    </w:p>
    <w:p w14:paraId="5FDA3C16" w14:textId="77777777" w:rsidR="00B9250E" w:rsidRPr="00CB52C7" w:rsidRDefault="00B9250E" w:rsidP="00C144F3">
      <w:pPr>
        <w:textAlignment w:val="baseline"/>
        <w:rPr>
          <w:rFonts w:eastAsia="Times New Roman" w:cs="Arial"/>
          <w:szCs w:val="16"/>
        </w:rPr>
      </w:pPr>
      <w:r w:rsidRPr="00CB52C7">
        <w:rPr>
          <w:rFonts w:eastAsia="Times New Roman" w:cs="Arial"/>
          <w:b/>
          <w:bCs/>
          <w:szCs w:val="16"/>
        </w:rPr>
        <w:t>Findings of Noncompliance Identified in FFY 2023</w:t>
      </w:r>
    </w:p>
    <w:tbl>
      <w:tblPr>
        <w:tblStyle w:val="TableGrid"/>
        <w:tblW w:w="0" w:type="auto"/>
        <w:tblLayout w:type="fixed"/>
        <w:tblLook w:val="04A0" w:firstRow="1" w:lastRow="0" w:firstColumn="1" w:lastColumn="0" w:noHBand="0" w:noVBand="1"/>
        <w:tblCaption w:val="B18FINDINGSOFNONCOMPLIANCEIND12"/>
      </w:tblPr>
      <w:tblGrid>
        <w:gridCol w:w="2158"/>
        <w:gridCol w:w="2158"/>
        <w:gridCol w:w="2158"/>
        <w:gridCol w:w="2158"/>
        <w:gridCol w:w="2158"/>
      </w:tblGrid>
      <w:tr w:rsidR="00F8304E" w:rsidRPr="00CB52C7" w14:paraId="2C61C941" w14:textId="77777777" w:rsidTr="00C144F3">
        <w:trPr>
          <w:trHeight w:val="360"/>
          <w:tblHeader/>
        </w:trPr>
        <w:tc>
          <w:tcPr>
            <w:tcW w:w="2158" w:type="dxa"/>
          </w:tcPr>
          <w:p w14:paraId="52401040" w14:textId="77777777" w:rsidR="00F8304E" w:rsidRPr="00CB52C7" w:rsidRDefault="00F8304E" w:rsidP="00F8304E">
            <w:pPr>
              <w:jc w:val="center"/>
              <w:textAlignment w:val="baseline"/>
              <w:rPr>
                <w:rFonts w:eastAsia="Calibri" w:cs="Arial"/>
                <w:b/>
                <w:szCs w:val="16"/>
              </w:rPr>
            </w:pPr>
            <w:r w:rsidRPr="007D0769">
              <w:rPr>
                <w:rFonts w:eastAsia="Times New Roman" w:cs="Arial"/>
                <w:b/>
                <w:bCs/>
                <w:szCs w:val="16"/>
              </w:rPr>
              <w:lastRenderedPageBreak/>
              <w:t>Column A:</w:t>
            </w:r>
            <w:r w:rsidRPr="007D0769">
              <w:rPr>
                <w:rFonts w:eastAsia="Times New Roman" w:cs="Arial"/>
                <w:szCs w:val="16"/>
              </w:rPr>
              <w:t> </w:t>
            </w:r>
            <w:r w:rsidRPr="007D0769">
              <w:rPr>
                <w:rFonts w:eastAsia="Times New Roman" w:cs="Arial"/>
                <w:b/>
                <w:bCs/>
                <w:szCs w:val="16"/>
              </w:rPr>
              <w:t xml:space="preserve"># of written findings of noncompliance identified in FFY </w:t>
            </w:r>
            <w:r w:rsidR="0039210B">
              <w:rPr>
                <w:rFonts w:eastAsia="Times New Roman" w:cs="Arial"/>
                <w:b/>
                <w:bCs/>
                <w:szCs w:val="16"/>
              </w:rPr>
              <w:t>2023</w:t>
            </w:r>
            <w:r w:rsidRPr="007D0769">
              <w:rPr>
                <w:rFonts w:eastAsia="Times New Roman" w:cs="Arial"/>
                <w:b/>
                <w:bCs/>
                <w:szCs w:val="16"/>
              </w:rPr>
              <w:t xml:space="preserve"> (</w:t>
            </w:r>
            <w:r w:rsidR="0039210B">
              <w:rPr>
                <w:rFonts w:eastAsia="Times New Roman" w:cs="Arial"/>
                <w:b/>
                <w:bCs/>
                <w:szCs w:val="16"/>
              </w:rPr>
              <w:t>7/1/23</w:t>
            </w:r>
            <w:r w:rsidRPr="007D0769">
              <w:rPr>
                <w:rFonts w:eastAsia="Times New Roman" w:cs="Arial"/>
                <w:b/>
                <w:bCs/>
                <w:szCs w:val="16"/>
              </w:rPr>
              <w:t xml:space="preserve"> </w:t>
            </w:r>
            <w:r w:rsidRPr="007D0769">
              <w:rPr>
                <w:rFonts w:eastAsia="Times New Roman" w:cs="Arial"/>
                <w:szCs w:val="16"/>
              </w:rPr>
              <w:t>–</w:t>
            </w:r>
            <w:r w:rsidRPr="007D0769">
              <w:rPr>
                <w:rFonts w:eastAsia="Times New Roman" w:cs="Arial"/>
                <w:b/>
                <w:bCs/>
                <w:szCs w:val="16"/>
              </w:rPr>
              <w:t xml:space="preserve"> </w:t>
            </w:r>
            <w:r w:rsidR="0039210B">
              <w:rPr>
                <w:rFonts w:eastAsia="Times New Roman" w:cs="Arial"/>
                <w:b/>
                <w:bCs/>
                <w:szCs w:val="16"/>
              </w:rPr>
              <w:t>6/30/24</w:t>
            </w:r>
            <w:r w:rsidRPr="007D0769">
              <w:rPr>
                <w:rFonts w:eastAsia="Times New Roman" w:cs="Arial"/>
                <w:b/>
                <w:bCs/>
                <w:szCs w:val="16"/>
              </w:rPr>
              <w:t>)</w:t>
            </w:r>
          </w:p>
        </w:tc>
        <w:tc>
          <w:tcPr>
            <w:tcW w:w="2158" w:type="dxa"/>
          </w:tcPr>
          <w:p w14:paraId="7EBC558A" w14:textId="77777777" w:rsidR="00F8304E" w:rsidRPr="00CB52C7" w:rsidRDefault="00F8304E" w:rsidP="00F8304E">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2023 not reported in Column A (e.g., those issued based on other IDEA requirements), if applicable</w:t>
            </w:r>
          </w:p>
        </w:tc>
        <w:tc>
          <w:tcPr>
            <w:tcW w:w="2158" w:type="dxa"/>
          </w:tcPr>
          <w:p w14:paraId="1A2A9DB9" w14:textId="77777777"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6FF18F28" w14:textId="77777777"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210DE047" w14:textId="77777777" w:rsidR="00F8304E" w:rsidRPr="00CB52C7" w:rsidRDefault="00F8304E" w:rsidP="00963D63">
            <w:pPr>
              <w:jc w:val="center"/>
              <w:textAlignment w:val="baseline"/>
              <w:rPr>
                <w:rFonts w:eastAsia="Calibri" w:cs="Arial"/>
                <w:b/>
                <w:szCs w:val="16"/>
              </w:rPr>
            </w:pPr>
            <w:r w:rsidRPr="000370DE">
              <w:rPr>
                <w:rFonts w:eastAsia="Times New Roman" w:cs="Arial"/>
                <w:b/>
                <w:bCs/>
                <w:szCs w:val="16"/>
              </w:rPr>
              <w:t>Column D: # of written findings of noncompliance from Columns A and B for which correction was not completed or timely corrected</w:t>
            </w:r>
          </w:p>
        </w:tc>
      </w:tr>
      <w:tr w:rsidR="009C75E8" w:rsidRPr="00C85110" w14:paraId="7C9602EC" w14:textId="77777777" w:rsidTr="00C144F3">
        <w:trPr>
          <w:trHeight w:val="360"/>
          <w:tblHeader/>
        </w:trPr>
        <w:tc>
          <w:tcPr>
            <w:tcW w:w="2158" w:type="dxa"/>
          </w:tcPr>
          <w:p w14:paraId="3E7284B3" w14:textId="77777777" w:rsidR="00AA0F28" w:rsidRPr="00CB52C7" w:rsidRDefault="00C048FB" w:rsidP="001C2EC2">
            <w:pPr>
              <w:jc w:val="center"/>
              <w:textAlignment w:val="baseline"/>
              <w:rPr>
                <w:rFonts w:eastAsia="Times New Roman" w:cs="Arial"/>
                <w:b/>
                <w:bCs/>
                <w:szCs w:val="16"/>
              </w:rPr>
            </w:pPr>
            <w:r w:rsidRPr="00781112">
              <w:rPr>
                <w:rFonts w:cs="Arial"/>
                <w:color w:val="000000" w:themeColor="text1"/>
                <w:szCs w:val="16"/>
              </w:rPr>
              <w:t>0</w:t>
            </w:r>
          </w:p>
        </w:tc>
        <w:tc>
          <w:tcPr>
            <w:tcW w:w="2158" w:type="dxa"/>
          </w:tcPr>
          <w:p w14:paraId="4A59A8CF" w14:textId="77777777" w:rsidR="00AA0F28" w:rsidRPr="00CB52C7" w:rsidRDefault="00AA0F28" w:rsidP="001C2EC2">
            <w:pPr>
              <w:ind w:left="45" w:right="77"/>
              <w:jc w:val="center"/>
              <w:textAlignment w:val="baseline"/>
              <w:rPr>
                <w:rFonts w:eastAsia="Times New Roman" w:cs="Arial"/>
                <w:b/>
                <w:bCs/>
                <w:szCs w:val="16"/>
              </w:rPr>
            </w:pPr>
            <w:r>
              <w:rPr>
                <w:rFonts w:eastAsia="Times New Roman" w:cs="Arial"/>
                <w:szCs w:val="16"/>
              </w:rPr>
              <w:t>0</w:t>
            </w:r>
          </w:p>
        </w:tc>
        <w:tc>
          <w:tcPr>
            <w:tcW w:w="2158" w:type="dxa"/>
          </w:tcPr>
          <w:p w14:paraId="6CADE89C" w14:textId="77777777" w:rsidR="00AA0F28" w:rsidRPr="00CB52C7" w:rsidRDefault="00C048FB" w:rsidP="001C2EC2">
            <w:pPr>
              <w:jc w:val="center"/>
              <w:textAlignment w:val="baseline"/>
              <w:rPr>
                <w:rFonts w:eastAsia="Times New Roman" w:cs="Arial"/>
                <w:b/>
                <w:bCs/>
                <w:szCs w:val="16"/>
              </w:rPr>
            </w:pPr>
            <w:r w:rsidRPr="00781112">
              <w:rPr>
                <w:rFonts w:cs="Arial"/>
                <w:color w:val="000000" w:themeColor="text1"/>
                <w:szCs w:val="16"/>
              </w:rPr>
              <w:t>0</w:t>
            </w:r>
          </w:p>
        </w:tc>
        <w:tc>
          <w:tcPr>
            <w:tcW w:w="2158" w:type="dxa"/>
          </w:tcPr>
          <w:p w14:paraId="66C19996" w14:textId="77777777" w:rsidR="00AA0F28" w:rsidRPr="00CB52C7" w:rsidRDefault="00AA0F28" w:rsidP="001C2EC2">
            <w:pPr>
              <w:jc w:val="center"/>
              <w:textAlignment w:val="baseline"/>
              <w:rPr>
                <w:rFonts w:eastAsia="Times New Roman" w:cs="Arial"/>
                <w:b/>
                <w:bCs/>
                <w:szCs w:val="16"/>
              </w:rPr>
            </w:pPr>
            <w:r>
              <w:rPr>
                <w:rFonts w:eastAsia="Times New Roman" w:cs="Arial"/>
                <w:szCs w:val="16"/>
              </w:rPr>
              <w:t>0</w:t>
            </w:r>
          </w:p>
        </w:tc>
        <w:tc>
          <w:tcPr>
            <w:tcW w:w="2158" w:type="dxa"/>
          </w:tcPr>
          <w:p w14:paraId="2C2E0581" w14:textId="77777777" w:rsidR="00AA0F28" w:rsidRPr="00A964C2" w:rsidRDefault="00AA0F28" w:rsidP="001C2EC2">
            <w:pPr>
              <w:jc w:val="center"/>
              <w:textAlignment w:val="baseline"/>
              <w:rPr>
                <w:rFonts w:eastAsia="Times New Roman" w:cs="Arial"/>
                <w:b/>
                <w:bCs/>
                <w:szCs w:val="16"/>
              </w:rPr>
            </w:pPr>
            <w:r w:rsidRPr="00755D89">
              <w:rPr>
                <w:rFonts w:eastAsia="Times New Roman" w:cs="Arial"/>
                <w:szCs w:val="16"/>
              </w:rPr>
              <w:t>0</w:t>
            </w:r>
          </w:p>
        </w:tc>
      </w:tr>
    </w:tbl>
    <w:p w14:paraId="21FB0881" w14:textId="77777777" w:rsidR="0079169F" w:rsidRPr="00A964C2" w:rsidRDefault="0079169F" w:rsidP="0079169F">
      <w:pPr>
        <w:rPr>
          <w:rFonts w:eastAsia="Calibri" w:cs="Arial"/>
          <w:b/>
          <w:szCs w:val="16"/>
        </w:rPr>
      </w:pPr>
    </w:p>
    <w:p w14:paraId="3681FE94" w14:textId="77777777" w:rsidR="00A9475A" w:rsidRDefault="00A5172C" w:rsidP="00C144F3">
      <w:pPr>
        <w:keepNext/>
        <w:rPr>
          <w:rFonts w:eastAsia="Times New Roman" w:cs="Arial"/>
          <w:b/>
          <w:szCs w:val="16"/>
        </w:rPr>
      </w:pPr>
      <w:r w:rsidRPr="00C9662C">
        <w:rPr>
          <w:rFonts w:eastAsia="Times New Roman" w:cs="Arial"/>
          <w:b/>
          <w:szCs w:val="16"/>
        </w:rPr>
        <w:t>Please explain the source (e.g., State monitoring, State database/data system, dispute resolution, fiscal, related requirements, etc.) of any additional findings reported in Column B.</w:t>
      </w:r>
    </w:p>
    <w:p w14:paraId="341032B5" w14:textId="77777777" w:rsidR="00A9475A" w:rsidRPr="000D073F" w:rsidRDefault="00A9475A" w:rsidP="00C144F3">
      <w:pPr>
        <w:keepNext/>
        <w:rPr>
          <w:rFonts w:eastAsia="Times New Roman" w:cs="Arial"/>
          <w:bCs/>
          <w:szCs w:val="16"/>
        </w:rPr>
      </w:pPr>
      <w:r w:rsidRPr="000D073F">
        <w:rPr>
          <w:rFonts w:eastAsia="Times New Roman" w:cs="Arial"/>
          <w:bCs/>
          <w:szCs w:val="16"/>
        </w:rPr>
        <w:t>There are no differences in the number of findings reported in this data table and those reported in Indicator 12.</w:t>
      </w:r>
    </w:p>
    <w:p w14:paraId="6C761368" w14:textId="77777777" w:rsidR="00B9250E" w:rsidRPr="00CB52C7" w:rsidRDefault="00B9250E" w:rsidP="00C144F3">
      <w:pPr>
        <w:keepNext/>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CB52C7">
        <w:rPr>
          <w:rFonts w:eastAsia="Times New Roman" w:cs="Arial"/>
          <w:b/>
          <w:i/>
          <w:iCs/>
          <w:szCs w:val="16"/>
        </w:rPr>
        <w:t xml:space="preserve"> </w:t>
      </w:r>
      <w:r w:rsidRPr="00CB52C7">
        <w:rPr>
          <w:rFonts w:eastAsia="Times New Roman" w:cs="Arial"/>
          <w:b/>
          <w:szCs w:val="16"/>
        </w:rPr>
        <w:t xml:space="preserve">based on </w:t>
      </w:r>
      <w:r w:rsidRPr="00CB52C7">
        <w:rPr>
          <w:rFonts w:eastAsia="Times New Roman" w:cs="Arial"/>
          <w:b/>
          <w:i/>
          <w:iCs/>
          <w:szCs w:val="16"/>
        </w:rPr>
        <w:t>updated data</w:t>
      </w:r>
      <w:r w:rsidRPr="00CB52C7">
        <w:rPr>
          <w:rFonts w:eastAsia="Times New Roman" w:cs="Arial"/>
          <w:b/>
          <w:szCs w:val="16"/>
        </w:rPr>
        <w:t>:</w:t>
      </w:r>
    </w:p>
    <w:p w14:paraId="08D36BD4" w14:textId="77777777" w:rsidR="00B9250E" w:rsidRDefault="00B9250E" w:rsidP="00C144F3">
      <w:pPr>
        <w:spacing w:line="276" w:lineRule="auto"/>
        <w:rPr>
          <w:color w:val="000000" w:themeColor="text1"/>
        </w:rPr>
      </w:pPr>
      <w:r>
        <w:rPr>
          <w:color w:val="000000" w:themeColor="text1"/>
        </w:rPr>
        <w:t xml:space="preserve">WVDE/OSE did not identify noncompliance under Indicator 12 in FFY 2023. </w:t>
      </w:r>
    </w:p>
    <w:p w14:paraId="31DC5EFC" w14:textId="77777777" w:rsidR="00B9250E" w:rsidRPr="00CB52C7" w:rsidRDefault="00B9250E" w:rsidP="00C144F3">
      <w:pPr>
        <w:keepNext/>
        <w:rPr>
          <w:rFonts w:eastAsia="Calibri" w:cs="Arial"/>
          <w:szCs w:val="16"/>
        </w:rPr>
      </w:pPr>
      <w:r>
        <w:rPr>
          <w:rFonts w:eastAsia="Times New Roman" w:cs="Arial"/>
          <w:b/>
          <w:szCs w:val="16"/>
        </w:rPr>
        <w:t xml:space="preserve">Please describe, consistent with OSEP QA 23-01, how the State verified that each </w:t>
      </w:r>
      <w:r w:rsidRPr="00CB52C7">
        <w:rPr>
          <w:rFonts w:eastAsia="Times New Roman" w:cs="Arial"/>
          <w:b/>
          <w:i/>
          <w:iCs/>
          <w:szCs w:val="16"/>
        </w:rPr>
        <w:t>individual case</w:t>
      </w:r>
      <w:r w:rsidRPr="00CB52C7">
        <w:rPr>
          <w:rFonts w:eastAsia="Times New Roman" w:cs="Arial"/>
          <w:b/>
          <w:szCs w:val="16"/>
        </w:rPr>
        <w:t xml:space="preserve"> of noncompliance was corrected:</w:t>
      </w:r>
    </w:p>
    <w:p w14:paraId="6E34C183" w14:textId="77777777" w:rsidR="00AA0F28" w:rsidRDefault="00AA0F28" w:rsidP="00C144F3">
      <w:pPr>
        <w:spacing w:line="276" w:lineRule="auto"/>
        <w:rPr>
          <w:color w:val="000000" w:themeColor="text1"/>
        </w:rPr>
      </w:pPr>
      <w:r>
        <w:rPr>
          <w:color w:val="000000" w:themeColor="text1"/>
        </w:rPr>
        <w:t xml:space="preserve">WVDE/OSE did not identify noncompliance under Indicator 12 in FFY 2023. </w:t>
      </w:r>
    </w:p>
    <w:p w14:paraId="78F0A1DE" w14:textId="77777777" w:rsidR="001C2EC2" w:rsidRDefault="001C2EC2" w:rsidP="001C2EC2">
      <w:pPr>
        <w:textAlignment w:val="baseline"/>
        <w:rPr>
          <w:rFonts w:eastAsia="Times New Roman" w:cs="Arial"/>
          <w:b/>
          <w:bCs/>
          <w:szCs w:val="16"/>
        </w:rPr>
      </w:pPr>
    </w:p>
    <w:p w14:paraId="427EB56A" w14:textId="77777777" w:rsidR="00B9250E" w:rsidRPr="00CB52C7" w:rsidRDefault="00B9250E" w:rsidP="00C144F3">
      <w:pPr>
        <w:textAlignment w:val="baseline"/>
        <w:rPr>
          <w:rFonts w:eastAsia="Times New Roman" w:cs="Arial"/>
          <w:b/>
          <w:bCs/>
          <w:szCs w:val="16"/>
        </w:rPr>
      </w:pPr>
      <w:r w:rsidRPr="00CB52C7">
        <w:rPr>
          <w:rFonts w:eastAsia="Times New Roman" w:cs="Arial"/>
          <w:b/>
          <w:bCs/>
          <w:szCs w:val="16"/>
        </w:rPr>
        <w:t>Indicator 13. Percent of youth with IEPs aged 16 and above with an IEP that includes appropriate measurable postsecondary goals that are annually updated and based upon an age-appropriate transition assessment, transition services, including courses of study, that will reasonably enable the student to meet those postsecondary goals, and annual IEP goals related to the student’s transition services and needs. There also must be evidence that the student was invited to the IEP Team meeting where transition services are to be discussed and evidence that a representative of any participating agency was invited to the IEP Team meeting with the prior consent of the parent or student who has reached the age of majority. (20 U.S.C. 1416(a)(3)(B)) </w:t>
      </w:r>
    </w:p>
    <w:p w14:paraId="12026F6A" w14:textId="77777777" w:rsidR="00B9250E" w:rsidRPr="00CB52C7" w:rsidRDefault="00B9250E" w:rsidP="00C144F3">
      <w:pPr>
        <w:textAlignment w:val="baseline"/>
        <w:rPr>
          <w:rFonts w:eastAsia="Times New Roman" w:cs="Arial"/>
          <w:szCs w:val="16"/>
        </w:rPr>
      </w:pPr>
      <w:r w:rsidRPr="00CB52C7">
        <w:rPr>
          <w:rFonts w:eastAsia="Times New Roman" w:cs="Arial"/>
          <w:b/>
          <w:bCs/>
          <w:szCs w:val="16"/>
        </w:rPr>
        <w:t>Findings of Noncompliance Identified in FFY 2023</w:t>
      </w:r>
    </w:p>
    <w:tbl>
      <w:tblPr>
        <w:tblStyle w:val="TableGrid"/>
        <w:tblW w:w="0" w:type="auto"/>
        <w:tblLayout w:type="fixed"/>
        <w:tblLook w:val="04A0" w:firstRow="1" w:lastRow="0" w:firstColumn="1" w:lastColumn="0" w:noHBand="0" w:noVBand="1"/>
        <w:tblCaption w:val="B18FINDINGSOFNONCOMPLIANCEIND13"/>
      </w:tblPr>
      <w:tblGrid>
        <w:gridCol w:w="2158"/>
        <w:gridCol w:w="2158"/>
        <w:gridCol w:w="2158"/>
        <w:gridCol w:w="2158"/>
        <w:gridCol w:w="2158"/>
      </w:tblGrid>
      <w:tr w:rsidR="00F8304E" w:rsidRPr="00CB52C7" w14:paraId="3ECA5F88" w14:textId="77777777" w:rsidTr="00C144F3">
        <w:trPr>
          <w:trHeight w:val="360"/>
          <w:tblHeader/>
        </w:trPr>
        <w:tc>
          <w:tcPr>
            <w:tcW w:w="2158" w:type="dxa"/>
          </w:tcPr>
          <w:p w14:paraId="0278E910" w14:textId="77777777" w:rsidR="00F8304E" w:rsidRPr="00CB52C7" w:rsidRDefault="00F8304E" w:rsidP="00C10980">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w:t>
            </w:r>
            <w:r w:rsidR="0039210B">
              <w:rPr>
                <w:rFonts w:eastAsia="Times New Roman" w:cs="Arial"/>
                <w:b/>
                <w:bCs/>
                <w:szCs w:val="16"/>
              </w:rPr>
              <w:t>2023</w:t>
            </w:r>
            <w:r w:rsidRPr="007D0769">
              <w:rPr>
                <w:rFonts w:eastAsia="Times New Roman" w:cs="Arial"/>
                <w:b/>
                <w:bCs/>
                <w:szCs w:val="16"/>
              </w:rPr>
              <w:t xml:space="preserve"> (</w:t>
            </w:r>
            <w:r w:rsidR="0039210B">
              <w:rPr>
                <w:rFonts w:eastAsia="Times New Roman" w:cs="Arial"/>
                <w:b/>
                <w:bCs/>
                <w:szCs w:val="16"/>
              </w:rPr>
              <w:t>7/1/23</w:t>
            </w:r>
            <w:r w:rsidRPr="007D0769">
              <w:rPr>
                <w:rFonts w:eastAsia="Times New Roman" w:cs="Arial"/>
                <w:b/>
                <w:bCs/>
                <w:szCs w:val="16"/>
              </w:rPr>
              <w:t xml:space="preserve"> </w:t>
            </w:r>
            <w:r w:rsidRPr="007D0769">
              <w:rPr>
                <w:rFonts w:eastAsia="Times New Roman" w:cs="Arial"/>
                <w:szCs w:val="16"/>
              </w:rPr>
              <w:t>–</w:t>
            </w:r>
            <w:r w:rsidRPr="007D0769">
              <w:rPr>
                <w:rFonts w:eastAsia="Times New Roman" w:cs="Arial"/>
                <w:b/>
                <w:bCs/>
                <w:szCs w:val="16"/>
              </w:rPr>
              <w:t xml:space="preserve"> </w:t>
            </w:r>
            <w:r w:rsidR="0039210B">
              <w:rPr>
                <w:rFonts w:eastAsia="Times New Roman" w:cs="Arial"/>
                <w:b/>
                <w:bCs/>
                <w:szCs w:val="16"/>
              </w:rPr>
              <w:t>6/30/24</w:t>
            </w:r>
            <w:r w:rsidRPr="007D0769">
              <w:rPr>
                <w:rFonts w:eastAsia="Times New Roman" w:cs="Arial"/>
                <w:b/>
                <w:bCs/>
                <w:szCs w:val="16"/>
              </w:rPr>
              <w:t>)</w:t>
            </w:r>
          </w:p>
        </w:tc>
        <w:tc>
          <w:tcPr>
            <w:tcW w:w="2158" w:type="dxa"/>
          </w:tcPr>
          <w:p w14:paraId="7391BD16" w14:textId="77777777" w:rsidR="00F8304E" w:rsidRPr="00CB52C7" w:rsidRDefault="00F8304E" w:rsidP="00C10980">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2023 not reported in Column A (e.g., those issued based on other IDEA requirements), if applicable</w:t>
            </w:r>
          </w:p>
        </w:tc>
        <w:tc>
          <w:tcPr>
            <w:tcW w:w="2158" w:type="dxa"/>
          </w:tcPr>
          <w:p w14:paraId="390FF0A1" w14:textId="77777777" w:rsidR="00F8304E" w:rsidRPr="00CB52C7" w:rsidRDefault="00F8304E" w:rsidP="00C10980">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338F0FCE" w14:textId="77777777" w:rsidR="00F8304E" w:rsidRPr="00CB52C7" w:rsidRDefault="00F8304E" w:rsidP="00C10980">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125E17F9" w14:textId="77777777" w:rsidR="00F8304E" w:rsidRPr="00CB52C7" w:rsidRDefault="00F8304E" w:rsidP="00963D63">
            <w:pPr>
              <w:jc w:val="center"/>
              <w:textAlignment w:val="baseline"/>
              <w:rPr>
                <w:rFonts w:eastAsia="Calibri" w:cs="Arial"/>
                <w:b/>
                <w:szCs w:val="16"/>
              </w:rPr>
            </w:pPr>
            <w:r w:rsidRPr="000370DE">
              <w:rPr>
                <w:rFonts w:eastAsia="Times New Roman" w:cs="Arial"/>
                <w:b/>
                <w:bCs/>
                <w:szCs w:val="16"/>
              </w:rPr>
              <w:t>Column D: # of written findings of noncompliance from Columns A and B for which correction was not completed or timely corrected</w:t>
            </w:r>
          </w:p>
        </w:tc>
      </w:tr>
      <w:tr w:rsidR="009C75E8" w:rsidRPr="00C85110" w14:paraId="4B1C38EA" w14:textId="77777777" w:rsidTr="00C144F3">
        <w:trPr>
          <w:trHeight w:val="360"/>
          <w:tblHeader/>
        </w:trPr>
        <w:tc>
          <w:tcPr>
            <w:tcW w:w="2158" w:type="dxa"/>
          </w:tcPr>
          <w:p w14:paraId="74BFC775" w14:textId="77777777" w:rsidR="00AA0F28" w:rsidRPr="00CB52C7" w:rsidRDefault="00C048FB" w:rsidP="00C10980">
            <w:pPr>
              <w:jc w:val="center"/>
              <w:textAlignment w:val="baseline"/>
              <w:rPr>
                <w:rFonts w:eastAsia="Times New Roman" w:cs="Arial"/>
                <w:b/>
                <w:bCs/>
                <w:szCs w:val="16"/>
              </w:rPr>
            </w:pPr>
            <w:r w:rsidRPr="00781112">
              <w:rPr>
                <w:rFonts w:cs="Arial"/>
                <w:color w:val="000000" w:themeColor="text1"/>
                <w:szCs w:val="16"/>
              </w:rPr>
              <w:t>18</w:t>
            </w:r>
          </w:p>
        </w:tc>
        <w:tc>
          <w:tcPr>
            <w:tcW w:w="2158" w:type="dxa"/>
          </w:tcPr>
          <w:p w14:paraId="7C53D8A6" w14:textId="77777777" w:rsidR="00AA0F28" w:rsidRPr="00CB52C7" w:rsidRDefault="00AA0F28" w:rsidP="00C10980">
            <w:pPr>
              <w:ind w:left="45" w:right="77"/>
              <w:jc w:val="center"/>
              <w:textAlignment w:val="baseline"/>
              <w:rPr>
                <w:rFonts w:eastAsia="Times New Roman" w:cs="Arial"/>
                <w:b/>
                <w:bCs/>
                <w:szCs w:val="16"/>
              </w:rPr>
            </w:pPr>
            <w:r>
              <w:rPr>
                <w:rFonts w:eastAsia="Times New Roman" w:cs="Arial"/>
                <w:szCs w:val="16"/>
              </w:rPr>
              <w:t>0</w:t>
            </w:r>
          </w:p>
        </w:tc>
        <w:tc>
          <w:tcPr>
            <w:tcW w:w="2158" w:type="dxa"/>
          </w:tcPr>
          <w:p w14:paraId="37AB4FF7" w14:textId="77777777" w:rsidR="00AA0F28" w:rsidRPr="00CB52C7" w:rsidRDefault="00C048FB" w:rsidP="00C10980">
            <w:pPr>
              <w:jc w:val="center"/>
              <w:textAlignment w:val="baseline"/>
              <w:rPr>
                <w:rFonts w:eastAsia="Times New Roman" w:cs="Arial"/>
                <w:b/>
                <w:bCs/>
                <w:szCs w:val="16"/>
              </w:rPr>
            </w:pPr>
            <w:r w:rsidRPr="00781112">
              <w:rPr>
                <w:rFonts w:cs="Arial"/>
                <w:color w:val="000000" w:themeColor="text1"/>
                <w:szCs w:val="16"/>
              </w:rPr>
              <w:t>18</w:t>
            </w:r>
          </w:p>
        </w:tc>
        <w:tc>
          <w:tcPr>
            <w:tcW w:w="2158" w:type="dxa"/>
          </w:tcPr>
          <w:p w14:paraId="422793B7" w14:textId="77777777" w:rsidR="00AA0F28" w:rsidRPr="00CB52C7" w:rsidRDefault="00AA0F28" w:rsidP="00C10980">
            <w:pPr>
              <w:jc w:val="center"/>
              <w:textAlignment w:val="baseline"/>
              <w:rPr>
                <w:rFonts w:eastAsia="Times New Roman" w:cs="Arial"/>
                <w:b/>
                <w:bCs/>
                <w:szCs w:val="16"/>
              </w:rPr>
            </w:pPr>
            <w:r>
              <w:rPr>
                <w:rFonts w:eastAsia="Times New Roman" w:cs="Arial"/>
                <w:szCs w:val="16"/>
              </w:rPr>
              <w:t>0</w:t>
            </w:r>
          </w:p>
        </w:tc>
        <w:tc>
          <w:tcPr>
            <w:tcW w:w="2158" w:type="dxa"/>
          </w:tcPr>
          <w:p w14:paraId="035ABD49" w14:textId="77777777" w:rsidR="00AA0F28" w:rsidRPr="00A964C2" w:rsidRDefault="00AA0F28" w:rsidP="00C10980">
            <w:pPr>
              <w:jc w:val="center"/>
              <w:textAlignment w:val="baseline"/>
              <w:rPr>
                <w:rFonts w:eastAsia="Times New Roman" w:cs="Arial"/>
                <w:b/>
                <w:bCs/>
                <w:szCs w:val="16"/>
              </w:rPr>
            </w:pPr>
            <w:r w:rsidRPr="00755D89">
              <w:rPr>
                <w:rFonts w:eastAsia="Times New Roman" w:cs="Arial"/>
                <w:szCs w:val="16"/>
              </w:rPr>
              <w:t>0</w:t>
            </w:r>
          </w:p>
        </w:tc>
      </w:tr>
    </w:tbl>
    <w:p w14:paraId="14C046F9" w14:textId="77777777" w:rsidR="00C9712C" w:rsidRDefault="00C9712C" w:rsidP="001C2EC2">
      <w:pPr>
        <w:keepNext/>
        <w:rPr>
          <w:rFonts w:eastAsia="Calibri" w:cs="Arial"/>
          <w:b/>
          <w:szCs w:val="16"/>
        </w:rPr>
      </w:pPr>
    </w:p>
    <w:p w14:paraId="2F6F6964" w14:textId="77777777" w:rsidR="00A9475A" w:rsidRDefault="00A5172C" w:rsidP="00C144F3">
      <w:pPr>
        <w:keepNext/>
        <w:rPr>
          <w:rFonts w:eastAsia="Times New Roman" w:cs="Arial"/>
          <w:b/>
          <w:szCs w:val="16"/>
        </w:rPr>
      </w:pPr>
      <w:r w:rsidRPr="00C9662C">
        <w:rPr>
          <w:rFonts w:eastAsia="Times New Roman" w:cs="Arial"/>
          <w:b/>
          <w:szCs w:val="16"/>
        </w:rPr>
        <w:t>Please explain the source (e.g., State monitoring, State database/data system, dispute resolution, fiscal, related requirements, etc.) of any additional findings reported in Column B.</w:t>
      </w:r>
    </w:p>
    <w:p w14:paraId="602AFE3D" w14:textId="77777777" w:rsidR="00A9475A" w:rsidRPr="000D073F" w:rsidRDefault="00A9475A" w:rsidP="00C144F3">
      <w:pPr>
        <w:keepNext/>
        <w:rPr>
          <w:rFonts w:eastAsia="Times New Roman" w:cs="Arial"/>
          <w:bCs/>
          <w:szCs w:val="16"/>
        </w:rPr>
      </w:pPr>
      <w:r w:rsidRPr="000D073F">
        <w:rPr>
          <w:rFonts w:eastAsia="Times New Roman" w:cs="Arial"/>
          <w:bCs/>
          <w:szCs w:val="16"/>
        </w:rPr>
        <w:t>There are no differences in the number of findings reported in this data table and those reported in Indicator 13.</w:t>
      </w:r>
    </w:p>
    <w:p w14:paraId="6C684CFD" w14:textId="77777777" w:rsidR="00B9250E" w:rsidRPr="00CB52C7" w:rsidRDefault="00B9250E" w:rsidP="00C144F3">
      <w:pPr>
        <w:keepNext/>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CB52C7">
        <w:rPr>
          <w:rFonts w:eastAsia="Times New Roman" w:cs="Arial"/>
          <w:b/>
          <w:i/>
          <w:iCs/>
          <w:szCs w:val="16"/>
        </w:rPr>
        <w:t xml:space="preserve"> </w:t>
      </w:r>
      <w:r w:rsidRPr="00CB52C7">
        <w:rPr>
          <w:rFonts w:eastAsia="Times New Roman" w:cs="Arial"/>
          <w:b/>
          <w:szCs w:val="16"/>
        </w:rPr>
        <w:t xml:space="preserve">based on </w:t>
      </w:r>
      <w:r w:rsidRPr="00CB52C7">
        <w:rPr>
          <w:rFonts w:eastAsia="Times New Roman" w:cs="Arial"/>
          <w:b/>
          <w:i/>
          <w:iCs/>
          <w:szCs w:val="16"/>
        </w:rPr>
        <w:t>updated data</w:t>
      </w:r>
      <w:r w:rsidRPr="00CB52C7">
        <w:rPr>
          <w:rFonts w:eastAsia="Times New Roman" w:cs="Arial"/>
          <w:b/>
          <w:szCs w:val="16"/>
        </w:rPr>
        <w:t>:</w:t>
      </w:r>
    </w:p>
    <w:p w14:paraId="785E7626" w14:textId="77777777" w:rsidR="00AA0F28" w:rsidRDefault="00AA0F28" w:rsidP="00C144F3">
      <w:pPr>
        <w:spacing w:line="276" w:lineRule="auto"/>
        <w:rPr>
          <w:color w:val="000000" w:themeColor="text1"/>
        </w:rPr>
      </w:pPr>
      <w:r>
        <w:rPr>
          <w:color w:val="000000" w:themeColor="text1"/>
        </w:rPr>
        <w:t>Consistent with OSEP QA 23-01, each of the eighteen (18) LEAs identified in FFY 2023 as noncompliant corrected each individual instance of noncompliance, and the subsequent review of updated data showed that each LEA is implementing secondary transition requirements with 100% compliance. Subsequent updated data was obtained through WVEIS (the state’s data system) and integrated monitoring activities (e.g., additional file reviews, past performance in this indicator, and timely completion of any corrective action plans). LEAs may not be considered cleared for systemic noncompliance if at any time they have individual cases of noncompliance not corrected within one year or have not completed corrective activities specified in a written notification of noncompliance. Based upon the updated reviews, WVDE/OSE verified that each LEA with noncompliance is now correctly implementing the specific regulatory requirement(s) (i.e., achieved 100% compliance).</w:t>
      </w:r>
    </w:p>
    <w:p w14:paraId="5AE793E7" w14:textId="77777777" w:rsidR="00B9250E" w:rsidRDefault="00B9250E" w:rsidP="00C144F3">
      <w:pPr>
        <w:spacing w:line="276" w:lineRule="auto"/>
        <w:rPr>
          <w:rFonts w:eastAsia="Times New Roman" w:cs="Arial"/>
          <w:b/>
          <w:szCs w:val="16"/>
        </w:rPr>
      </w:pPr>
      <w:r>
        <w:rPr>
          <w:rFonts w:eastAsia="Times New Roman" w:cs="Arial"/>
          <w:b/>
          <w:szCs w:val="16"/>
        </w:rPr>
        <w:t xml:space="preserve">Please describe, consistent with OSEP QA 23-01, how the State verified that each </w:t>
      </w:r>
      <w:r w:rsidRPr="00CB52C7">
        <w:rPr>
          <w:rFonts w:eastAsia="Times New Roman" w:cs="Arial"/>
          <w:b/>
          <w:i/>
          <w:iCs/>
          <w:szCs w:val="16"/>
        </w:rPr>
        <w:t>individual case</w:t>
      </w:r>
      <w:r w:rsidRPr="00CB52C7">
        <w:rPr>
          <w:rFonts w:eastAsia="Times New Roman" w:cs="Arial"/>
          <w:b/>
          <w:szCs w:val="16"/>
        </w:rPr>
        <w:t xml:space="preserve"> of noncompliance was corrected:</w:t>
      </w:r>
    </w:p>
    <w:p w14:paraId="0121E7C1" w14:textId="77777777" w:rsidR="00AA0F28" w:rsidRDefault="00AA0F28" w:rsidP="00C144F3">
      <w:pPr>
        <w:spacing w:line="276" w:lineRule="auto"/>
        <w:rPr>
          <w:color w:val="000000" w:themeColor="text1"/>
        </w:rPr>
      </w:pPr>
      <w:r>
        <w:rPr>
          <w:color w:val="000000" w:themeColor="text1"/>
        </w:rPr>
        <w:t>Consistent with OSEP QA 23-01 WVDE/OSE verified 100% compliance through subsequent file reviews for each of the 155 individual student files identified in FFY 2023 as noncompliant for secondary transition plans. Individual cases of noncompliance were reviewed for each of the required components of transition planning, unless the student was no longer in the jurisdiction of the noncompliant LEA. WVDE/OSE verified that each student file was corrected through a review of updated data obtained from the WV statewide online IEP system (WVEIS), uploaded evidence to a secure SharePoint folder, or during an on-site visit to the LEA and that each of the 18 LEAs is now implementing student transition plans with 100% compliance.</w:t>
      </w:r>
    </w:p>
    <w:p w14:paraId="0CC47AA2" w14:textId="77777777" w:rsidR="0079169F" w:rsidRDefault="0079169F" w:rsidP="001C2EC2">
      <w:pPr>
        <w:rPr>
          <w:rFonts w:eastAsia="Calibri" w:cs="Arial"/>
          <w:b/>
          <w:i/>
          <w:iCs/>
          <w:szCs w:val="16"/>
        </w:rPr>
      </w:pPr>
    </w:p>
    <w:p w14:paraId="68A15013" w14:textId="77777777" w:rsidR="00B9250E" w:rsidRDefault="00B9250E" w:rsidP="001C2EC2">
      <w:pPr>
        <w:rPr>
          <w:rFonts w:eastAsia="Calibri" w:cs="Arial"/>
          <w:b/>
          <w:i/>
          <w:iCs/>
          <w:szCs w:val="16"/>
        </w:rPr>
      </w:pPr>
      <w:r>
        <w:rPr>
          <w:rFonts w:eastAsia="Calibri" w:cs="Arial"/>
          <w:b/>
          <w:i/>
          <w:iCs/>
          <w:szCs w:val="16"/>
        </w:rPr>
        <w:t>Optional for FFY 2024 and 2025:</w:t>
      </w:r>
    </w:p>
    <w:p w14:paraId="0F89C93A" w14:textId="77777777" w:rsidR="00B9250E" w:rsidRDefault="00B9250E" w:rsidP="00B9250E">
      <w:pPr>
        <w:rPr>
          <w:rFonts w:eastAsia="Calibri" w:cs="Arial"/>
          <w:b/>
          <w:i/>
          <w:iCs/>
          <w:szCs w:val="16"/>
        </w:rPr>
      </w:pPr>
      <w:r>
        <w:rPr>
          <w:rFonts w:eastAsia="Calibri" w:cs="Arial"/>
          <w:b/>
          <w:i/>
          <w:iCs/>
          <w:szCs w:val="16"/>
        </w:rPr>
        <w:t>Other Areas - All other findings: States may report here on all other findings of noncompliance that were not reported under the compliance indicators listed above (e.g., Results indicators (including related requirements), Fiscal, Dispute Resolution, etc.).</w:t>
      </w:r>
    </w:p>
    <w:tbl>
      <w:tblPr>
        <w:tblStyle w:val="TableGrid"/>
        <w:tblW w:w="9621" w:type="dxa"/>
        <w:tblLayout w:type="fixed"/>
        <w:tblLook w:val="04A0" w:firstRow="1" w:lastRow="0" w:firstColumn="1" w:lastColumn="0" w:noHBand="0" w:noVBand="1"/>
        <w:tblCaption w:val="B18FINDINGSOFNONCOMPLIANCEOTHERAREAS"/>
      </w:tblPr>
      <w:tblGrid>
        <w:gridCol w:w="3207"/>
        <w:gridCol w:w="3207"/>
        <w:gridCol w:w="3207"/>
      </w:tblGrid>
      <w:tr w:rsidR="00F8304E" w:rsidRPr="007D0769" w14:paraId="3F995B22" w14:textId="77777777" w:rsidTr="00C144F3">
        <w:trPr>
          <w:trHeight w:val="360"/>
          <w:tblHeader/>
        </w:trPr>
        <w:tc>
          <w:tcPr>
            <w:tcW w:w="3207" w:type="dxa"/>
          </w:tcPr>
          <w:p w14:paraId="33F96979" w14:textId="77777777" w:rsidR="00F8304E" w:rsidRPr="007D0769" w:rsidRDefault="00F8304E" w:rsidP="00F8304E">
            <w:pPr>
              <w:jc w:val="center"/>
              <w:textAlignment w:val="baseline"/>
              <w:rPr>
                <w:rFonts w:eastAsia="Calibri" w:cs="Arial"/>
                <w:b/>
                <w:szCs w:val="16"/>
              </w:rPr>
            </w:pPr>
            <w:r w:rsidRPr="007D0769">
              <w:rPr>
                <w:rFonts w:eastAsia="Times New Roman" w:cs="Arial"/>
                <w:b/>
                <w:bCs/>
                <w:szCs w:val="16"/>
              </w:rPr>
              <w:lastRenderedPageBreak/>
              <w:t>Column B:</w:t>
            </w:r>
            <w:r w:rsidRPr="007D0769">
              <w:rPr>
                <w:rFonts w:eastAsia="Times New Roman" w:cs="Arial"/>
                <w:szCs w:val="16"/>
              </w:rPr>
              <w:t> </w:t>
            </w:r>
            <w:r w:rsidRPr="007D0769">
              <w:rPr>
                <w:rFonts w:eastAsia="Times New Roman" w:cs="Arial"/>
                <w:b/>
                <w:bCs/>
                <w:szCs w:val="16"/>
              </w:rPr>
              <w:t xml:space="preserve"># of written findings of noncompliance identified in FFY </w:t>
            </w:r>
            <w:r w:rsidR="0039210B">
              <w:rPr>
                <w:rFonts w:eastAsia="Times New Roman" w:cs="Arial"/>
                <w:b/>
                <w:bCs/>
                <w:szCs w:val="16"/>
              </w:rPr>
              <w:t>2023</w:t>
            </w:r>
            <w:r w:rsidRPr="007D0769">
              <w:rPr>
                <w:rFonts w:eastAsia="Times New Roman" w:cs="Arial"/>
                <w:b/>
                <w:bCs/>
                <w:szCs w:val="16"/>
              </w:rPr>
              <w:t xml:space="preserve"> (</w:t>
            </w:r>
            <w:r w:rsidR="0039210B">
              <w:rPr>
                <w:rFonts w:eastAsia="Times New Roman" w:cs="Arial"/>
                <w:b/>
                <w:bCs/>
                <w:szCs w:val="16"/>
              </w:rPr>
              <w:t>7/1/23</w:t>
            </w:r>
            <w:r w:rsidRPr="007D0769">
              <w:rPr>
                <w:rFonts w:eastAsia="Times New Roman" w:cs="Arial"/>
                <w:b/>
                <w:bCs/>
                <w:szCs w:val="16"/>
              </w:rPr>
              <w:t xml:space="preserve"> </w:t>
            </w:r>
            <w:r w:rsidRPr="007D0769">
              <w:rPr>
                <w:rFonts w:eastAsia="Times New Roman" w:cs="Arial"/>
                <w:szCs w:val="16"/>
              </w:rPr>
              <w:t>–</w:t>
            </w:r>
            <w:r w:rsidRPr="007D0769">
              <w:rPr>
                <w:rFonts w:eastAsia="Times New Roman" w:cs="Arial"/>
                <w:b/>
                <w:bCs/>
                <w:szCs w:val="16"/>
              </w:rPr>
              <w:t xml:space="preserve"> </w:t>
            </w:r>
            <w:r w:rsidR="0039210B">
              <w:rPr>
                <w:rFonts w:eastAsia="Times New Roman" w:cs="Arial"/>
                <w:b/>
                <w:bCs/>
                <w:szCs w:val="16"/>
              </w:rPr>
              <w:t>6/30/24</w:t>
            </w:r>
            <w:r w:rsidRPr="007D0769">
              <w:rPr>
                <w:rFonts w:eastAsia="Times New Roman" w:cs="Arial"/>
                <w:b/>
                <w:bCs/>
                <w:szCs w:val="16"/>
              </w:rPr>
              <w:t>)</w:t>
            </w:r>
          </w:p>
        </w:tc>
        <w:tc>
          <w:tcPr>
            <w:tcW w:w="3207" w:type="dxa"/>
          </w:tcPr>
          <w:p w14:paraId="025011AA" w14:textId="77777777" w:rsidR="00F8304E" w:rsidRPr="007D0769" w:rsidRDefault="00F8304E" w:rsidP="00F8304E">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009A7B65">
              <w:rPr>
                <w:rFonts w:eastAsia="Times New Roman" w:cs="Arial"/>
                <w:b/>
                <w:bCs/>
                <w:szCs w:val="16"/>
              </w:rPr>
              <w:t>B</w:t>
            </w:r>
            <w:r w:rsidRPr="007D0769">
              <w:rPr>
                <w:rFonts w:eastAsia="Times New Roman" w:cs="Arial"/>
                <w:b/>
                <w:bCs/>
                <w:szCs w:val="16"/>
              </w:rPr>
              <w:t xml:space="preserve"> that were timely corrected (i.e., verified as corrected no later than one year from identification)</w:t>
            </w:r>
          </w:p>
        </w:tc>
        <w:tc>
          <w:tcPr>
            <w:tcW w:w="3207" w:type="dxa"/>
          </w:tcPr>
          <w:p w14:paraId="54C25DE7" w14:textId="77777777" w:rsidR="00F8304E" w:rsidRPr="007D0769" w:rsidRDefault="00F8304E" w:rsidP="00F8304E">
            <w:pPr>
              <w:jc w:val="center"/>
              <w:textAlignment w:val="baseline"/>
              <w:rPr>
                <w:rFonts w:eastAsia="Calibri" w:cs="Arial"/>
                <w:b/>
                <w:szCs w:val="16"/>
              </w:rPr>
            </w:pPr>
            <w:r w:rsidRPr="00CA6004">
              <w:rPr>
                <w:rFonts w:eastAsia="Times New Roman" w:cs="Arial"/>
                <w:b/>
                <w:bCs/>
                <w:szCs w:val="16"/>
              </w:rPr>
              <w:t>Column D:</w:t>
            </w:r>
            <w:r w:rsidRPr="00CA6004">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00C9712C">
              <w:rPr>
                <w:rFonts w:eastAsia="Times New Roman" w:cs="Arial"/>
                <w:b/>
                <w:bCs/>
                <w:szCs w:val="16"/>
              </w:rPr>
              <w:t>B</w:t>
            </w:r>
            <w:r w:rsidRPr="007D0769">
              <w:rPr>
                <w:rFonts w:eastAsia="Times New Roman" w:cs="Arial"/>
                <w:b/>
                <w:bCs/>
                <w:szCs w:val="16"/>
              </w:rPr>
              <w:t xml:space="preserve"> for which correction was not completed or timely corrected</w:t>
            </w:r>
          </w:p>
        </w:tc>
      </w:tr>
      <w:tr w:rsidR="003B7840" w:rsidRPr="007D0769" w14:paraId="706C8B37" w14:textId="77777777" w:rsidTr="00C144F3">
        <w:trPr>
          <w:trHeight w:val="360"/>
          <w:tblHeader/>
        </w:trPr>
        <w:tc>
          <w:tcPr>
            <w:tcW w:w="3207" w:type="dxa"/>
          </w:tcPr>
          <w:p w14:paraId="794A0DA0" w14:textId="77777777" w:rsidR="003B7840" w:rsidRPr="007D0769" w:rsidRDefault="003B7840" w:rsidP="003B7840">
            <w:pPr>
              <w:jc w:val="center"/>
              <w:textAlignment w:val="baseline"/>
              <w:rPr>
                <w:rFonts w:eastAsia="Times New Roman" w:cs="Arial"/>
                <w:b/>
                <w:bCs/>
                <w:szCs w:val="16"/>
              </w:rPr>
            </w:pPr>
          </w:p>
        </w:tc>
        <w:tc>
          <w:tcPr>
            <w:tcW w:w="3207" w:type="dxa"/>
          </w:tcPr>
          <w:p w14:paraId="28F9B102" w14:textId="77777777" w:rsidR="003B7840" w:rsidRPr="007D0769" w:rsidRDefault="003B7840" w:rsidP="003B7840">
            <w:pPr>
              <w:jc w:val="center"/>
              <w:textAlignment w:val="baseline"/>
              <w:rPr>
                <w:rFonts w:eastAsia="Times New Roman" w:cs="Arial"/>
                <w:b/>
                <w:bCs/>
                <w:szCs w:val="16"/>
              </w:rPr>
            </w:pPr>
          </w:p>
        </w:tc>
        <w:tc>
          <w:tcPr>
            <w:tcW w:w="3207" w:type="dxa"/>
          </w:tcPr>
          <w:p w14:paraId="0E085333" w14:textId="77777777" w:rsidR="003B7840" w:rsidRPr="00A964C2" w:rsidRDefault="003B7840" w:rsidP="003B7840">
            <w:pPr>
              <w:jc w:val="center"/>
              <w:textAlignment w:val="baseline"/>
              <w:rPr>
                <w:rFonts w:eastAsia="Times New Roman" w:cs="Arial"/>
                <w:b/>
                <w:bCs/>
                <w:szCs w:val="16"/>
              </w:rPr>
            </w:pPr>
          </w:p>
        </w:tc>
      </w:tr>
    </w:tbl>
    <w:p w14:paraId="0F25A5F5" w14:textId="77777777" w:rsidR="00C9712C" w:rsidRDefault="00C9712C" w:rsidP="001C2EC2">
      <w:pPr>
        <w:rPr>
          <w:rFonts w:eastAsia="Calibri" w:cs="Arial"/>
          <w:b/>
          <w:szCs w:val="16"/>
        </w:rPr>
      </w:pPr>
    </w:p>
    <w:p w14:paraId="325C6DEA" w14:textId="77777777" w:rsidR="00B9250E" w:rsidRPr="00604167" w:rsidRDefault="00CD472E" w:rsidP="001C2EC2">
      <w:pPr>
        <w:rPr>
          <w:rFonts w:eastAsia="Calibri" w:cs="Arial"/>
          <w:b/>
          <w:szCs w:val="16"/>
        </w:rPr>
      </w:pPr>
      <w:r>
        <w:rPr>
          <w:rFonts w:eastAsia="Calibri" w:cs="Arial"/>
          <w:b/>
          <w:szCs w:val="16"/>
        </w:rPr>
        <w:t>Please explain the source (e.g., State monitoring, State database/data system, dispute resolution, fiscal, related requirements, etc.) of any findings reported in this section:</w:t>
      </w:r>
    </w:p>
    <w:p w14:paraId="1EF16F8B" w14:textId="77777777" w:rsidR="003B7840" w:rsidRPr="004267DD" w:rsidRDefault="003B7840" w:rsidP="001C2EC2">
      <w:pPr>
        <w:rPr>
          <w:rFonts w:eastAsia="Calibri" w:cs="Arial"/>
          <w:bCs/>
          <w:szCs w:val="16"/>
        </w:rPr>
      </w:pPr>
    </w:p>
    <w:p w14:paraId="2F50F08D" w14:textId="77777777" w:rsidR="00F15F58" w:rsidRPr="00604167" w:rsidRDefault="00F15F58" w:rsidP="001C2EC2">
      <w:pPr>
        <w:rPr>
          <w:rFonts w:eastAsia="Calibri" w:cs="Arial"/>
          <w:b/>
          <w:szCs w:val="16"/>
        </w:rPr>
      </w:pPr>
      <w:r>
        <w:rPr>
          <w:rFonts w:eastAsia="Calibri" w:cs="Arial"/>
          <w:b/>
          <w:szCs w:val="16"/>
        </w:rPr>
        <w:t xml:space="preserve">Please describe, consistent with OSEP QA 23-01, how the State verified that the </w:t>
      </w:r>
      <w:r>
        <w:rPr>
          <w:rFonts w:eastAsia="Times New Roman" w:cs="Arial"/>
          <w:b/>
          <w:szCs w:val="16"/>
        </w:rPr>
        <w:t>source of noncompliance</w:t>
      </w:r>
      <w:r w:rsidRPr="00604167">
        <w:rPr>
          <w:rFonts w:eastAsia="Calibri" w:cs="Arial"/>
          <w:b/>
          <w:szCs w:val="16"/>
        </w:rPr>
        <w:t xml:space="preserve"> is correctly implementing the regulatory requirements</w:t>
      </w:r>
      <w:r w:rsidRPr="00604167">
        <w:rPr>
          <w:rFonts w:eastAsia="Calibri" w:cs="Arial"/>
          <w:b/>
          <w:i/>
          <w:iCs/>
          <w:szCs w:val="16"/>
        </w:rPr>
        <w:t xml:space="preserve"> </w:t>
      </w:r>
      <w:r w:rsidRPr="00604167">
        <w:rPr>
          <w:rFonts w:eastAsia="Calibri" w:cs="Arial"/>
          <w:b/>
          <w:szCs w:val="16"/>
        </w:rPr>
        <w:t xml:space="preserve">based on </w:t>
      </w:r>
      <w:r w:rsidRPr="00604167">
        <w:rPr>
          <w:rFonts w:eastAsia="Calibri" w:cs="Arial"/>
          <w:b/>
          <w:i/>
          <w:iCs/>
          <w:szCs w:val="16"/>
        </w:rPr>
        <w:t>updated data</w:t>
      </w:r>
      <w:r w:rsidRPr="00604167">
        <w:rPr>
          <w:rFonts w:eastAsia="Calibri" w:cs="Arial"/>
          <w:b/>
          <w:szCs w:val="16"/>
        </w:rPr>
        <w:t>:</w:t>
      </w:r>
    </w:p>
    <w:p w14:paraId="4F292EE2" w14:textId="77777777" w:rsidR="003B7840" w:rsidRPr="004267DD" w:rsidRDefault="003B7840" w:rsidP="001C2EC2">
      <w:pPr>
        <w:rPr>
          <w:rFonts w:eastAsia="Calibri" w:cs="Arial"/>
          <w:bCs/>
          <w:szCs w:val="16"/>
        </w:rPr>
      </w:pPr>
    </w:p>
    <w:p w14:paraId="79F86FE3" w14:textId="77777777" w:rsidR="00F15F58" w:rsidRPr="00604167" w:rsidRDefault="00F15F58" w:rsidP="001C2EC2">
      <w:pPr>
        <w:rPr>
          <w:rFonts w:eastAsia="Calibri" w:cs="Arial"/>
          <w:b/>
          <w:szCs w:val="16"/>
        </w:rPr>
      </w:pPr>
      <w:r>
        <w:rPr>
          <w:rFonts w:eastAsia="Calibri" w:cs="Arial"/>
          <w:b/>
          <w:szCs w:val="16"/>
        </w:rPr>
        <w:t xml:space="preserve">Please describe, consistent with OSEP QA 23-01, how the State verified that each </w:t>
      </w:r>
      <w:r w:rsidRPr="00604167">
        <w:rPr>
          <w:rFonts w:eastAsia="Calibri" w:cs="Arial"/>
          <w:b/>
          <w:i/>
          <w:iCs/>
          <w:szCs w:val="16"/>
        </w:rPr>
        <w:t>individual case</w:t>
      </w:r>
      <w:r w:rsidRPr="00604167">
        <w:rPr>
          <w:rFonts w:eastAsia="Calibri" w:cs="Arial"/>
          <w:b/>
          <w:szCs w:val="16"/>
        </w:rPr>
        <w:t xml:space="preserve"> of noncompliance was corrected:</w:t>
      </w:r>
    </w:p>
    <w:p w14:paraId="4AE944DC" w14:textId="77777777" w:rsidR="003B7840" w:rsidRDefault="003B7840" w:rsidP="001C2EC2">
      <w:pPr>
        <w:rPr>
          <w:rFonts w:eastAsia="Calibri" w:cs="Arial"/>
          <w:bCs/>
          <w:szCs w:val="16"/>
        </w:rPr>
      </w:pPr>
    </w:p>
    <w:p w14:paraId="72038D40" w14:textId="77777777" w:rsidR="00F42D1A" w:rsidRPr="004267DD" w:rsidRDefault="00F42D1A" w:rsidP="001C2EC2">
      <w:pPr>
        <w:rPr>
          <w:rFonts w:eastAsia="Calibri" w:cs="Arial"/>
          <w:bCs/>
          <w:szCs w:val="16"/>
        </w:rPr>
      </w:pPr>
    </w:p>
    <w:p w14:paraId="0D4ECE95" w14:textId="77777777" w:rsidR="00F15F58" w:rsidRPr="00CB52C7" w:rsidRDefault="00F15F58" w:rsidP="001C2EC2">
      <w:pPr>
        <w:rPr>
          <w:rFonts w:eastAsia="Calibri" w:cs="Arial"/>
          <w:b/>
          <w:szCs w:val="16"/>
        </w:rPr>
      </w:pPr>
      <w:r w:rsidRPr="00CB52C7">
        <w:rPr>
          <w:rFonts w:eastAsia="Calibri" w:cs="Arial"/>
          <w:b/>
          <w:szCs w:val="16"/>
        </w:rPr>
        <w:t>Total for All Noncompliance Identified (Indicators 4B, 9, 10, 11, 12, 13, and Optional Areas):</w:t>
      </w:r>
    </w:p>
    <w:tbl>
      <w:tblPr>
        <w:tblW w:w="10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B18TOTALFORALLNONCOMPLIANCEIDENTIFIED"/>
      </w:tblPr>
      <w:tblGrid>
        <w:gridCol w:w="2156"/>
        <w:gridCol w:w="2157"/>
        <w:gridCol w:w="2157"/>
        <w:gridCol w:w="2157"/>
        <w:gridCol w:w="2157"/>
      </w:tblGrid>
      <w:tr w:rsidR="00F8304E" w:rsidRPr="00CB52C7" w14:paraId="3836AF4A" w14:textId="77777777" w:rsidTr="00C144F3">
        <w:trPr>
          <w:trHeight w:val="360"/>
          <w:tblHeader/>
        </w:trPr>
        <w:tc>
          <w:tcPr>
            <w:tcW w:w="2156" w:type="dxa"/>
          </w:tcPr>
          <w:p w14:paraId="2357E733" w14:textId="77777777" w:rsidR="00F8304E" w:rsidRPr="00CB52C7" w:rsidRDefault="00F8304E" w:rsidP="00C144F3">
            <w:pPr>
              <w:jc w:val="center"/>
              <w:textAlignment w:val="baseline"/>
              <w:rPr>
                <w:rFonts w:eastAsia="Times New Roman" w:cs="Arial"/>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w:t>
            </w:r>
            <w:r w:rsidR="0039210B">
              <w:rPr>
                <w:rFonts w:eastAsia="Times New Roman" w:cs="Arial"/>
                <w:b/>
                <w:bCs/>
                <w:szCs w:val="16"/>
              </w:rPr>
              <w:t>2023</w:t>
            </w:r>
            <w:r w:rsidRPr="007D0769">
              <w:rPr>
                <w:rFonts w:eastAsia="Times New Roman" w:cs="Arial"/>
                <w:b/>
                <w:bCs/>
                <w:szCs w:val="16"/>
              </w:rPr>
              <w:t xml:space="preserve"> (</w:t>
            </w:r>
            <w:r w:rsidR="0039210B">
              <w:rPr>
                <w:rFonts w:eastAsia="Times New Roman" w:cs="Arial"/>
                <w:b/>
                <w:bCs/>
                <w:szCs w:val="16"/>
              </w:rPr>
              <w:t>7/1/23</w:t>
            </w:r>
            <w:r w:rsidRPr="007D0769">
              <w:rPr>
                <w:rFonts w:eastAsia="Times New Roman" w:cs="Arial"/>
                <w:b/>
                <w:bCs/>
                <w:szCs w:val="16"/>
              </w:rPr>
              <w:t xml:space="preserve"> </w:t>
            </w:r>
            <w:r w:rsidRPr="007D0769">
              <w:rPr>
                <w:rFonts w:eastAsia="Times New Roman" w:cs="Arial"/>
                <w:szCs w:val="16"/>
              </w:rPr>
              <w:t>–</w:t>
            </w:r>
            <w:r w:rsidRPr="007D0769">
              <w:rPr>
                <w:rFonts w:eastAsia="Times New Roman" w:cs="Arial"/>
                <w:b/>
                <w:bCs/>
                <w:szCs w:val="16"/>
              </w:rPr>
              <w:t xml:space="preserve"> </w:t>
            </w:r>
            <w:r w:rsidR="0039210B">
              <w:rPr>
                <w:rFonts w:eastAsia="Times New Roman" w:cs="Arial"/>
                <w:b/>
                <w:bCs/>
                <w:szCs w:val="16"/>
              </w:rPr>
              <w:t>6/30/24</w:t>
            </w:r>
            <w:r w:rsidRPr="007D0769">
              <w:rPr>
                <w:rFonts w:eastAsia="Times New Roman" w:cs="Arial"/>
                <w:b/>
                <w:bCs/>
                <w:szCs w:val="16"/>
              </w:rPr>
              <w:t>)</w:t>
            </w:r>
          </w:p>
        </w:tc>
        <w:tc>
          <w:tcPr>
            <w:tcW w:w="2157" w:type="dxa"/>
          </w:tcPr>
          <w:p w14:paraId="7E4D446C" w14:textId="77777777" w:rsidR="00F8304E" w:rsidRPr="00CB52C7" w:rsidRDefault="00F8304E" w:rsidP="00C144F3">
            <w:pPr>
              <w:ind w:left="45" w:right="77"/>
              <w:jc w:val="center"/>
              <w:textAlignment w:val="baseline"/>
              <w:rPr>
                <w:rFonts w:eastAsia="Times New Roman" w:cs="Arial"/>
                <w:szCs w:val="16"/>
              </w:rPr>
            </w:pPr>
            <w:r w:rsidRPr="007D0769">
              <w:rPr>
                <w:rFonts w:eastAsia="Times New Roman" w:cs="Arial"/>
                <w:b/>
                <w:bCs/>
                <w:szCs w:val="16"/>
              </w:rPr>
              <w:t>Column B: # of any other written findings of noncompliance identified in FFY 2023 not reported in Column A (e.g., those issued based on other IDEA requirements), if applicable</w:t>
            </w:r>
          </w:p>
        </w:tc>
        <w:tc>
          <w:tcPr>
            <w:tcW w:w="2157" w:type="dxa"/>
          </w:tcPr>
          <w:p w14:paraId="7546EC93" w14:textId="77777777" w:rsidR="00F8304E" w:rsidRPr="00CB52C7" w:rsidRDefault="00F8304E" w:rsidP="00C144F3">
            <w:pPr>
              <w:jc w:val="center"/>
              <w:textAlignment w:val="baseline"/>
              <w:rPr>
                <w:rFonts w:eastAsia="Times New Roman" w:cs="Arial"/>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7" w:type="dxa"/>
          </w:tcPr>
          <w:p w14:paraId="3CEEC1A8" w14:textId="77777777" w:rsidR="00F8304E" w:rsidRPr="00CB52C7" w:rsidRDefault="00F8304E" w:rsidP="00C144F3">
            <w:pPr>
              <w:jc w:val="center"/>
              <w:textAlignment w:val="baseline"/>
              <w:rPr>
                <w:rFonts w:eastAsia="Times New Roman" w:cs="Arial"/>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7" w:type="dxa"/>
          </w:tcPr>
          <w:p w14:paraId="2E88266B" w14:textId="77777777" w:rsidR="00F8304E" w:rsidRPr="00CB52C7" w:rsidRDefault="00F8304E" w:rsidP="00C144F3">
            <w:pPr>
              <w:jc w:val="center"/>
              <w:textAlignment w:val="baseline"/>
              <w:rPr>
                <w:rFonts w:eastAsia="Times New Roman" w:cs="Arial"/>
                <w:szCs w:val="16"/>
              </w:rPr>
            </w:pPr>
            <w:r w:rsidRPr="000370DE">
              <w:rPr>
                <w:rFonts w:eastAsia="Times New Roman" w:cs="Arial"/>
                <w:b/>
                <w:bCs/>
                <w:szCs w:val="16"/>
              </w:rPr>
              <w:t>Column D:</w:t>
            </w:r>
            <w:r w:rsidRPr="000370DE">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Columns </w:t>
            </w:r>
            <w:r w:rsidRPr="007D0769">
              <w:rPr>
                <w:rFonts w:eastAsia="Times New Roman" w:cs="Arial"/>
                <w:b/>
                <w:bCs/>
                <w:szCs w:val="16"/>
              </w:rPr>
              <w:t>A and B for which correction was not completed or timely corrected</w:t>
            </w:r>
          </w:p>
        </w:tc>
      </w:tr>
      <w:tr w:rsidR="00C048FB" w:rsidRPr="00CB52C7" w14:paraId="4CC1E715" w14:textId="77777777" w:rsidTr="00C144F3">
        <w:trPr>
          <w:trHeight w:val="360"/>
          <w:tblHeader/>
        </w:trPr>
        <w:tc>
          <w:tcPr>
            <w:tcW w:w="2156" w:type="dxa"/>
          </w:tcPr>
          <w:p w14:paraId="24EF6A40" w14:textId="77777777" w:rsidR="003B7840" w:rsidRPr="00CB52C7" w:rsidRDefault="003B7840" w:rsidP="00C144F3">
            <w:pPr>
              <w:jc w:val="center"/>
              <w:textAlignment w:val="baseline"/>
              <w:rPr>
                <w:rFonts w:eastAsia="Times New Roman" w:cs="Arial"/>
                <w:szCs w:val="16"/>
              </w:rPr>
            </w:pPr>
            <w:r w:rsidRPr="00ED172B">
              <w:rPr>
                <w:rFonts w:cs="Arial"/>
                <w:color w:val="000000" w:themeColor="text1"/>
                <w:szCs w:val="16"/>
              </w:rPr>
              <w:t>48</w:t>
            </w:r>
          </w:p>
        </w:tc>
        <w:tc>
          <w:tcPr>
            <w:tcW w:w="2157" w:type="dxa"/>
          </w:tcPr>
          <w:p w14:paraId="0FCBCDDA" w14:textId="77777777" w:rsidR="003B7840" w:rsidRPr="00CB52C7" w:rsidRDefault="003B7840" w:rsidP="00C144F3">
            <w:pPr>
              <w:jc w:val="center"/>
              <w:textAlignment w:val="baseline"/>
              <w:rPr>
                <w:rFonts w:eastAsia="Times New Roman" w:cs="Arial"/>
                <w:szCs w:val="16"/>
              </w:rPr>
            </w:pPr>
            <w:r>
              <w:rPr>
                <w:rFonts w:eastAsia="Times New Roman" w:cs="Arial"/>
                <w:szCs w:val="16"/>
              </w:rPr>
              <w:t>4</w:t>
            </w:r>
          </w:p>
        </w:tc>
        <w:tc>
          <w:tcPr>
            <w:tcW w:w="2157" w:type="dxa"/>
          </w:tcPr>
          <w:p w14:paraId="18A4EB4E" w14:textId="77777777" w:rsidR="003B7840" w:rsidRPr="00CB52C7" w:rsidRDefault="003B7840" w:rsidP="00C144F3">
            <w:pPr>
              <w:jc w:val="center"/>
              <w:textAlignment w:val="baseline"/>
              <w:rPr>
                <w:rFonts w:eastAsia="Times New Roman" w:cs="Arial"/>
                <w:szCs w:val="16"/>
              </w:rPr>
            </w:pPr>
            <w:r w:rsidRPr="00ED172B">
              <w:rPr>
                <w:rFonts w:cs="Arial"/>
                <w:color w:val="000000" w:themeColor="text1"/>
                <w:szCs w:val="16"/>
              </w:rPr>
              <w:t>46</w:t>
            </w:r>
          </w:p>
        </w:tc>
        <w:tc>
          <w:tcPr>
            <w:tcW w:w="2157" w:type="dxa"/>
          </w:tcPr>
          <w:p w14:paraId="09E3D147" w14:textId="77777777" w:rsidR="003B7840" w:rsidRPr="00CB52C7" w:rsidRDefault="003B7840" w:rsidP="00C144F3">
            <w:pPr>
              <w:jc w:val="center"/>
              <w:textAlignment w:val="baseline"/>
              <w:rPr>
                <w:rFonts w:eastAsia="Times New Roman" w:cs="Arial"/>
                <w:szCs w:val="16"/>
              </w:rPr>
            </w:pPr>
            <w:r>
              <w:rPr>
                <w:rFonts w:eastAsia="Times New Roman" w:cs="Arial"/>
                <w:szCs w:val="16"/>
              </w:rPr>
              <w:t>4</w:t>
            </w:r>
          </w:p>
        </w:tc>
        <w:tc>
          <w:tcPr>
            <w:tcW w:w="2157" w:type="dxa"/>
          </w:tcPr>
          <w:p w14:paraId="03E03E47" w14:textId="77777777" w:rsidR="003B7840" w:rsidRPr="00746603" w:rsidRDefault="003B7840" w:rsidP="00C144F3">
            <w:pPr>
              <w:jc w:val="center"/>
              <w:textAlignment w:val="baseline"/>
              <w:rPr>
                <w:rFonts w:eastAsia="Times New Roman" w:cs="Arial"/>
                <w:szCs w:val="16"/>
              </w:rPr>
            </w:pPr>
            <w:r w:rsidRPr="00755D89">
              <w:rPr>
                <w:rFonts w:eastAsia="Times New Roman" w:cs="Arial"/>
                <w:szCs w:val="16"/>
              </w:rPr>
              <w:t>2</w:t>
            </w:r>
          </w:p>
        </w:tc>
      </w:tr>
    </w:tbl>
    <w:p w14:paraId="45CB00CC" w14:textId="77777777" w:rsidR="00F42D1A" w:rsidRDefault="00F42D1A" w:rsidP="00F15F58">
      <w:pPr>
        <w:rPr>
          <w:rFonts w:eastAsia="Calibri" w:cs="Arial"/>
          <w:b/>
          <w:bCs/>
          <w:szCs w:val="16"/>
        </w:rPr>
      </w:pPr>
    </w:p>
    <w:p w14:paraId="17EA68BB" w14:textId="77777777" w:rsidR="00F15F58" w:rsidRPr="000123D2" w:rsidRDefault="00C048FB" w:rsidP="00F15F58">
      <w:pPr>
        <w:rPr>
          <w:rFonts w:eastAsia="Calibri" w:cs="Arial"/>
          <w:b/>
          <w:bCs/>
          <w:szCs w:val="16"/>
        </w:rPr>
      </w:pPr>
      <w:r w:rsidRPr="000123D2">
        <w:rPr>
          <w:rFonts w:eastAsia="Calibri" w:cs="Arial"/>
          <w:b/>
          <w:bCs/>
          <w:szCs w:val="16"/>
        </w:rPr>
        <w:t>FFY 2024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8CFFYSPPAPRDATA"/>
      </w:tblPr>
      <w:tblGrid>
        <w:gridCol w:w="1540"/>
        <w:gridCol w:w="1541"/>
        <w:gridCol w:w="1543"/>
        <w:gridCol w:w="1541"/>
        <w:gridCol w:w="1543"/>
        <w:gridCol w:w="1541"/>
        <w:gridCol w:w="1541"/>
      </w:tblGrid>
      <w:tr w:rsidR="00F15F58" w:rsidRPr="00CB52C7" w14:paraId="270EEE76" w14:textId="77777777" w:rsidTr="00C144F3">
        <w:trPr>
          <w:trHeight w:val="360"/>
          <w:tblHeader/>
        </w:trPr>
        <w:tc>
          <w:tcPr>
            <w:tcW w:w="714" w:type="pct"/>
          </w:tcPr>
          <w:p w14:paraId="16C08083" w14:textId="77777777" w:rsidR="00F15F58" w:rsidRPr="00CB52C7" w:rsidRDefault="00F15F58">
            <w:pPr>
              <w:jc w:val="center"/>
              <w:rPr>
                <w:rFonts w:eastAsia="Calibri" w:cs="Arial"/>
                <w:b/>
                <w:szCs w:val="16"/>
              </w:rPr>
            </w:pPr>
            <w:r w:rsidRPr="00CB52C7">
              <w:rPr>
                <w:rFonts w:eastAsia="Calibri" w:cs="Arial"/>
                <w:b/>
                <w:szCs w:val="16"/>
              </w:rPr>
              <w:t>Number of findings of Noncompliance that were timely corrected</w:t>
            </w:r>
          </w:p>
        </w:tc>
        <w:tc>
          <w:tcPr>
            <w:tcW w:w="714" w:type="pct"/>
          </w:tcPr>
          <w:p w14:paraId="720EEC5E" w14:textId="77777777" w:rsidR="00F15F58" w:rsidRPr="00CB52C7" w:rsidRDefault="00F15F58">
            <w:pPr>
              <w:jc w:val="center"/>
              <w:rPr>
                <w:rFonts w:eastAsia="Calibri" w:cs="Arial"/>
                <w:b/>
                <w:szCs w:val="16"/>
              </w:rPr>
            </w:pPr>
            <w:r w:rsidRPr="00CB52C7">
              <w:rPr>
                <w:rFonts w:eastAsia="Calibri" w:cs="Arial"/>
                <w:b/>
                <w:szCs w:val="16"/>
              </w:rPr>
              <w:t>Number of findings of Noncompliance that were identified FFY 2023</w:t>
            </w:r>
          </w:p>
        </w:tc>
        <w:tc>
          <w:tcPr>
            <w:tcW w:w="715" w:type="pct"/>
          </w:tcPr>
          <w:p w14:paraId="418EB6A1" w14:textId="77777777" w:rsidR="00F15F58" w:rsidRPr="00CB52C7" w:rsidRDefault="00F15F58" w:rsidP="009C75E8">
            <w:pPr>
              <w:jc w:val="center"/>
              <w:rPr>
                <w:rFonts w:eastAsia="Calibri" w:cs="Arial"/>
                <w:b/>
                <w:szCs w:val="16"/>
              </w:rPr>
            </w:pPr>
            <w:r w:rsidRPr="00CB52C7">
              <w:rPr>
                <w:rFonts w:eastAsia="Calibri" w:cs="Arial"/>
                <w:b/>
                <w:szCs w:val="16"/>
              </w:rPr>
              <w:t xml:space="preserve">FFY 2023 Data </w:t>
            </w:r>
          </w:p>
        </w:tc>
        <w:tc>
          <w:tcPr>
            <w:tcW w:w="714" w:type="pct"/>
          </w:tcPr>
          <w:p w14:paraId="1B01084C" w14:textId="77777777" w:rsidR="00F15F58" w:rsidRPr="00CB52C7" w:rsidRDefault="00F15F58">
            <w:pPr>
              <w:jc w:val="center"/>
              <w:rPr>
                <w:rFonts w:eastAsia="Calibri" w:cs="Arial"/>
                <w:b/>
                <w:szCs w:val="16"/>
              </w:rPr>
            </w:pPr>
            <w:r w:rsidRPr="00CB52C7">
              <w:rPr>
                <w:rFonts w:eastAsia="Calibri" w:cs="Arial"/>
                <w:b/>
                <w:szCs w:val="16"/>
              </w:rPr>
              <w:t>FFY 2024 Target</w:t>
            </w:r>
          </w:p>
        </w:tc>
        <w:tc>
          <w:tcPr>
            <w:tcW w:w="715" w:type="pct"/>
          </w:tcPr>
          <w:p w14:paraId="11A7FBDE" w14:textId="77777777" w:rsidR="00F15F58" w:rsidRPr="00CB52C7" w:rsidRDefault="00F15F58" w:rsidP="009C75E8">
            <w:pPr>
              <w:jc w:val="center"/>
              <w:rPr>
                <w:rFonts w:eastAsia="Calibri" w:cs="Arial"/>
                <w:b/>
                <w:szCs w:val="16"/>
              </w:rPr>
            </w:pPr>
            <w:r w:rsidRPr="00CB52C7">
              <w:rPr>
                <w:rFonts w:eastAsia="Calibri" w:cs="Arial"/>
                <w:b/>
                <w:szCs w:val="16"/>
              </w:rPr>
              <w:t>FFY 2024 Data</w:t>
            </w:r>
          </w:p>
        </w:tc>
        <w:tc>
          <w:tcPr>
            <w:tcW w:w="714" w:type="pct"/>
          </w:tcPr>
          <w:p w14:paraId="74762639" w14:textId="77777777" w:rsidR="00F15F58" w:rsidRPr="00CB52C7" w:rsidRDefault="00F15F58">
            <w:pPr>
              <w:jc w:val="center"/>
              <w:rPr>
                <w:rFonts w:eastAsia="Calibri" w:cs="Arial"/>
                <w:b/>
                <w:szCs w:val="16"/>
              </w:rPr>
            </w:pPr>
            <w:r w:rsidRPr="00CB52C7">
              <w:rPr>
                <w:rFonts w:eastAsia="Calibri" w:cs="Arial"/>
                <w:b/>
                <w:szCs w:val="16"/>
              </w:rPr>
              <w:t>Status</w:t>
            </w:r>
          </w:p>
        </w:tc>
        <w:tc>
          <w:tcPr>
            <w:tcW w:w="715" w:type="pct"/>
          </w:tcPr>
          <w:p w14:paraId="73A549D9" w14:textId="77777777" w:rsidR="00F15F58" w:rsidRPr="00CB52C7" w:rsidRDefault="00F15F58">
            <w:pPr>
              <w:jc w:val="center"/>
              <w:rPr>
                <w:rFonts w:eastAsia="Calibri" w:cs="Arial"/>
                <w:b/>
                <w:szCs w:val="16"/>
              </w:rPr>
            </w:pPr>
            <w:r w:rsidRPr="00CB52C7">
              <w:rPr>
                <w:rFonts w:eastAsia="Calibri" w:cs="Arial"/>
                <w:b/>
                <w:szCs w:val="16"/>
              </w:rPr>
              <w:t>Slippage</w:t>
            </w:r>
          </w:p>
        </w:tc>
      </w:tr>
      <w:tr w:rsidR="003B7840" w:rsidRPr="00CB52C7" w14:paraId="7B8049AF" w14:textId="77777777" w:rsidTr="00C144F3">
        <w:trPr>
          <w:trHeight w:val="360"/>
          <w:tblHeader/>
        </w:trPr>
        <w:tc>
          <w:tcPr>
            <w:tcW w:w="714" w:type="pct"/>
          </w:tcPr>
          <w:p w14:paraId="02DEFC9D" w14:textId="77777777" w:rsidR="003B7840" w:rsidRPr="00CB52C7" w:rsidRDefault="003B7840" w:rsidP="009C75E8">
            <w:pPr>
              <w:jc w:val="center"/>
              <w:rPr>
                <w:rFonts w:eastAsia="Calibri" w:cs="Arial"/>
                <w:caps/>
                <w:szCs w:val="16"/>
              </w:rPr>
            </w:pPr>
            <w:r>
              <w:rPr>
                <w:rFonts w:cs="Arial"/>
                <w:color w:val="000000" w:themeColor="text1"/>
                <w:szCs w:val="16"/>
              </w:rPr>
              <w:t>50</w:t>
            </w:r>
          </w:p>
        </w:tc>
        <w:tc>
          <w:tcPr>
            <w:tcW w:w="714" w:type="pct"/>
          </w:tcPr>
          <w:p w14:paraId="3F8DBB0C" w14:textId="77777777" w:rsidR="003B7840" w:rsidRPr="00CB52C7" w:rsidRDefault="003B7840" w:rsidP="003B7840">
            <w:pPr>
              <w:jc w:val="center"/>
              <w:rPr>
                <w:rFonts w:eastAsia="Calibri" w:cs="Arial"/>
                <w:caps/>
                <w:szCs w:val="16"/>
              </w:rPr>
            </w:pPr>
            <w:r>
              <w:rPr>
                <w:rFonts w:cs="Arial"/>
                <w:color w:val="000000" w:themeColor="text1"/>
                <w:szCs w:val="16"/>
              </w:rPr>
              <w:t>52</w:t>
            </w:r>
          </w:p>
        </w:tc>
        <w:tc>
          <w:tcPr>
            <w:tcW w:w="715" w:type="pct"/>
          </w:tcPr>
          <w:p w14:paraId="3B4D950D" w14:textId="77777777" w:rsidR="003B7840" w:rsidRPr="00CB52C7" w:rsidRDefault="003B7840" w:rsidP="003B7840">
            <w:pPr>
              <w:jc w:val="center"/>
              <w:rPr>
                <w:rFonts w:eastAsia="Calibri" w:cs="Arial"/>
                <w:caps/>
                <w:szCs w:val="16"/>
              </w:rPr>
            </w:pPr>
            <w:r w:rsidRPr="00ED172B">
              <w:rPr>
                <w:rFonts w:cs="Arial"/>
                <w:color w:val="000000" w:themeColor="text1"/>
                <w:szCs w:val="16"/>
              </w:rPr>
              <w:t>98.21%</w:t>
            </w:r>
          </w:p>
        </w:tc>
        <w:tc>
          <w:tcPr>
            <w:tcW w:w="714" w:type="pct"/>
          </w:tcPr>
          <w:p w14:paraId="2A5BEE76" w14:textId="77777777" w:rsidR="003B7840" w:rsidRPr="00CB52C7" w:rsidRDefault="003B7840" w:rsidP="003B7840">
            <w:pPr>
              <w:jc w:val="center"/>
              <w:rPr>
                <w:rFonts w:eastAsia="Calibri" w:cs="Arial"/>
                <w:caps/>
                <w:szCs w:val="16"/>
              </w:rPr>
            </w:pPr>
            <w:r w:rsidRPr="00ED172B">
              <w:rPr>
                <w:color w:val="000000" w:themeColor="text1"/>
                <w:szCs w:val="16"/>
              </w:rPr>
              <w:t>100%</w:t>
            </w:r>
          </w:p>
        </w:tc>
        <w:tc>
          <w:tcPr>
            <w:tcW w:w="715" w:type="pct"/>
          </w:tcPr>
          <w:p w14:paraId="23D7FD6F" w14:textId="77777777" w:rsidR="003B7840" w:rsidRPr="00CB52C7" w:rsidRDefault="003B7840" w:rsidP="009C75E8">
            <w:pPr>
              <w:jc w:val="center"/>
              <w:rPr>
                <w:rFonts w:eastAsia="Calibri" w:cs="Arial"/>
                <w:caps/>
                <w:szCs w:val="16"/>
              </w:rPr>
            </w:pPr>
            <w:r w:rsidRPr="00ED172B">
              <w:rPr>
                <w:rFonts w:cs="Arial"/>
                <w:color w:val="000000" w:themeColor="text1"/>
                <w:szCs w:val="16"/>
              </w:rPr>
              <w:t>96.15%</w:t>
            </w:r>
          </w:p>
        </w:tc>
        <w:tc>
          <w:tcPr>
            <w:tcW w:w="714" w:type="pct"/>
          </w:tcPr>
          <w:p w14:paraId="302259A0" w14:textId="77777777" w:rsidR="003B7840" w:rsidRPr="00CB52C7" w:rsidRDefault="003B7840" w:rsidP="009C75E8">
            <w:pPr>
              <w:jc w:val="center"/>
              <w:rPr>
                <w:rFonts w:eastAsia="Calibri" w:cs="Arial"/>
                <w:caps/>
                <w:szCs w:val="16"/>
              </w:rPr>
            </w:pPr>
            <w:r w:rsidRPr="00ED172B">
              <w:rPr>
                <w:color w:val="000000" w:themeColor="text1"/>
              </w:rPr>
              <w:t>Did not meet target</w:t>
            </w:r>
          </w:p>
        </w:tc>
        <w:tc>
          <w:tcPr>
            <w:tcW w:w="715" w:type="pct"/>
          </w:tcPr>
          <w:p w14:paraId="30D521D9" w14:textId="77777777" w:rsidR="003B7840" w:rsidRPr="00CB52C7" w:rsidRDefault="003B7840" w:rsidP="009C75E8">
            <w:pPr>
              <w:jc w:val="center"/>
              <w:rPr>
                <w:rFonts w:eastAsia="Calibri" w:cs="Arial"/>
                <w:caps/>
                <w:szCs w:val="16"/>
              </w:rPr>
            </w:pPr>
            <w:r w:rsidRPr="00ED172B">
              <w:rPr>
                <w:color w:val="000000" w:themeColor="text1"/>
              </w:rPr>
              <w:t>Slippage</w:t>
            </w:r>
          </w:p>
        </w:tc>
      </w:tr>
    </w:tbl>
    <w:p w14:paraId="0397C633" w14:textId="77777777" w:rsidR="00F15F58" w:rsidRDefault="00F15F58" w:rsidP="00F15F58">
      <w:pPr>
        <w:rPr>
          <w:rFonts w:eastAsia="Calibri" w:cs="Arial"/>
          <w:b/>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8CFFYPCTFONNTC"/>
      </w:tblPr>
      <w:tblGrid>
        <w:gridCol w:w="8004"/>
        <w:gridCol w:w="2786"/>
      </w:tblGrid>
      <w:tr w:rsidR="00F15F58" w:rsidRPr="00CB52C7" w14:paraId="2A44457E" w14:textId="77777777" w:rsidTr="00C144F3">
        <w:trPr>
          <w:trHeight w:val="720"/>
        </w:trPr>
        <w:tc>
          <w:tcPr>
            <w:tcW w:w="3709" w:type="pct"/>
            <w:vAlign w:val="center"/>
          </w:tcPr>
          <w:p w14:paraId="709B3D4F" w14:textId="77777777" w:rsidR="00F15F58" w:rsidRPr="00CB52C7" w:rsidRDefault="00F15F58">
            <w:pPr>
              <w:jc w:val="center"/>
              <w:rPr>
                <w:rFonts w:eastAsia="Calibri" w:cs="Arial"/>
                <w:caps/>
                <w:szCs w:val="16"/>
              </w:rPr>
            </w:pPr>
            <w:r w:rsidRPr="007D0769">
              <w:rPr>
                <w:rFonts w:eastAsia="Times New Roman" w:cs="Arial"/>
                <w:szCs w:val="16"/>
              </w:rPr>
              <w:t>Percent of findings of noncompliance not corrected or not verified as corrected within one year of identification</w:t>
            </w:r>
          </w:p>
        </w:tc>
        <w:tc>
          <w:tcPr>
            <w:tcW w:w="1291" w:type="pct"/>
            <w:vAlign w:val="center"/>
          </w:tcPr>
          <w:p w14:paraId="0E8BF50A" w14:textId="77777777" w:rsidR="00F15F58" w:rsidRPr="00CB52C7" w:rsidRDefault="003B7840" w:rsidP="008D766F">
            <w:pPr>
              <w:jc w:val="center"/>
              <w:rPr>
                <w:rFonts w:eastAsia="Calibri" w:cs="Arial"/>
                <w:caps/>
                <w:szCs w:val="16"/>
              </w:rPr>
            </w:pPr>
            <w:r>
              <w:rPr>
                <w:rFonts w:eastAsia="Calibri" w:cs="Arial"/>
                <w:iCs/>
                <w:szCs w:val="16"/>
              </w:rPr>
              <w:t>3.85%</w:t>
            </w:r>
          </w:p>
        </w:tc>
      </w:tr>
    </w:tbl>
    <w:p w14:paraId="182AC9D8" w14:textId="77777777" w:rsidR="00C9712C" w:rsidRDefault="00C9712C" w:rsidP="001C2EC2">
      <w:pPr>
        <w:spacing w:line="276" w:lineRule="auto"/>
        <w:rPr>
          <w:color w:val="000000" w:themeColor="text1"/>
        </w:rPr>
      </w:pPr>
    </w:p>
    <w:p w14:paraId="3C8E197E" w14:textId="77777777" w:rsidR="00F15F58" w:rsidRDefault="00F15F58" w:rsidP="00C144F3">
      <w:pPr>
        <w:spacing w:line="276" w:lineRule="auto"/>
        <w:rPr>
          <w:color w:val="000000" w:themeColor="text1"/>
        </w:rPr>
      </w:pPr>
      <w:r w:rsidRPr="00CB52C7">
        <w:rPr>
          <w:rFonts w:eastAsia="Calibri" w:cs="Arial"/>
          <w:b/>
          <w:szCs w:val="16"/>
        </w:rPr>
        <w:t>Provide reasons for slippage, if applicable</w:t>
      </w:r>
    </w:p>
    <w:p w14:paraId="3274CF31" w14:textId="77777777" w:rsidR="00F15F58" w:rsidRDefault="00F15F58" w:rsidP="00C144F3">
      <w:pPr>
        <w:spacing w:line="276" w:lineRule="auto"/>
        <w:rPr>
          <w:color w:val="000000" w:themeColor="text1"/>
        </w:rPr>
      </w:pPr>
      <w:r>
        <w:rPr>
          <w:color w:val="000000" w:themeColor="text1"/>
        </w:rPr>
        <w:t>The slippage from 98.21% to 96.15% reflects two (2) findings identified in FFY 2023 related to Indicator 4B (discipline) that were corrected, but for which verification of correction occurred outside the one-year correction timeframe.</w:t>
      </w:r>
    </w:p>
    <w:p w14:paraId="463D4B2A" w14:textId="77777777" w:rsidR="00F15F58" w:rsidRPr="00C144F3" w:rsidRDefault="00F15F58" w:rsidP="00C144F3">
      <w:pPr>
        <w:keepNext/>
        <w:rPr>
          <w:rFonts w:eastAsia="Calibri" w:cs="Arial"/>
          <w:b/>
          <w:bCs/>
          <w:szCs w:val="16"/>
        </w:rPr>
      </w:pPr>
      <w:r w:rsidRPr="00C144F3">
        <w:rPr>
          <w:rFonts w:eastAsia="Calibri" w:cs="Arial"/>
          <w:b/>
          <w:bCs/>
          <w:szCs w:val="16"/>
        </w:rPr>
        <w:t>Provide additional information about this indicator (optional)</w:t>
      </w:r>
    </w:p>
    <w:p w14:paraId="38796539" w14:textId="77777777" w:rsidR="00F15F58" w:rsidRDefault="00F15F58" w:rsidP="00C144F3">
      <w:pPr>
        <w:spacing w:line="276" w:lineRule="auto"/>
        <w:rPr>
          <w:color w:val="000000" w:themeColor="text1"/>
        </w:rPr>
      </w:pPr>
    </w:p>
    <w:p w14:paraId="242D02D1" w14:textId="77777777" w:rsidR="001C2EC2" w:rsidRDefault="001C2EC2" w:rsidP="001C2EC2">
      <w:pPr>
        <w:textAlignment w:val="baseline"/>
        <w:rPr>
          <w:rFonts w:eastAsia="Times New Roman" w:cs="Arial"/>
          <w:b/>
          <w:bCs/>
          <w:szCs w:val="16"/>
        </w:rPr>
      </w:pPr>
    </w:p>
    <w:p w14:paraId="6DD1CDDC" w14:textId="77777777" w:rsidR="00F15F58" w:rsidRPr="00CB52C7" w:rsidRDefault="00F15F58" w:rsidP="00C144F3">
      <w:pPr>
        <w:textAlignment w:val="baseline"/>
        <w:rPr>
          <w:rFonts w:eastAsia="Times New Roman" w:cs="Arial"/>
          <w:b/>
          <w:bCs/>
          <w:szCs w:val="16"/>
        </w:rPr>
      </w:pPr>
      <w:r w:rsidRPr="00CB52C7">
        <w:rPr>
          <w:rFonts w:eastAsia="Times New Roman" w:cs="Arial"/>
          <w:b/>
          <w:bCs/>
          <w:szCs w:val="16"/>
        </w:rPr>
        <w:t>Summary of Findings of Noncompliance identified in FFY 2023 Corrected in FFY 2024 (corrected within one year from identification of the noncompliance):</w:t>
      </w:r>
    </w:p>
    <w:tbl>
      <w:tblPr>
        <w:tblW w:w="1077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B1FINDINGSOFNONCOMPLIANCECORRECTED"/>
      </w:tblPr>
      <w:tblGrid>
        <w:gridCol w:w="9642"/>
        <w:gridCol w:w="1130"/>
      </w:tblGrid>
      <w:tr w:rsidR="00F15F58" w:rsidRPr="00CB52C7" w14:paraId="6B3EC79D" w14:textId="77777777" w:rsidTr="00C144F3">
        <w:trPr>
          <w:trHeight w:val="360"/>
        </w:trPr>
        <w:tc>
          <w:tcPr>
            <w:tcW w:w="9642" w:type="dxa"/>
            <w:tcMar>
              <w:top w:w="14" w:type="dxa"/>
              <w:left w:w="58" w:type="dxa"/>
              <w:bottom w:w="14" w:type="dxa"/>
              <w:right w:w="58" w:type="dxa"/>
            </w:tcMar>
            <w:hideMark/>
          </w:tcPr>
          <w:p w14:paraId="24D36B22" w14:textId="77777777" w:rsidR="00F15F58" w:rsidRPr="00CB52C7" w:rsidRDefault="00F15F58" w:rsidP="00F42D1A">
            <w:pPr>
              <w:spacing w:before="0" w:after="0"/>
              <w:textAlignment w:val="baseline"/>
              <w:rPr>
                <w:rFonts w:eastAsia="Times New Roman" w:cs="Arial"/>
                <w:szCs w:val="16"/>
              </w:rPr>
            </w:pPr>
            <w:r w:rsidRPr="00CB52C7">
              <w:rPr>
                <w:rFonts w:eastAsia="Times New Roman" w:cs="Arial"/>
                <w:szCs w:val="16"/>
              </w:rPr>
              <w:t xml:space="preserve">1. Number of findings of noncompliance the State identified during FFY 2023 (the period from July 1, </w:t>
            </w:r>
            <w:proofErr w:type="gramStart"/>
            <w:r w:rsidRPr="00CB52C7">
              <w:rPr>
                <w:rFonts w:eastAsia="Times New Roman" w:cs="Arial"/>
                <w:szCs w:val="16"/>
              </w:rPr>
              <w:t>2023</w:t>
            </w:r>
            <w:proofErr w:type="gramEnd"/>
            <w:r w:rsidRPr="00CB52C7">
              <w:rPr>
                <w:rFonts w:eastAsia="Times New Roman" w:cs="Arial"/>
                <w:szCs w:val="16"/>
              </w:rPr>
              <w:t xml:space="preserve"> through June 30, 2024)</w:t>
            </w:r>
          </w:p>
        </w:tc>
        <w:tc>
          <w:tcPr>
            <w:tcW w:w="1130" w:type="dxa"/>
            <w:tcMar>
              <w:top w:w="14" w:type="dxa"/>
              <w:left w:w="58" w:type="dxa"/>
              <w:bottom w:w="14" w:type="dxa"/>
              <w:right w:w="58" w:type="dxa"/>
            </w:tcMar>
            <w:vAlign w:val="center"/>
          </w:tcPr>
          <w:p w14:paraId="5DC1B4B7" w14:textId="77777777" w:rsidR="00F15F58" w:rsidRPr="00CB52C7" w:rsidRDefault="003B7840" w:rsidP="00F42D1A">
            <w:pPr>
              <w:spacing w:before="0" w:after="0"/>
              <w:jc w:val="center"/>
              <w:textAlignment w:val="baseline"/>
              <w:rPr>
                <w:rFonts w:eastAsia="Times New Roman" w:cs="Arial"/>
                <w:szCs w:val="16"/>
              </w:rPr>
            </w:pPr>
            <w:r>
              <w:rPr>
                <w:rFonts w:eastAsia="Times New Roman" w:cs="Arial"/>
                <w:szCs w:val="16"/>
              </w:rPr>
              <w:t>52</w:t>
            </w:r>
          </w:p>
        </w:tc>
      </w:tr>
      <w:tr w:rsidR="00F15F58" w:rsidRPr="00CB52C7" w14:paraId="269DFE5B" w14:textId="77777777" w:rsidTr="00C144F3">
        <w:trPr>
          <w:trHeight w:val="360"/>
        </w:trPr>
        <w:tc>
          <w:tcPr>
            <w:tcW w:w="9642" w:type="dxa"/>
            <w:tcMar>
              <w:top w:w="14" w:type="dxa"/>
              <w:left w:w="58" w:type="dxa"/>
              <w:bottom w:w="14" w:type="dxa"/>
              <w:right w:w="58" w:type="dxa"/>
            </w:tcMar>
            <w:hideMark/>
          </w:tcPr>
          <w:p w14:paraId="627CCAE5" w14:textId="77777777" w:rsidR="00F15F58" w:rsidRPr="00CB52C7" w:rsidRDefault="00F15F58" w:rsidP="00F42D1A">
            <w:pPr>
              <w:spacing w:before="0" w:after="0"/>
              <w:textAlignment w:val="baseline"/>
              <w:rPr>
                <w:rFonts w:eastAsia="Times New Roman" w:cs="Arial"/>
                <w:szCs w:val="16"/>
              </w:rPr>
            </w:pPr>
            <w:r w:rsidRPr="00CB52C7">
              <w:rPr>
                <w:rFonts w:eastAsia="Times New Roman" w:cs="Arial"/>
                <w:szCs w:val="16"/>
              </w:rPr>
              <w:t>2. Number of findings the State verified as timely corrected (corrected within one year from the date of written notification to the LEA of the finding)</w:t>
            </w:r>
          </w:p>
        </w:tc>
        <w:tc>
          <w:tcPr>
            <w:tcW w:w="1130" w:type="dxa"/>
            <w:tcMar>
              <w:top w:w="14" w:type="dxa"/>
              <w:left w:w="58" w:type="dxa"/>
              <w:bottom w:w="14" w:type="dxa"/>
              <w:right w:w="58" w:type="dxa"/>
            </w:tcMar>
            <w:vAlign w:val="center"/>
          </w:tcPr>
          <w:p w14:paraId="68808C94" w14:textId="77777777" w:rsidR="00F15F58" w:rsidRPr="00CB52C7" w:rsidRDefault="003B7840" w:rsidP="00F42D1A">
            <w:pPr>
              <w:spacing w:before="0" w:after="0"/>
              <w:jc w:val="center"/>
              <w:textAlignment w:val="baseline"/>
              <w:rPr>
                <w:rFonts w:eastAsia="Times New Roman" w:cs="Arial"/>
                <w:szCs w:val="16"/>
              </w:rPr>
            </w:pPr>
            <w:r>
              <w:rPr>
                <w:rFonts w:eastAsia="Times New Roman" w:cs="Arial"/>
                <w:szCs w:val="16"/>
              </w:rPr>
              <w:t>50</w:t>
            </w:r>
          </w:p>
        </w:tc>
      </w:tr>
      <w:tr w:rsidR="00F15F58" w:rsidRPr="00CB52C7" w14:paraId="67409E03" w14:textId="77777777" w:rsidTr="00C144F3">
        <w:trPr>
          <w:trHeight w:val="360"/>
        </w:trPr>
        <w:tc>
          <w:tcPr>
            <w:tcW w:w="9642" w:type="dxa"/>
            <w:tcMar>
              <w:top w:w="14" w:type="dxa"/>
              <w:left w:w="58" w:type="dxa"/>
              <w:bottom w:w="14" w:type="dxa"/>
              <w:right w:w="58" w:type="dxa"/>
            </w:tcMar>
            <w:hideMark/>
          </w:tcPr>
          <w:p w14:paraId="1633B4D0" w14:textId="77777777" w:rsidR="00F15F58" w:rsidRPr="00CB52C7" w:rsidRDefault="00F15F58" w:rsidP="00F42D1A">
            <w:pPr>
              <w:spacing w:before="0" w:after="0"/>
              <w:textAlignment w:val="baseline"/>
              <w:rPr>
                <w:rFonts w:eastAsia="Times New Roman" w:cs="Arial"/>
                <w:szCs w:val="16"/>
              </w:rPr>
            </w:pPr>
            <w:r w:rsidRPr="00CB52C7">
              <w:rPr>
                <w:rFonts w:eastAsia="Times New Roman" w:cs="Arial"/>
                <w:szCs w:val="16"/>
              </w:rPr>
              <w:t xml:space="preserve">3. Number of findings </w:t>
            </w:r>
            <w:r w:rsidRPr="00CB52C7">
              <w:rPr>
                <w:rFonts w:eastAsia="Times New Roman" w:cs="Arial"/>
                <w:szCs w:val="16"/>
                <w:u w:val="single"/>
              </w:rPr>
              <w:t>not</w:t>
            </w:r>
            <w:r w:rsidRPr="00CB52C7">
              <w:rPr>
                <w:rFonts w:eastAsia="Times New Roman" w:cs="Arial"/>
                <w:szCs w:val="16"/>
              </w:rPr>
              <w:t xml:space="preserve"> verified as corrected within one year</w:t>
            </w:r>
          </w:p>
        </w:tc>
        <w:tc>
          <w:tcPr>
            <w:tcW w:w="1130" w:type="dxa"/>
            <w:tcMar>
              <w:top w:w="14" w:type="dxa"/>
              <w:left w:w="58" w:type="dxa"/>
              <w:bottom w:w="14" w:type="dxa"/>
              <w:right w:w="58" w:type="dxa"/>
            </w:tcMar>
            <w:vAlign w:val="center"/>
          </w:tcPr>
          <w:p w14:paraId="58AC5B8A" w14:textId="77777777" w:rsidR="00F15F58" w:rsidRPr="00CB52C7" w:rsidRDefault="003B7840" w:rsidP="00F42D1A">
            <w:pPr>
              <w:spacing w:before="0" w:after="0"/>
              <w:jc w:val="center"/>
              <w:textAlignment w:val="baseline"/>
              <w:rPr>
                <w:rFonts w:eastAsia="Times New Roman" w:cs="Arial"/>
                <w:szCs w:val="16"/>
              </w:rPr>
            </w:pPr>
            <w:r>
              <w:rPr>
                <w:rFonts w:eastAsia="Times New Roman" w:cs="Arial"/>
                <w:szCs w:val="16"/>
              </w:rPr>
              <w:t>2</w:t>
            </w:r>
          </w:p>
        </w:tc>
      </w:tr>
    </w:tbl>
    <w:p w14:paraId="34FAD3F9" w14:textId="77777777" w:rsidR="00F15F58" w:rsidRPr="00CB52C7" w:rsidRDefault="00F15F58" w:rsidP="00C144F3">
      <w:pPr>
        <w:jc w:val="both"/>
        <w:textAlignment w:val="baseline"/>
        <w:rPr>
          <w:rFonts w:eastAsia="Times New Roman" w:cs="Arial"/>
          <w:szCs w:val="16"/>
        </w:rPr>
      </w:pPr>
    </w:p>
    <w:p w14:paraId="15A2CD1A" w14:textId="77777777" w:rsidR="00F15F58" w:rsidRPr="00CB52C7" w:rsidRDefault="00F15F58" w:rsidP="00C144F3">
      <w:pPr>
        <w:textAlignment w:val="baseline"/>
        <w:rPr>
          <w:rFonts w:eastAsia="Times New Roman" w:cs="Arial"/>
          <w:b/>
          <w:bCs/>
          <w:szCs w:val="16"/>
        </w:rPr>
      </w:pPr>
      <w:r w:rsidRPr="00CB52C7">
        <w:rPr>
          <w:rFonts w:eastAsia="Times New Roman" w:cs="Arial"/>
          <w:b/>
          <w:bCs/>
          <w:szCs w:val="16"/>
        </w:rPr>
        <w:t>Subsequent Correction: Summary of All Outstanding Findings of Noncompliance Identified in FFY 2023 Not Timely Corrected in FFY 2024 (corrected more than one year from identification of the noncompliance):</w:t>
      </w:r>
    </w:p>
    <w:tbl>
      <w:tblPr>
        <w:tblW w:w="1077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B18SUBSEQUENTCORRECTION"/>
      </w:tblPr>
      <w:tblGrid>
        <w:gridCol w:w="6726"/>
        <w:gridCol w:w="4047"/>
      </w:tblGrid>
      <w:tr w:rsidR="00F15F58" w:rsidRPr="00CB52C7" w14:paraId="4ED126BB" w14:textId="77777777" w:rsidTr="00C144F3">
        <w:trPr>
          <w:trHeight w:val="348"/>
        </w:trPr>
        <w:tc>
          <w:tcPr>
            <w:tcW w:w="6726" w:type="dxa"/>
            <w:tcMar>
              <w:top w:w="14" w:type="dxa"/>
              <w:left w:w="58" w:type="dxa"/>
              <w:bottom w:w="14" w:type="dxa"/>
              <w:right w:w="58" w:type="dxa"/>
            </w:tcMar>
            <w:hideMark/>
          </w:tcPr>
          <w:p w14:paraId="21A32987" w14:textId="77777777" w:rsidR="00F15F58" w:rsidRPr="00CB52C7" w:rsidRDefault="00F15F58">
            <w:pPr>
              <w:spacing w:after="0"/>
              <w:textAlignment w:val="baseline"/>
              <w:rPr>
                <w:rFonts w:eastAsia="Times New Roman" w:cs="Arial"/>
                <w:szCs w:val="16"/>
              </w:rPr>
            </w:pPr>
            <w:r w:rsidRPr="00CB52C7">
              <w:rPr>
                <w:rFonts w:eastAsia="Times New Roman" w:cs="Arial"/>
                <w:szCs w:val="16"/>
              </w:rPr>
              <w:t>4. Number of findings of noncompliance not timely corrected</w:t>
            </w:r>
          </w:p>
        </w:tc>
        <w:tc>
          <w:tcPr>
            <w:tcW w:w="4047" w:type="dxa"/>
            <w:tcMar>
              <w:top w:w="14" w:type="dxa"/>
              <w:left w:w="58" w:type="dxa"/>
              <w:bottom w:w="14" w:type="dxa"/>
              <w:right w:w="58" w:type="dxa"/>
            </w:tcMar>
            <w:vAlign w:val="center"/>
          </w:tcPr>
          <w:p w14:paraId="0B7CD3AC" w14:textId="77777777" w:rsidR="00F15F58" w:rsidRPr="00CB52C7" w:rsidRDefault="003B7840">
            <w:pPr>
              <w:spacing w:after="0"/>
              <w:jc w:val="center"/>
              <w:textAlignment w:val="baseline"/>
              <w:rPr>
                <w:rFonts w:eastAsia="Times New Roman" w:cs="Arial"/>
                <w:szCs w:val="16"/>
              </w:rPr>
            </w:pPr>
            <w:r>
              <w:rPr>
                <w:rFonts w:eastAsia="Times New Roman" w:cs="Arial"/>
                <w:szCs w:val="16"/>
              </w:rPr>
              <w:t>2</w:t>
            </w:r>
          </w:p>
        </w:tc>
      </w:tr>
      <w:tr w:rsidR="00F15F58" w:rsidRPr="00CB52C7" w14:paraId="72B93004" w14:textId="77777777" w:rsidTr="00F42D1A">
        <w:trPr>
          <w:trHeight w:val="348"/>
        </w:trPr>
        <w:tc>
          <w:tcPr>
            <w:tcW w:w="6726" w:type="dxa"/>
            <w:tcMar>
              <w:top w:w="14" w:type="dxa"/>
              <w:left w:w="58" w:type="dxa"/>
              <w:bottom w:w="14" w:type="dxa"/>
              <w:right w:w="58" w:type="dxa"/>
            </w:tcMar>
            <w:hideMark/>
          </w:tcPr>
          <w:p w14:paraId="48C7A515" w14:textId="77777777" w:rsidR="00F15F58" w:rsidRPr="00CB52C7" w:rsidRDefault="0092282C">
            <w:pPr>
              <w:spacing w:after="0"/>
              <w:textAlignment w:val="baseline"/>
              <w:rPr>
                <w:rFonts w:eastAsia="Times New Roman" w:cs="Arial"/>
                <w:szCs w:val="16"/>
              </w:rPr>
            </w:pPr>
            <w:r w:rsidRPr="007D0769">
              <w:rPr>
                <w:rFonts w:eastAsia="Times New Roman" w:cs="Arial"/>
                <w:szCs w:val="16"/>
              </w:rPr>
              <w:lastRenderedPageBreak/>
              <w:t xml:space="preserve">5. Number of findings in Col. </w:t>
            </w:r>
            <w:proofErr w:type="gramStart"/>
            <w:r w:rsidRPr="007D0769">
              <w:rPr>
                <w:rFonts w:eastAsia="Times New Roman" w:cs="Arial"/>
                <w:szCs w:val="16"/>
              </w:rPr>
              <w:t>A the</w:t>
            </w:r>
            <w:proofErr w:type="gramEnd"/>
            <w:r w:rsidRPr="007D0769">
              <w:rPr>
                <w:rFonts w:eastAsia="Times New Roman" w:cs="Arial"/>
                <w:szCs w:val="16"/>
              </w:rPr>
              <w:t xml:space="preserve"> State has verified as corrected beyond the one-year timeline for Indicator 4B, 9, 10, 11, 12, 13 (“subsequent correction”)</w:t>
            </w:r>
          </w:p>
        </w:tc>
        <w:tc>
          <w:tcPr>
            <w:tcW w:w="4047" w:type="dxa"/>
            <w:tcMar>
              <w:top w:w="14" w:type="dxa"/>
              <w:left w:w="58" w:type="dxa"/>
              <w:bottom w:w="14" w:type="dxa"/>
              <w:right w:w="58" w:type="dxa"/>
            </w:tcMar>
            <w:vAlign w:val="center"/>
          </w:tcPr>
          <w:p w14:paraId="2E14E59B" w14:textId="77777777" w:rsidR="00F15F58" w:rsidRPr="00CB52C7" w:rsidRDefault="003B7840">
            <w:pPr>
              <w:spacing w:after="0"/>
              <w:jc w:val="center"/>
              <w:textAlignment w:val="baseline"/>
              <w:rPr>
                <w:rFonts w:eastAsia="Times New Roman" w:cs="Arial"/>
                <w:szCs w:val="16"/>
              </w:rPr>
            </w:pPr>
            <w:r>
              <w:rPr>
                <w:rFonts w:eastAsia="Times New Roman" w:cs="Arial"/>
                <w:szCs w:val="16"/>
              </w:rPr>
              <w:t>2</w:t>
            </w:r>
          </w:p>
        </w:tc>
      </w:tr>
      <w:tr w:rsidR="00F70490" w:rsidRPr="00CB52C7" w14:paraId="7612EC29" w14:textId="77777777" w:rsidTr="00C144F3">
        <w:trPr>
          <w:trHeight w:val="348"/>
        </w:trPr>
        <w:tc>
          <w:tcPr>
            <w:tcW w:w="6726" w:type="dxa"/>
            <w:tcMar>
              <w:top w:w="14" w:type="dxa"/>
              <w:left w:w="58" w:type="dxa"/>
              <w:bottom w:w="14" w:type="dxa"/>
              <w:right w:w="58" w:type="dxa"/>
            </w:tcMar>
          </w:tcPr>
          <w:p w14:paraId="4573F8F2" w14:textId="77777777" w:rsidR="00F70490" w:rsidRPr="00CB52C7" w:rsidRDefault="00F70490" w:rsidP="00F70490">
            <w:pPr>
              <w:spacing w:after="0"/>
              <w:textAlignment w:val="baseline"/>
              <w:rPr>
                <w:rFonts w:eastAsia="Times New Roman" w:cs="Arial"/>
                <w:szCs w:val="16"/>
              </w:rPr>
            </w:pPr>
            <w:r>
              <w:rPr>
                <w:rFonts w:eastAsia="Times New Roman" w:cs="Arial"/>
                <w:szCs w:val="16"/>
              </w:rPr>
              <w:t>6a. Number of additional written findings of noncompliance (Col. B) the state has verified as corrected beyond the one-year timeline (“subsequent correction”) - Indicator 4B</w:t>
            </w:r>
          </w:p>
        </w:tc>
        <w:tc>
          <w:tcPr>
            <w:tcW w:w="4047" w:type="dxa"/>
            <w:tcMar>
              <w:top w:w="14" w:type="dxa"/>
              <w:left w:w="58" w:type="dxa"/>
              <w:bottom w:w="14" w:type="dxa"/>
              <w:right w:w="58" w:type="dxa"/>
            </w:tcMar>
            <w:vAlign w:val="center"/>
          </w:tcPr>
          <w:p w14:paraId="0D22408C" w14:textId="77777777" w:rsidR="00F70490" w:rsidRDefault="00F70490" w:rsidP="00F70490">
            <w:pPr>
              <w:spacing w:after="0"/>
              <w:jc w:val="center"/>
              <w:textAlignment w:val="baseline"/>
              <w:rPr>
                <w:rFonts w:eastAsia="Times New Roman" w:cs="Arial"/>
                <w:szCs w:val="16"/>
              </w:rPr>
            </w:pPr>
          </w:p>
        </w:tc>
      </w:tr>
      <w:tr w:rsidR="00F70490" w:rsidRPr="00CB52C7" w14:paraId="07FEDD46" w14:textId="77777777" w:rsidTr="00C144F3">
        <w:trPr>
          <w:trHeight w:val="348"/>
        </w:trPr>
        <w:tc>
          <w:tcPr>
            <w:tcW w:w="6726" w:type="dxa"/>
            <w:tcMar>
              <w:top w:w="14" w:type="dxa"/>
              <w:left w:w="58" w:type="dxa"/>
              <w:bottom w:w="14" w:type="dxa"/>
              <w:right w:w="58" w:type="dxa"/>
            </w:tcMar>
          </w:tcPr>
          <w:p w14:paraId="4EFACEAA" w14:textId="77777777" w:rsidR="00F70490" w:rsidRPr="00CB52C7" w:rsidRDefault="00F70490" w:rsidP="00F70490">
            <w:pPr>
              <w:spacing w:after="0"/>
              <w:textAlignment w:val="baseline"/>
              <w:rPr>
                <w:rFonts w:eastAsia="Times New Roman" w:cs="Arial"/>
                <w:szCs w:val="16"/>
              </w:rPr>
            </w:pPr>
            <w:r w:rsidRPr="003F2A09">
              <w:rPr>
                <w:rFonts w:eastAsia="Times New Roman" w:cs="Arial"/>
                <w:szCs w:val="16"/>
              </w:rPr>
              <w:t>6b. Number of additional written findings of noncompliance (Col. B) the state has verified as corrected beyond the one-year timeline (“subsequent correction”) - Indicator 9</w:t>
            </w:r>
          </w:p>
        </w:tc>
        <w:tc>
          <w:tcPr>
            <w:tcW w:w="4047" w:type="dxa"/>
            <w:tcMar>
              <w:top w:w="14" w:type="dxa"/>
              <w:left w:w="58" w:type="dxa"/>
              <w:bottom w:w="14" w:type="dxa"/>
              <w:right w:w="58" w:type="dxa"/>
            </w:tcMar>
            <w:vAlign w:val="center"/>
          </w:tcPr>
          <w:p w14:paraId="06D72DA6" w14:textId="77777777" w:rsidR="00F70490" w:rsidRDefault="00F70490" w:rsidP="00F70490">
            <w:pPr>
              <w:spacing w:after="0"/>
              <w:jc w:val="center"/>
              <w:textAlignment w:val="baseline"/>
              <w:rPr>
                <w:rFonts w:eastAsia="Times New Roman" w:cs="Arial"/>
                <w:szCs w:val="16"/>
              </w:rPr>
            </w:pPr>
          </w:p>
        </w:tc>
      </w:tr>
      <w:tr w:rsidR="00F70490" w:rsidRPr="00CB52C7" w14:paraId="0547418A" w14:textId="77777777" w:rsidTr="00C144F3">
        <w:trPr>
          <w:trHeight w:val="348"/>
        </w:trPr>
        <w:tc>
          <w:tcPr>
            <w:tcW w:w="6726" w:type="dxa"/>
            <w:tcMar>
              <w:top w:w="14" w:type="dxa"/>
              <w:left w:w="58" w:type="dxa"/>
              <w:bottom w:w="14" w:type="dxa"/>
              <w:right w:w="58" w:type="dxa"/>
            </w:tcMar>
          </w:tcPr>
          <w:p w14:paraId="577B8119" w14:textId="77777777" w:rsidR="00F70490" w:rsidRPr="00CB52C7" w:rsidRDefault="00F70490" w:rsidP="00F70490">
            <w:pPr>
              <w:spacing w:after="0"/>
              <w:textAlignment w:val="baseline"/>
              <w:rPr>
                <w:rFonts w:eastAsia="Times New Roman" w:cs="Arial"/>
                <w:szCs w:val="16"/>
              </w:rPr>
            </w:pPr>
            <w:r w:rsidRPr="003F2A09">
              <w:rPr>
                <w:rFonts w:eastAsia="Times New Roman" w:cs="Arial"/>
                <w:szCs w:val="16"/>
              </w:rPr>
              <w:t>6c. Number of additional written findings of noncompliance (Col. B) the state has verified as corrected beyond the one-year timeline (“subsequent correction”) - Indicator 10</w:t>
            </w:r>
          </w:p>
        </w:tc>
        <w:tc>
          <w:tcPr>
            <w:tcW w:w="4047" w:type="dxa"/>
            <w:tcMar>
              <w:top w:w="14" w:type="dxa"/>
              <w:left w:w="58" w:type="dxa"/>
              <w:bottom w:w="14" w:type="dxa"/>
              <w:right w:w="58" w:type="dxa"/>
            </w:tcMar>
            <w:vAlign w:val="center"/>
          </w:tcPr>
          <w:p w14:paraId="38147E8A" w14:textId="77777777" w:rsidR="00F70490" w:rsidRDefault="00F70490" w:rsidP="00F70490">
            <w:pPr>
              <w:spacing w:after="0"/>
              <w:jc w:val="center"/>
              <w:textAlignment w:val="baseline"/>
              <w:rPr>
                <w:rFonts w:eastAsia="Times New Roman" w:cs="Arial"/>
                <w:szCs w:val="16"/>
              </w:rPr>
            </w:pPr>
          </w:p>
        </w:tc>
      </w:tr>
      <w:tr w:rsidR="00F70490" w:rsidRPr="00CB52C7" w14:paraId="723B47CD" w14:textId="77777777" w:rsidTr="00C144F3">
        <w:trPr>
          <w:trHeight w:val="348"/>
        </w:trPr>
        <w:tc>
          <w:tcPr>
            <w:tcW w:w="6726" w:type="dxa"/>
            <w:tcMar>
              <w:top w:w="14" w:type="dxa"/>
              <w:left w:w="58" w:type="dxa"/>
              <w:bottom w:w="14" w:type="dxa"/>
              <w:right w:w="58" w:type="dxa"/>
            </w:tcMar>
          </w:tcPr>
          <w:p w14:paraId="19A9F09A" w14:textId="77777777" w:rsidR="00F70490" w:rsidRPr="00CB52C7" w:rsidRDefault="00F70490" w:rsidP="00F70490">
            <w:pPr>
              <w:spacing w:after="0"/>
              <w:textAlignment w:val="baseline"/>
              <w:rPr>
                <w:rFonts w:eastAsia="Times New Roman" w:cs="Arial"/>
                <w:szCs w:val="16"/>
              </w:rPr>
            </w:pPr>
            <w:r w:rsidRPr="003F2A09">
              <w:rPr>
                <w:rFonts w:eastAsia="Times New Roman" w:cs="Arial"/>
                <w:szCs w:val="16"/>
              </w:rPr>
              <w:t>6d. Number of additional written findings of noncompliance (Col. B) the state has verified as corrected beyond the one-year timeline (“subsequent correction”) - Indicator 11</w:t>
            </w:r>
          </w:p>
        </w:tc>
        <w:tc>
          <w:tcPr>
            <w:tcW w:w="4047" w:type="dxa"/>
            <w:tcMar>
              <w:top w:w="14" w:type="dxa"/>
              <w:left w:w="58" w:type="dxa"/>
              <w:bottom w:w="14" w:type="dxa"/>
              <w:right w:w="58" w:type="dxa"/>
            </w:tcMar>
            <w:vAlign w:val="center"/>
          </w:tcPr>
          <w:p w14:paraId="277FF088" w14:textId="77777777" w:rsidR="00F70490" w:rsidRDefault="00F70490" w:rsidP="00F70490">
            <w:pPr>
              <w:spacing w:after="0"/>
              <w:jc w:val="center"/>
              <w:textAlignment w:val="baseline"/>
              <w:rPr>
                <w:rFonts w:eastAsia="Times New Roman" w:cs="Arial"/>
                <w:szCs w:val="16"/>
              </w:rPr>
            </w:pPr>
          </w:p>
        </w:tc>
      </w:tr>
      <w:tr w:rsidR="00F70490" w:rsidRPr="00CB52C7" w14:paraId="3E0F3BCB" w14:textId="77777777" w:rsidTr="00C144F3">
        <w:trPr>
          <w:trHeight w:val="348"/>
        </w:trPr>
        <w:tc>
          <w:tcPr>
            <w:tcW w:w="6726" w:type="dxa"/>
            <w:tcMar>
              <w:top w:w="14" w:type="dxa"/>
              <w:left w:w="58" w:type="dxa"/>
              <w:bottom w:w="14" w:type="dxa"/>
              <w:right w:w="58" w:type="dxa"/>
            </w:tcMar>
          </w:tcPr>
          <w:p w14:paraId="673E7EBA" w14:textId="77777777" w:rsidR="00F70490" w:rsidRPr="00CB52C7" w:rsidRDefault="00F70490" w:rsidP="00F70490">
            <w:pPr>
              <w:spacing w:after="0"/>
              <w:textAlignment w:val="baseline"/>
              <w:rPr>
                <w:rFonts w:eastAsia="Times New Roman" w:cs="Arial"/>
                <w:szCs w:val="16"/>
              </w:rPr>
            </w:pPr>
            <w:r w:rsidRPr="003F2A09">
              <w:rPr>
                <w:rFonts w:eastAsia="Times New Roman" w:cs="Arial"/>
                <w:szCs w:val="16"/>
              </w:rPr>
              <w:t>6e. Number of additional written findings of noncompliance (Col. B) the state has verified as corrected beyond the one-year timeline (“subsequent correction”) - Indicator 12</w:t>
            </w:r>
          </w:p>
        </w:tc>
        <w:tc>
          <w:tcPr>
            <w:tcW w:w="4047" w:type="dxa"/>
            <w:tcMar>
              <w:top w:w="14" w:type="dxa"/>
              <w:left w:w="58" w:type="dxa"/>
              <w:bottom w:w="14" w:type="dxa"/>
              <w:right w:w="58" w:type="dxa"/>
            </w:tcMar>
            <w:vAlign w:val="center"/>
          </w:tcPr>
          <w:p w14:paraId="63909E21" w14:textId="77777777" w:rsidR="00F70490" w:rsidRDefault="00F70490" w:rsidP="00F70490">
            <w:pPr>
              <w:spacing w:after="0"/>
              <w:jc w:val="center"/>
              <w:textAlignment w:val="baseline"/>
              <w:rPr>
                <w:rFonts w:eastAsia="Times New Roman" w:cs="Arial"/>
                <w:szCs w:val="16"/>
              </w:rPr>
            </w:pPr>
          </w:p>
        </w:tc>
      </w:tr>
      <w:tr w:rsidR="00F70490" w:rsidRPr="00CB52C7" w14:paraId="23C87FB6" w14:textId="77777777" w:rsidTr="00C144F3">
        <w:trPr>
          <w:trHeight w:val="348"/>
        </w:trPr>
        <w:tc>
          <w:tcPr>
            <w:tcW w:w="6726" w:type="dxa"/>
            <w:tcMar>
              <w:top w:w="14" w:type="dxa"/>
              <w:left w:w="58" w:type="dxa"/>
              <w:bottom w:w="14" w:type="dxa"/>
              <w:right w:w="58" w:type="dxa"/>
            </w:tcMar>
          </w:tcPr>
          <w:p w14:paraId="6975B27C" w14:textId="77777777" w:rsidR="00F70490" w:rsidRPr="00CB52C7" w:rsidRDefault="00F70490" w:rsidP="00F70490">
            <w:pPr>
              <w:spacing w:after="0"/>
              <w:textAlignment w:val="baseline"/>
              <w:rPr>
                <w:rFonts w:eastAsia="Times New Roman" w:cs="Arial"/>
                <w:szCs w:val="16"/>
              </w:rPr>
            </w:pPr>
            <w:r w:rsidRPr="003F2A09">
              <w:rPr>
                <w:rFonts w:eastAsia="Times New Roman" w:cs="Arial"/>
                <w:szCs w:val="16"/>
              </w:rPr>
              <w:t>6f. Number of additional written findings of noncompliance (Col. B) the state has verified as corrected beyond the one-year timeline (“subsequent correction”) - Indicator 13</w:t>
            </w:r>
          </w:p>
        </w:tc>
        <w:tc>
          <w:tcPr>
            <w:tcW w:w="4047" w:type="dxa"/>
            <w:tcMar>
              <w:top w:w="14" w:type="dxa"/>
              <w:left w:w="58" w:type="dxa"/>
              <w:bottom w:w="14" w:type="dxa"/>
              <w:right w:w="58" w:type="dxa"/>
            </w:tcMar>
            <w:vAlign w:val="center"/>
          </w:tcPr>
          <w:p w14:paraId="634D33C9" w14:textId="77777777" w:rsidR="00F70490" w:rsidRDefault="00F70490" w:rsidP="00F70490">
            <w:pPr>
              <w:spacing w:after="0"/>
              <w:jc w:val="center"/>
              <w:textAlignment w:val="baseline"/>
              <w:rPr>
                <w:rFonts w:eastAsia="Times New Roman" w:cs="Arial"/>
                <w:szCs w:val="16"/>
              </w:rPr>
            </w:pPr>
          </w:p>
        </w:tc>
      </w:tr>
      <w:tr w:rsidR="00F70490" w:rsidRPr="00CB52C7" w14:paraId="58B6FA7E" w14:textId="77777777" w:rsidTr="00C144F3">
        <w:trPr>
          <w:trHeight w:val="348"/>
        </w:trPr>
        <w:tc>
          <w:tcPr>
            <w:tcW w:w="6726" w:type="dxa"/>
            <w:tcMar>
              <w:top w:w="14" w:type="dxa"/>
              <w:left w:w="58" w:type="dxa"/>
              <w:bottom w:w="14" w:type="dxa"/>
              <w:right w:w="58" w:type="dxa"/>
            </w:tcMar>
          </w:tcPr>
          <w:p w14:paraId="5DD82CDA" w14:textId="77777777" w:rsidR="00F70490" w:rsidRPr="00CB52C7" w:rsidRDefault="00F70490" w:rsidP="00F70490">
            <w:pPr>
              <w:spacing w:after="0"/>
              <w:textAlignment w:val="baseline"/>
              <w:rPr>
                <w:rFonts w:eastAsia="Times New Roman" w:cs="Arial"/>
                <w:szCs w:val="16"/>
              </w:rPr>
            </w:pPr>
            <w:r w:rsidRPr="003F2A09">
              <w:rPr>
                <w:rFonts w:eastAsia="Times New Roman" w:cs="Arial"/>
                <w:szCs w:val="16"/>
              </w:rPr>
              <w:t>6g. (optional) Number of written findings of noncompliance (Col. B) the state has verified as corrected beyond the one-year timeline (“subsequent correction”) - All other findings</w:t>
            </w:r>
          </w:p>
        </w:tc>
        <w:tc>
          <w:tcPr>
            <w:tcW w:w="4047" w:type="dxa"/>
            <w:tcMar>
              <w:top w:w="14" w:type="dxa"/>
              <w:left w:w="58" w:type="dxa"/>
              <w:bottom w:w="14" w:type="dxa"/>
              <w:right w:w="58" w:type="dxa"/>
            </w:tcMar>
            <w:vAlign w:val="center"/>
          </w:tcPr>
          <w:p w14:paraId="493D88D4" w14:textId="77777777" w:rsidR="00F70490" w:rsidRDefault="00F70490" w:rsidP="00F70490">
            <w:pPr>
              <w:spacing w:after="0"/>
              <w:jc w:val="center"/>
              <w:textAlignment w:val="baseline"/>
              <w:rPr>
                <w:rFonts w:eastAsia="Times New Roman" w:cs="Arial"/>
                <w:szCs w:val="16"/>
              </w:rPr>
            </w:pPr>
          </w:p>
        </w:tc>
      </w:tr>
      <w:tr w:rsidR="00F15F58" w:rsidRPr="00CB52C7" w14:paraId="596CC46B" w14:textId="77777777" w:rsidTr="00C144F3">
        <w:trPr>
          <w:trHeight w:val="348"/>
        </w:trPr>
        <w:tc>
          <w:tcPr>
            <w:tcW w:w="6726" w:type="dxa"/>
            <w:tcMar>
              <w:top w:w="14" w:type="dxa"/>
              <w:left w:w="58" w:type="dxa"/>
              <w:bottom w:w="14" w:type="dxa"/>
              <w:right w:w="58" w:type="dxa"/>
            </w:tcMar>
            <w:hideMark/>
          </w:tcPr>
          <w:p w14:paraId="7EB48691" w14:textId="77777777" w:rsidR="00F15F58" w:rsidRPr="00CB52C7" w:rsidRDefault="0092282C">
            <w:pPr>
              <w:spacing w:after="0"/>
              <w:textAlignment w:val="baseline"/>
              <w:rPr>
                <w:rFonts w:eastAsia="Times New Roman" w:cs="Arial"/>
                <w:szCs w:val="16"/>
              </w:rPr>
            </w:pPr>
            <w:r>
              <w:rPr>
                <w:rFonts w:eastAsia="Times New Roman" w:cs="Arial"/>
                <w:szCs w:val="16"/>
              </w:rPr>
              <w:t xml:space="preserve">7. Number of findings </w:t>
            </w:r>
            <w:r w:rsidR="00F15F58" w:rsidRPr="00CB52C7">
              <w:rPr>
                <w:rFonts w:eastAsia="Times New Roman" w:cs="Arial"/>
                <w:szCs w:val="16"/>
                <w:u w:val="single"/>
              </w:rPr>
              <w:t>not</w:t>
            </w:r>
            <w:r w:rsidR="00F15F58" w:rsidRPr="00CB52C7">
              <w:rPr>
                <w:rFonts w:eastAsia="Times New Roman" w:cs="Arial"/>
                <w:szCs w:val="16"/>
              </w:rPr>
              <w:t xml:space="preserve"> yet verified as corrected</w:t>
            </w:r>
          </w:p>
        </w:tc>
        <w:tc>
          <w:tcPr>
            <w:tcW w:w="4047" w:type="dxa"/>
            <w:tcMar>
              <w:top w:w="14" w:type="dxa"/>
              <w:left w:w="58" w:type="dxa"/>
              <w:bottom w:w="14" w:type="dxa"/>
              <w:right w:w="58" w:type="dxa"/>
            </w:tcMar>
            <w:vAlign w:val="center"/>
          </w:tcPr>
          <w:p w14:paraId="6E9B5DDC" w14:textId="77777777" w:rsidR="00F15F58" w:rsidRPr="00CB52C7" w:rsidRDefault="003B7840">
            <w:pPr>
              <w:spacing w:after="0"/>
              <w:jc w:val="center"/>
              <w:textAlignment w:val="baseline"/>
              <w:rPr>
                <w:rFonts w:eastAsia="Times New Roman" w:cs="Arial"/>
                <w:szCs w:val="16"/>
              </w:rPr>
            </w:pPr>
            <w:r>
              <w:rPr>
                <w:rFonts w:eastAsia="Times New Roman" w:cs="Arial"/>
                <w:szCs w:val="16"/>
              </w:rPr>
              <w:t>0</w:t>
            </w:r>
          </w:p>
        </w:tc>
      </w:tr>
    </w:tbl>
    <w:p w14:paraId="3CB834AF" w14:textId="77777777" w:rsidR="00C9712C" w:rsidRDefault="00C9712C" w:rsidP="001C2EC2">
      <w:pPr>
        <w:textAlignment w:val="baseline"/>
        <w:rPr>
          <w:rFonts w:eastAsia="Times New Roman" w:cs="Arial"/>
          <w:szCs w:val="16"/>
        </w:rPr>
      </w:pPr>
    </w:p>
    <w:p w14:paraId="01C9E210" w14:textId="77777777" w:rsidR="00F15F58" w:rsidRPr="00CB52C7" w:rsidRDefault="00F15F58" w:rsidP="00C144F3">
      <w:pPr>
        <w:textAlignment w:val="baseline"/>
        <w:rPr>
          <w:rFonts w:eastAsia="Times New Roman" w:cs="Arial"/>
          <w:szCs w:val="16"/>
        </w:rPr>
      </w:pPr>
      <w:r w:rsidRPr="00CB52C7">
        <w:rPr>
          <w:rFonts w:eastAsia="Times New Roman" w:cs="Arial"/>
          <w:b/>
          <w:bCs/>
          <w:szCs w:val="16"/>
        </w:rPr>
        <w:t>Subsequent correction:</w:t>
      </w:r>
      <w:r w:rsidRPr="00CB52C7">
        <w:rPr>
          <w:rFonts w:eastAsia="Times New Roman" w:cs="Arial"/>
          <w:szCs w:val="16"/>
        </w:rPr>
        <w:t xml:space="preserve"> If the State did not ensure timely correction of previous findings of noncompliance, provide information on the nature of any continuing noncompliance and the actions that have been taken, or will be taken, to ensure the subsequent correction of the outstanding noncompliance, to address areas in need of improvement, and any sanctions or enforcement actions used, as necessary and consistent with IDEA’s enforcement provisions, the OMB Uniform Administrative Requirements, Cost Principles, and Audit Requirements for Federal Awards (Uniform Guidance), and State rules.</w:t>
      </w:r>
    </w:p>
    <w:p w14:paraId="38F2340A" w14:textId="77777777" w:rsidR="00F15F58" w:rsidRDefault="00F15F58" w:rsidP="00C144F3">
      <w:pPr>
        <w:spacing w:line="276" w:lineRule="auto"/>
        <w:rPr>
          <w:color w:val="000000" w:themeColor="text1"/>
        </w:rPr>
      </w:pPr>
    </w:p>
    <w:p w14:paraId="3EC32E44" w14:textId="77777777" w:rsidR="00282148" w:rsidRPr="00781112" w:rsidRDefault="00282148" w:rsidP="00282148">
      <w:pPr>
        <w:rPr>
          <w:color w:val="000000" w:themeColor="text1"/>
        </w:rPr>
      </w:pPr>
      <w:r>
        <w:rPr>
          <w:b/>
          <w:color w:val="000000" w:themeColor="text1"/>
        </w:rPr>
        <w:t>Correction of Findings of Noncompliance Identified Prior to FFY 2023</w:t>
      </w:r>
    </w:p>
    <w:tbl>
      <w:tblPr>
        <w:tblStyle w:val="TableGrid"/>
        <w:tblW w:w="5000" w:type="pct"/>
        <w:tblLayout w:type="fixed"/>
        <w:tblLook w:val="04A0" w:firstRow="1" w:lastRow="0" w:firstColumn="1" w:lastColumn="0" w:noHBand="0" w:noVBand="1"/>
        <w:tblCaption w:val="B18PPFFYNCFINDINGS"/>
      </w:tblPr>
      <w:tblGrid>
        <w:gridCol w:w="2697"/>
        <w:gridCol w:w="2697"/>
        <w:gridCol w:w="2698"/>
        <w:gridCol w:w="2698"/>
      </w:tblGrid>
      <w:tr w:rsidR="00282148" w:rsidRPr="00781112" w14:paraId="6449F24C" w14:textId="77777777" w:rsidTr="008C215C">
        <w:trPr>
          <w:tblHeader/>
        </w:trPr>
        <w:tc>
          <w:tcPr>
            <w:tcW w:w="1250" w:type="pct"/>
            <w:vAlign w:val="bottom"/>
          </w:tcPr>
          <w:p w14:paraId="60D2ADE2" w14:textId="77777777" w:rsidR="00282148" w:rsidRPr="00781112" w:rsidRDefault="00282148" w:rsidP="0032759D">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250" w:type="pct"/>
            <w:vAlign w:val="bottom"/>
          </w:tcPr>
          <w:p w14:paraId="0D65A660" w14:textId="77777777" w:rsidR="00282148" w:rsidRPr="00781112" w:rsidRDefault="00282148" w:rsidP="0032759D">
            <w:pPr>
              <w:jc w:val="center"/>
              <w:rPr>
                <w:rFonts w:cs="Arial"/>
                <w:b/>
                <w:color w:val="000000" w:themeColor="text1"/>
                <w:szCs w:val="16"/>
              </w:rPr>
            </w:pPr>
            <w:r>
              <w:rPr>
                <w:rFonts w:cs="Arial"/>
                <w:b/>
                <w:color w:val="000000" w:themeColor="text1"/>
                <w:szCs w:val="16"/>
              </w:rPr>
              <w:t>Findings of Noncompliance Not Yet Verified as Corrected as of FFY 2023 APR</w:t>
            </w:r>
          </w:p>
        </w:tc>
        <w:tc>
          <w:tcPr>
            <w:tcW w:w="1250" w:type="pct"/>
            <w:vAlign w:val="bottom"/>
          </w:tcPr>
          <w:p w14:paraId="0FAC5A3D" w14:textId="77777777" w:rsidR="00282148" w:rsidRPr="00781112" w:rsidRDefault="00282148" w:rsidP="0032759D">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50" w:type="pct"/>
            <w:vAlign w:val="bottom"/>
          </w:tcPr>
          <w:p w14:paraId="620E93D3" w14:textId="77777777" w:rsidR="00282148" w:rsidRPr="00781112" w:rsidRDefault="00282148" w:rsidP="0032759D">
            <w:pPr>
              <w:jc w:val="center"/>
              <w:rPr>
                <w:rFonts w:cs="Arial"/>
                <w:b/>
                <w:color w:val="000000" w:themeColor="text1"/>
                <w:szCs w:val="16"/>
              </w:rPr>
            </w:pPr>
            <w:r w:rsidRPr="00781112">
              <w:rPr>
                <w:rFonts w:cs="Arial"/>
                <w:b/>
                <w:color w:val="000000" w:themeColor="text1"/>
                <w:szCs w:val="16"/>
              </w:rPr>
              <w:t>Findings Not Yet Verified as Corrected</w:t>
            </w:r>
          </w:p>
        </w:tc>
      </w:tr>
      <w:tr w:rsidR="00282148" w:rsidRPr="00781112" w14:paraId="57CADE0A" w14:textId="77777777" w:rsidTr="008C215C">
        <w:tc>
          <w:tcPr>
            <w:tcW w:w="1250" w:type="pct"/>
          </w:tcPr>
          <w:p w14:paraId="03E135FD" w14:textId="77777777" w:rsidR="00282148" w:rsidRPr="00837053" w:rsidRDefault="00282148" w:rsidP="00282148">
            <w:pPr>
              <w:jc w:val="center"/>
              <w:rPr>
                <w:rFonts w:cs="Arial"/>
                <w:color w:val="000000" w:themeColor="text1"/>
                <w:szCs w:val="16"/>
              </w:rPr>
            </w:pPr>
          </w:p>
        </w:tc>
        <w:tc>
          <w:tcPr>
            <w:tcW w:w="1250" w:type="pct"/>
          </w:tcPr>
          <w:p w14:paraId="71E0DF5B" w14:textId="77777777" w:rsidR="00282148" w:rsidRPr="00837053" w:rsidRDefault="00282148" w:rsidP="00924AD9">
            <w:pPr>
              <w:jc w:val="center"/>
              <w:rPr>
                <w:rFonts w:cs="Arial"/>
                <w:color w:val="000000" w:themeColor="text1"/>
                <w:szCs w:val="16"/>
              </w:rPr>
            </w:pPr>
          </w:p>
        </w:tc>
        <w:tc>
          <w:tcPr>
            <w:tcW w:w="1250" w:type="pct"/>
          </w:tcPr>
          <w:p w14:paraId="5AE5ABF4" w14:textId="77777777" w:rsidR="00282148" w:rsidRPr="00781112" w:rsidRDefault="00282148" w:rsidP="00282148">
            <w:pPr>
              <w:jc w:val="center"/>
              <w:rPr>
                <w:rFonts w:cs="Arial"/>
                <w:color w:val="000000" w:themeColor="text1"/>
                <w:szCs w:val="16"/>
              </w:rPr>
            </w:pPr>
          </w:p>
        </w:tc>
        <w:tc>
          <w:tcPr>
            <w:tcW w:w="1250" w:type="pct"/>
          </w:tcPr>
          <w:p w14:paraId="3802A042" w14:textId="77777777" w:rsidR="00282148" w:rsidRPr="00781112" w:rsidRDefault="00282148" w:rsidP="00282148">
            <w:pPr>
              <w:jc w:val="center"/>
              <w:rPr>
                <w:rFonts w:cs="Arial"/>
                <w:noProof/>
                <w:color w:val="000000" w:themeColor="text1"/>
                <w:szCs w:val="16"/>
              </w:rPr>
            </w:pPr>
          </w:p>
        </w:tc>
      </w:tr>
      <w:tr w:rsidR="00282148" w:rsidRPr="00781112" w14:paraId="4D519436" w14:textId="77777777" w:rsidTr="008C215C">
        <w:tc>
          <w:tcPr>
            <w:tcW w:w="1250" w:type="pct"/>
          </w:tcPr>
          <w:p w14:paraId="1CB50C36" w14:textId="77777777" w:rsidR="00282148" w:rsidRPr="00781112" w:rsidRDefault="00282148" w:rsidP="0032759D">
            <w:pPr>
              <w:jc w:val="center"/>
              <w:rPr>
                <w:rFonts w:cs="Arial"/>
                <w:color w:val="000000" w:themeColor="text1"/>
                <w:szCs w:val="16"/>
              </w:rPr>
            </w:pPr>
          </w:p>
        </w:tc>
        <w:tc>
          <w:tcPr>
            <w:tcW w:w="1250" w:type="pct"/>
          </w:tcPr>
          <w:p w14:paraId="68A240A4" w14:textId="77777777" w:rsidR="00282148" w:rsidRPr="00781112" w:rsidRDefault="00282148" w:rsidP="0032759D">
            <w:pPr>
              <w:jc w:val="center"/>
              <w:rPr>
                <w:rFonts w:cs="Arial"/>
                <w:noProof/>
                <w:color w:val="000000" w:themeColor="text1"/>
                <w:szCs w:val="16"/>
              </w:rPr>
            </w:pPr>
          </w:p>
        </w:tc>
        <w:tc>
          <w:tcPr>
            <w:tcW w:w="1250" w:type="pct"/>
          </w:tcPr>
          <w:p w14:paraId="3396C94B" w14:textId="77777777" w:rsidR="00282148" w:rsidRPr="00781112" w:rsidRDefault="00282148" w:rsidP="0032759D">
            <w:pPr>
              <w:jc w:val="center"/>
              <w:rPr>
                <w:rFonts w:cs="Arial"/>
                <w:noProof/>
                <w:color w:val="000000" w:themeColor="text1"/>
                <w:szCs w:val="16"/>
              </w:rPr>
            </w:pPr>
          </w:p>
        </w:tc>
        <w:tc>
          <w:tcPr>
            <w:tcW w:w="1250" w:type="pct"/>
          </w:tcPr>
          <w:p w14:paraId="3AB5036F" w14:textId="77777777" w:rsidR="00282148" w:rsidRPr="00781112" w:rsidRDefault="00282148" w:rsidP="0032759D">
            <w:pPr>
              <w:jc w:val="center"/>
              <w:rPr>
                <w:rFonts w:cs="Arial"/>
                <w:noProof/>
                <w:color w:val="000000" w:themeColor="text1"/>
                <w:szCs w:val="16"/>
              </w:rPr>
            </w:pPr>
          </w:p>
        </w:tc>
      </w:tr>
      <w:tr w:rsidR="00282148" w:rsidRPr="00781112" w14:paraId="0017B395" w14:textId="77777777" w:rsidTr="008C215C">
        <w:tc>
          <w:tcPr>
            <w:tcW w:w="1250" w:type="pct"/>
          </w:tcPr>
          <w:p w14:paraId="4DAFC21E" w14:textId="77777777" w:rsidR="00282148" w:rsidRPr="00781112" w:rsidRDefault="00282148" w:rsidP="0032759D">
            <w:pPr>
              <w:jc w:val="center"/>
              <w:rPr>
                <w:rFonts w:cs="Arial"/>
                <w:color w:val="000000" w:themeColor="text1"/>
                <w:szCs w:val="16"/>
              </w:rPr>
            </w:pPr>
          </w:p>
        </w:tc>
        <w:tc>
          <w:tcPr>
            <w:tcW w:w="1250" w:type="pct"/>
          </w:tcPr>
          <w:p w14:paraId="6AB6E551" w14:textId="77777777" w:rsidR="00282148" w:rsidRPr="00781112" w:rsidRDefault="00282148" w:rsidP="0032759D">
            <w:pPr>
              <w:jc w:val="center"/>
              <w:rPr>
                <w:rFonts w:cs="Arial"/>
                <w:noProof/>
                <w:color w:val="000000" w:themeColor="text1"/>
                <w:szCs w:val="16"/>
              </w:rPr>
            </w:pPr>
          </w:p>
        </w:tc>
        <w:tc>
          <w:tcPr>
            <w:tcW w:w="1250" w:type="pct"/>
          </w:tcPr>
          <w:p w14:paraId="05884E43" w14:textId="77777777" w:rsidR="00282148" w:rsidRPr="00781112" w:rsidRDefault="00282148" w:rsidP="0032759D">
            <w:pPr>
              <w:jc w:val="center"/>
              <w:rPr>
                <w:rFonts w:cs="Arial"/>
                <w:noProof/>
                <w:color w:val="000000" w:themeColor="text1"/>
                <w:szCs w:val="16"/>
              </w:rPr>
            </w:pPr>
          </w:p>
        </w:tc>
        <w:tc>
          <w:tcPr>
            <w:tcW w:w="1250" w:type="pct"/>
          </w:tcPr>
          <w:p w14:paraId="592F2127" w14:textId="77777777" w:rsidR="00282148" w:rsidRPr="00781112" w:rsidRDefault="00282148" w:rsidP="0032759D">
            <w:pPr>
              <w:jc w:val="center"/>
              <w:rPr>
                <w:rFonts w:cs="Arial"/>
                <w:noProof/>
                <w:color w:val="000000" w:themeColor="text1"/>
                <w:szCs w:val="16"/>
              </w:rPr>
            </w:pPr>
          </w:p>
        </w:tc>
      </w:tr>
      <w:tr w:rsidR="00282148" w:rsidRPr="00781112" w14:paraId="7397AB66" w14:textId="77777777" w:rsidTr="008C215C">
        <w:tc>
          <w:tcPr>
            <w:tcW w:w="1250" w:type="pct"/>
          </w:tcPr>
          <w:p w14:paraId="28510983" w14:textId="77777777" w:rsidR="00282148" w:rsidRPr="00781112" w:rsidRDefault="00282148" w:rsidP="0032759D">
            <w:pPr>
              <w:jc w:val="center"/>
              <w:rPr>
                <w:rFonts w:cs="Arial"/>
                <w:color w:val="000000" w:themeColor="text1"/>
                <w:szCs w:val="16"/>
              </w:rPr>
            </w:pPr>
          </w:p>
        </w:tc>
        <w:tc>
          <w:tcPr>
            <w:tcW w:w="1250" w:type="pct"/>
          </w:tcPr>
          <w:p w14:paraId="47E6AAC7" w14:textId="77777777" w:rsidR="00282148" w:rsidRPr="00781112" w:rsidRDefault="00282148" w:rsidP="0032759D">
            <w:pPr>
              <w:jc w:val="center"/>
              <w:rPr>
                <w:rFonts w:cs="Arial"/>
                <w:color w:val="000000" w:themeColor="text1"/>
                <w:szCs w:val="16"/>
              </w:rPr>
            </w:pPr>
          </w:p>
        </w:tc>
        <w:tc>
          <w:tcPr>
            <w:tcW w:w="1250" w:type="pct"/>
          </w:tcPr>
          <w:p w14:paraId="773260A4" w14:textId="77777777" w:rsidR="00282148" w:rsidRPr="00781112" w:rsidRDefault="00282148" w:rsidP="0032759D">
            <w:pPr>
              <w:jc w:val="center"/>
              <w:rPr>
                <w:rFonts w:cs="Arial"/>
                <w:color w:val="000000" w:themeColor="text1"/>
                <w:szCs w:val="16"/>
              </w:rPr>
            </w:pPr>
          </w:p>
        </w:tc>
        <w:tc>
          <w:tcPr>
            <w:tcW w:w="1250" w:type="pct"/>
          </w:tcPr>
          <w:p w14:paraId="62B2774D" w14:textId="77777777" w:rsidR="00282148" w:rsidRPr="00781112" w:rsidRDefault="00282148" w:rsidP="0032759D">
            <w:pPr>
              <w:jc w:val="center"/>
              <w:rPr>
                <w:rFonts w:cs="Arial"/>
                <w:color w:val="000000" w:themeColor="text1"/>
                <w:szCs w:val="16"/>
              </w:rPr>
            </w:pPr>
          </w:p>
        </w:tc>
      </w:tr>
      <w:tr w:rsidR="00282148" w:rsidRPr="00781112" w14:paraId="04750400" w14:textId="77777777" w:rsidTr="008C215C">
        <w:tc>
          <w:tcPr>
            <w:tcW w:w="1250" w:type="pct"/>
          </w:tcPr>
          <w:p w14:paraId="1C974D83" w14:textId="77777777" w:rsidR="00282148" w:rsidRPr="00781112" w:rsidRDefault="00282148" w:rsidP="0032759D">
            <w:pPr>
              <w:jc w:val="center"/>
              <w:rPr>
                <w:rFonts w:cs="Arial"/>
                <w:color w:val="000000" w:themeColor="text1"/>
                <w:szCs w:val="16"/>
              </w:rPr>
            </w:pPr>
          </w:p>
        </w:tc>
        <w:tc>
          <w:tcPr>
            <w:tcW w:w="1250" w:type="pct"/>
          </w:tcPr>
          <w:p w14:paraId="73854BF7" w14:textId="77777777" w:rsidR="00282148" w:rsidRPr="00781112" w:rsidRDefault="00282148" w:rsidP="0032759D">
            <w:pPr>
              <w:jc w:val="center"/>
              <w:rPr>
                <w:rFonts w:cs="Arial"/>
                <w:color w:val="000000" w:themeColor="text1"/>
                <w:szCs w:val="16"/>
              </w:rPr>
            </w:pPr>
          </w:p>
        </w:tc>
        <w:tc>
          <w:tcPr>
            <w:tcW w:w="1250" w:type="pct"/>
          </w:tcPr>
          <w:p w14:paraId="5BC03778" w14:textId="77777777" w:rsidR="00282148" w:rsidRPr="00781112" w:rsidRDefault="00282148" w:rsidP="0032759D">
            <w:pPr>
              <w:jc w:val="center"/>
              <w:rPr>
                <w:rFonts w:cs="Arial"/>
                <w:color w:val="000000" w:themeColor="text1"/>
                <w:szCs w:val="16"/>
              </w:rPr>
            </w:pPr>
          </w:p>
        </w:tc>
        <w:tc>
          <w:tcPr>
            <w:tcW w:w="1250" w:type="pct"/>
          </w:tcPr>
          <w:p w14:paraId="781CD06E" w14:textId="77777777" w:rsidR="00282148" w:rsidRPr="00781112" w:rsidRDefault="00282148" w:rsidP="0032759D">
            <w:pPr>
              <w:jc w:val="center"/>
              <w:rPr>
                <w:rFonts w:cs="Arial"/>
                <w:color w:val="000000" w:themeColor="text1"/>
                <w:szCs w:val="16"/>
              </w:rPr>
            </w:pPr>
          </w:p>
        </w:tc>
      </w:tr>
    </w:tbl>
    <w:p w14:paraId="1827272E" w14:textId="77777777" w:rsidR="00541D9E" w:rsidRPr="00541D9E" w:rsidRDefault="00541D9E" w:rsidP="00924AD9">
      <w:pPr>
        <w:pStyle w:val="Heading2"/>
      </w:pPr>
      <w:r>
        <w:t xml:space="preserve">18 - </w:t>
      </w:r>
      <w:r w:rsidRPr="00DF2A77">
        <w:t xml:space="preserve">Prior FFY Required Actions </w:t>
      </w:r>
    </w:p>
    <w:p w14:paraId="3116C583" w14:textId="77777777" w:rsidR="00541D9E" w:rsidRPr="008C215C" w:rsidRDefault="00541D9E" w:rsidP="00541D9E">
      <w:r w:rsidRPr="008C215C">
        <w:t>None</w:t>
      </w:r>
    </w:p>
    <w:p w14:paraId="51A3F619" w14:textId="77777777" w:rsidR="00F15F58" w:rsidRPr="00781112" w:rsidRDefault="00F15F58" w:rsidP="00F15F58">
      <w:pPr>
        <w:pStyle w:val="Heading2"/>
      </w:pPr>
      <w:r w:rsidRPr="00781112">
        <w:t>1</w:t>
      </w:r>
      <w:r>
        <w:t>8</w:t>
      </w:r>
      <w:r w:rsidRPr="00781112">
        <w:t xml:space="preserve"> - OSEP Response</w:t>
      </w:r>
    </w:p>
    <w:p w14:paraId="1A25102D" w14:textId="77777777" w:rsidR="00F15F58" w:rsidRPr="00781112" w:rsidRDefault="00F15F58" w:rsidP="00F15F58">
      <w:pPr>
        <w:rPr>
          <w:color w:val="000000" w:themeColor="text1"/>
        </w:rPr>
      </w:pPr>
    </w:p>
    <w:p w14:paraId="1AEA41D3" w14:textId="77777777" w:rsidR="00F15F58" w:rsidRPr="00781112" w:rsidRDefault="00F15F58" w:rsidP="00F15F58">
      <w:pPr>
        <w:pStyle w:val="Heading2"/>
      </w:pPr>
      <w:r w:rsidRPr="00781112">
        <w:t>1</w:t>
      </w:r>
      <w:r>
        <w:t>8</w:t>
      </w:r>
      <w:r w:rsidRPr="00781112">
        <w:t xml:space="preserve"> - Required Actions</w:t>
      </w:r>
    </w:p>
    <w:p w14:paraId="27EC0D53" w14:textId="77777777" w:rsidR="00F15F58" w:rsidRDefault="00F15F58" w:rsidP="00F15F58">
      <w:pPr>
        <w:rPr>
          <w:color w:val="000000" w:themeColor="text1"/>
        </w:rPr>
      </w:pPr>
    </w:p>
    <w:p w14:paraId="25C8028B" w14:textId="77777777" w:rsidR="000532EB" w:rsidRDefault="000532EB">
      <w:pPr>
        <w:spacing w:before="0" w:after="200" w:line="276" w:lineRule="auto"/>
        <w:rPr>
          <w:color w:val="000000" w:themeColor="text1"/>
        </w:rPr>
      </w:pPr>
      <w:r>
        <w:rPr>
          <w:color w:val="000000" w:themeColor="text1"/>
        </w:rPr>
        <w:br w:type="page"/>
      </w:r>
    </w:p>
    <w:p w14:paraId="05165CBA" w14:textId="77777777" w:rsidR="00251CC0" w:rsidRPr="00781112" w:rsidRDefault="00755AF7" w:rsidP="00D01281">
      <w:pPr>
        <w:pStyle w:val="Heading1"/>
        <w:rPr>
          <w:color w:val="000000" w:themeColor="text1"/>
        </w:rPr>
      </w:pPr>
      <w:r w:rsidRPr="00781112">
        <w:rPr>
          <w:color w:val="000000" w:themeColor="text1"/>
        </w:rPr>
        <w:lastRenderedPageBreak/>
        <w:t>Certification</w:t>
      </w:r>
    </w:p>
    <w:p w14:paraId="45EFF0F6" w14:textId="77777777" w:rsidR="00EC1064" w:rsidRPr="002C274F" w:rsidRDefault="00EC1064" w:rsidP="002C274F">
      <w:pPr>
        <w:rPr>
          <w:b/>
          <w:bCs/>
          <w:sz w:val="20"/>
          <w:szCs w:val="20"/>
        </w:rPr>
      </w:pPr>
      <w:r w:rsidRPr="002C274F">
        <w:rPr>
          <w:b/>
          <w:bCs/>
          <w:sz w:val="20"/>
          <w:szCs w:val="20"/>
        </w:rPr>
        <w:t>Instructions</w:t>
      </w:r>
    </w:p>
    <w:p w14:paraId="20FBD959" w14:textId="77777777" w:rsidR="00EC1064" w:rsidRPr="00781112" w:rsidRDefault="00C723F9" w:rsidP="00EC1064">
      <w:pPr>
        <w:autoSpaceDE w:val="0"/>
        <w:autoSpaceDN w:val="0"/>
        <w:adjustRightInd w:val="0"/>
        <w:rPr>
          <w:rFonts w:cs="Arial"/>
          <w:b/>
          <w:bCs/>
          <w:color w:val="000000" w:themeColor="text1"/>
          <w:szCs w:val="16"/>
        </w:rPr>
      </w:pPr>
      <w:r w:rsidRPr="00781112">
        <w:rPr>
          <w:rFonts w:cs="Arial"/>
          <w:b/>
          <w:bCs/>
          <w:color w:val="000000" w:themeColor="text1"/>
          <w:szCs w:val="16"/>
        </w:rPr>
        <w:t>Choose the appropriate selection and complete all the certification information fields. Then click the "Submit" button to submit your APR.</w:t>
      </w:r>
    </w:p>
    <w:p w14:paraId="78CDE5D9" w14:textId="77777777" w:rsidR="00EC1064" w:rsidRPr="00781112" w:rsidRDefault="00EC1064" w:rsidP="00EE0028">
      <w:pPr>
        <w:pStyle w:val="NoSpacing"/>
        <w:rPr>
          <w:rFonts w:ascii="Arial" w:hAnsi="Arial" w:cs="Arial"/>
          <w:b/>
          <w:bCs/>
          <w:color w:val="000000" w:themeColor="text1"/>
          <w:sz w:val="16"/>
          <w:szCs w:val="16"/>
        </w:rPr>
      </w:pPr>
      <w:r w:rsidRPr="00781112">
        <w:rPr>
          <w:rFonts w:ascii="Arial" w:hAnsi="Arial" w:cs="Arial"/>
          <w:b/>
          <w:bCs/>
          <w:color w:val="000000" w:themeColor="text1"/>
          <w:sz w:val="16"/>
          <w:szCs w:val="16"/>
        </w:rPr>
        <w:t>Certify</w:t>
      </w:r>
    </w:p>
    <w:p w14:paraId="0DF7B0B8" w14:textId="77777777" w:rsidR="00262BC0" w:rsidRPr="00781112" w:rsidRDefault="00262BC0" w:rsidP="00262BC0">
      <w:pPr>
        <w:autoSpaceDE w:val="0"/>
        <w:autoSpaceDN w:val="0"/>
        <w:adjustRightInd w:val="0"/>
        <w:rPr>
          <w:rFonts w:cs="Arial"/>
          <w:b/>
          <w:bCs/>
          <w:color w:val="000000" w:themeColor="text1"/>
          <w:szCs w:val="16"/>
        </w:rPr>
      </w:pPr>
      <w:r w:rsidRPr="00781112">
        <w:rPr>
          <w:rFonts w:cs="Arial"/>
          <w:b/>
          <w:bCs/>
          <w:color w:val="000000" w:themeColor="text1"/>
          <w:szCs w:val="16"/>
        </w:rPr>
        <w:t>I certify that I am the Chief State School Officer of the State, or his or her designee, and that the State's submission of its IDEA Part B State Performance Plan/Annual Performance Report is accurate.</w:t>
      </w:r>
    </w:p>
    <w:p w14:paraId="7243321F" w14:textId="77777777" w:rsidR="008D2663" w:rsidRPr="00781112" w:rsidRDefault="00262BC0" w:rsidP="00262BC0">
      <w:pPr>
        <w:autoSpaceDE w:val="0"/>
        <w:autoSpaceDN w:val="0"/>
        <w:adjustRightInd w:val="0"/>
        <w:rPr>
          <w:rFonts w:cs="Arial"/>
          <w:b/>
          <w:bCs/>
          <w:color w:val="000000" w:themeColor="text1"/>
          <w:szCs w:val="16"/>
        </w:rPr>
      </w:pPr>
      <w:r w:rsidRPr="00781112">
        <w:rPr>
          <w:rFonts w:cs="Arial"/>
          <w:b/>
          <w:bCs/>
          <w:color w:val="000000" w:themeColor="text1"/>
          <w:szCs w:val="16"/>
        </w:rPr>
        <w:t>Select the certifier’s role</w:t>
      </w:r>
    </w:p>
    <w:p w14:paraId="16E6C0B5" w14:textId="77777777" w:rsidR="00262BC0" w:rsidRPr="00781112" w:rsidRDefault="002B7490" w:rsidP="00262BC0">
      <w:pPr>
        <w:autoSpaceDE w:val="0"/>
        <w:autoSpaceDN w:val="0"/>
        <w:adjustRightInd w:val="0"/>
        <w:rPr>
          <w:rFonts w:cs="Arial"/>
          <w:bCs/>
          <w:color w:val="000000" w:themeColor="text1"/>
          <w:szCs w:val="16"/>
        </w:rPr>
      </w:pPr>
      <w:r w:rsidRPr="00781112">
        <w:rPr>
          <w:rFonts w:cs="Arial"/>
          <w:bCs/>
          <w:color w:val="000000" w:themeColor="text1"/>
          <w:szCs w:val="16"/>
        </w:rPr>
        <w:t>Designated by the Chief State School Officer to certify</w:t>
      </w:r>
    </w:p>
    <w:p w14:paraId="2D7B9388" w14:textId="77777777" w:rsidR="00262BC0" w:rsidRPr="00781112" w:rsidRDefault="00262BC0" w:rsidP="00262BC0">
      <w:pPr>
        <w:autoSpaceDE w:val="0"/>
        <w:autoSpaceDN w:val="0"/>
        <w:adjustRightInd w:val="0"/>
        <w:rPr>
          <w:rFonts w:cs="Arial"/>
          <w:b/>
          <w:bCs/>
          <w:color w:val="000000" w:themeColor="text1"/>
          <w:szCs w:val="16"/>
        </w:rPr>
      </w:pPr>
      <w:r w:rsidRPr="00781112">
        <w:rPr>
          <w:rFonts w:cs="Arial"/>
          <w:b/>
          <w:bCs/>
          <w:color w:val="000000" w:themeColor="text1"/>
          <w:szCs w:val="16"/>
        </w:rPr>
        <w:t>Name and title of the individual certifying the accuracy of the State's submission of its IDEA Part B State Performance Plan/Annual Performance Report.</w:t>
      </w:r>
    </w:p>
    <w:p w14:paraId="78D78F96" w14:textId="77777777" w:rsidR="00755AF7" w:rsidRPr="00781112" w:rsidRDefault="00755AF7" w:rsidP="00755AF7">
      <w:pPr>
        <w:autoSpaceDE w:val="0"/>
        <w:autoSpaceDN w:val="0"/>
        <w:adjustRightInd w:val="0"/>
        <w:rPr>
          <w:rFonts w:cs="Arial"/>
          <w:b/>
          <w:bCs/>
          <w:color w:val="000000" w:themeColor="text1"/>
          <w:szCs w:val="16"/>
        </w:rPr>
      </w:pPr>
      <w:bookmarkStart w:id="100" w:name="_Hlk20318241"/>
      <w:r w:rsidRPr="00781112">
        <w:rPr>
          <w:rFonts w:cs="Arial"/>
          <w:b/>
          <w:bCs/>
          <w:color w:val="000000" w:themeColor="text1"/>
          <w:szCs w:val="16"/>
        </w:rPr>
        <w:t xml:space="preserve">Name: </w:t>
      </w:r>
    </w:p>
    <w:p w14:paraId="00AC5CC4" w14:textId="77777777" w:rsidR="00755AF7" w:rsidRPr="00781112" w:rsidRDefault="002B7490" w:rsidP="00755AF7">
      <w:pPr>
        <w:autoSpaceDE w:val="0"/>
        <w:autoSpaceDN w:val="0"/>
        <w:adjustRightInd w:val="0"/>
        <w:rPr>
          <w:rFonts w:cs="Arial"/>
          <w:color w:val="000000" w:themeColor="text1"/>
          <w:szCs w:val="16"/>
        </w:rPr>
      </w:pPr>
      <w:r w:rsidRPr="00781112">
        <w:rPr>
          <w:rFonts w:cs="Arial"/>
          <w:color w:val="000000" w:themeColor="text1"/>
          <w:szCs w:val="16"/>
        </w:rPr>
        <w:t>Jonathan Shank</w:t>
      </w:r>
    </w:p>
    <w:p w14:paraId="6F6F74A3" w14:textId="77777777" w:rsidR="00755AF7" w:rsidRPr="00781112" w:rsidRDefault="00EF4A6B" w:rsidP="00755AF7">
      <w:pPr>
        <w:autoSpaceDE w:val="0"/>
        <w:autoSpaceDN w:val="0"/>
        <w:adjustRightInd w:val="0"/>
        <w:rPr>
          <w:rFonts w:cs="Arial"/>
          <w:b/>
          <w:bCs/>
          <w:color w:val="000000" w:themeColor="text1"/>
          <w:szCs w:val="16"/>
        </w:rPr>
      </w:pPr>
      <w:r w:rsidRPr="00781112">
        <w:rPr>
          <w:rFonts w:cs="Arial"/>
          <w:b/>
          <w:bCs/>
          <w:color w:val="000000" w:themeColor="text1"/>
          <w:szCs w:val="16"/>
        </w:rPr>
        <w:t xml:space="preserve">Title: </w:t>
      </w:r>
    </w:p>
    <w:p w14:paraId="21DA7C37" w14:textId="77777777" w:rsidR="00755AF7" w:rsidRPr="00781112" w:rsidRDefault="002B7490" w:rsidP="00755AF7">
      <w:pPr>
        <w:autoSpaceDE w:val="0"/>
        <w:autoSpaceDN w:val="0"/>
        <w:adjustRightInd w:val="0"/>
        <w:rPr>
          <w:rFonts w:cs="Arial"/>
          <w:color w:val="000000" w:themeColor="text1"/>
          <w:szCs w:val="16"/>
        </w:rPr>
      </w:pPr>
      <w:r w:rsidRPr="00781112">
        <w:rPr>
          <w:rFonts w:cs="Arial"/>
          <w:color w:val="000000" w:themeColor="text1"/>
          <w:szCs w:val="16"/>
        </w:rPr>
        <w:t>IDEA Part B Data Manager</w:t>
      </w:r>
    </w:p>
    <w:p w14:paraId="55DC17AE" w14:textId="77777777" w:rsidR="00755AF7" w:rsidRPr="00781112" w:rsidRDefault="00925E33" w:rsidP="00755AF7">
      <w:pPr>
        <w:autoSpaceDE w:val="0"/>
        <w:autoSpaceDN w:val="0"/>
        <w:adjustRightInd w:val="0"/>
        <w:rPr>
          <w:rFonts w:cs="Arial"/>
          <w:b/>
          <w:bCs/>
          <w:color w:val="000000" w:themeColor="text1"/>
          <w:szCs w:val="16"/>
        </w:rPr>
      </w:pPr>
      <w:r w:rsidRPr="00781112">
        <w:rPr>
          <w:rFonts w:cs="Arial"/>
          <w:b/>
          <w:bCs/>
          <w:color w:val="000000" w:themeColor="text1"/>
          <w:szCs w:val="16"/>
        </w:rPr>
        <w:t xml:space="preserve">Email: </w:t>
      </w:r>
    </w:p>
    <w:p w14:paraId="778555E9" w14:textId="77777777" w:rsidR="00755AF7" w:rsidRPr="00781112" w:rsidRDefault="002B7490" w:rsidP="00755AF7">
      <w:pPr>
        <w:autoSpaceDE w:val="0"/>
        <w:autoSpaceDN w:val="0"/>
        <w:adjustRightInd w:val="0"/>
        <w:rPr>
          <w:rFonts w:cs="Arial"/>
          <w:color w:val="000000" w:themeColor="text1"/>
          <w:szCs w:val="16"/>
        </w:rPr>
      </w:pPr>
      <w:r w:rsidRPr="00781112">
        <w:rPr>
          <w:rFonts w:cs="Arial"/>
          <w:color w:val="000000" w:themeColor="text1"/>
          <w:szCs w:val="16"/>
        </w:rPr>
        <w:t>jonathan.shank@k12.wv.us</w:t>
      </w:r>
    </w:p>
    <w:p w14:paraId="513DB478" w14:textId="77777777" w:rsidR="00755AF7" w:rsidRPr="00781112" w:rsidRDefault="00EF4A6B" w:rsidP="00755AF7">
      <w:pPr>
        <w:autoSpaceDE w:val="0"/>
        <w:autoSpaceDN w:val="0"/>
        <w:adjustRightInd w:val="0"/>
        <w:rPr>
          <w:rFonts w:cs="Arial"/>
          <w:b/>
          <w:color w:val="000000" w:themeColor="text1"/>
          <w:szCs w:val="16"/>
        </w:rPr>
      </w:pPr>
      <w:r w:rsidRPr="00781112">
        <w:rPr>
          <w:rFonts w:cs="Arial"/>
          <w:b/>
          <w:color w:val="000000" w:themeColor="text1"/>
          <w:szCs w:val="16"/>
        </w:rPr>
        <w:t>Phone:</w:t>
      </w:r>
    </w:p>
    <w:p w14:paraId="47413DEE" w14:textId="77777777" w:rsidR="00DD2023" w:rsidRPr="00781112" w:rsidRDefault="002B7490" w:rsidP="00DD2023">
      <w:pPr>
        <w:autoSpaceDE w:val="0"/>
        <w:autoSpaceDN w:val="0"/>
        <w:adjustRightInd w:val="0"/>
        <w:rPr>
          <w:rFonts w:cs="Arial"/>
          <w:color w:val="000000" w:themeColor="text1"/>
          <w:szCs w:val="16"/>
        </w:rPr>
      </w:pPr>
      <w:r w:rsidRPr="00781112">
        <w:rPr>
          <w:rFonts w:cs="Arial"/>
          <w:color w:val="000000" w:themeColor="text1"/>
          <w:szCs w:val="16"/>
        </w:rPr>
        <w:t>304.558.2696</w:t>
      </w:r>
    </w:p>
    <w:bookmarkEnd w:id="100"/>
    <w:p w14:paraId="2CF1A13D" w14:textId="77777777" w:rsidR="000657F0" w:rsidRPr="00781112" w:rsidRDefault="00C773DB" w:rsidP="000657F0">
      <w:pPr>
        <w:autoSpaceDE w:val="0"/>
        <w:autoSpaceDN w:val="0"/>
        <w:adjustRightInd w:val="0"/>
        <w:rPr>
          <w:rFonts w:cs="Arial"/>
          <w:b/>
          <w:color w:val="000000" w:themeColor="text1"/>
          <w:szCs w:val="16"/>
        </w:rPr>
      </w:pPr>
      <w:r w:rsidRPr="00781112">
        <w:rPr>
          <w:rFonts w:cs="Arial"/>
          <w:b/>
          <w:color w:val="000000" w:themeColor="text1"/>
          <w:szCs w:val="16"/>
        </w:rPr>
        <w:t>Submitted on:</w:t>
      </w:r>
    </w:p>
    <w:p w14:paraId="4CC36977" w14:textId="77777777" w:rsidR="00371FAA" w:rsidRDefault="006879FA" w:rsidP="00CA7625">
      <w:pPr>
        <w:autoSpaceDE w:val="0"/>
        <w:autoSpaceDN w:val="0"/>
        <w:adjustRightInd w:val="0"/>
        <w:rPr>
          <w:rFonts w:cs="Arial"/>
          <w:color w:val="000000" w:themeColor="text1"/>
          <w:szCs w:val="16"/>
        </w:rPr>
      </w:pPr>
      <w:r w:rsidRPr="00CA7625">
        <w:rPr>
          <w:rFonts w:cs="Arial"/>
          <w:color w:val="000000" w:themeColor="text1"/>
          <w:szCs w:val="16"/>
        </w:rPr>
        <w:t>04/21/26  2:59:22 PM</w:t>
      </w:r>
    </w:p>
    <w:p w14:paraId="6B55533A" w14:textId="77777777" w:rsidR="008B71EA" w:rsidRDefault="008B71EA" w:rsidP="008B71EA">
      <w:pPr>
        <w:spacing w:before="0" w:after="0" w:line="276" w:lineRule="auto"/>
        <w:rPr>
          <w:rFonts w:cs="Arial"/>
          <w:bCs/>
          <w:color w:val="000000" w:themeColor="text1"/>
          <w:szCs w:val="16"/>
        </w:rPr>
        <w:sectPr w:rsidR="008B71EA" w:rsidSect="00A70254">
          <w:headerReference w:type="default" r:id="rId12"/>
          <w:footerReference w:type="default" r:id="rId13"/>
          <w:pgSz w:w="12240" w:h="15840"/>
          <w:pgMar w:top="720" w:right="720" w:bottom="720" w:left="720" w:header="763" w:footer="431" w:gutter="0"/>
          <w:cols w:space="720"/>
          <w:docGrid w:linePitch="218"/>
        </w:sectPr>
      </w:pPr>
    </w:p>
    <w:bookmarkEnd w:id="3"/>
    <w:p w14:paraId="4366BD39" w14:textId="32AFEACE" w:rsidR="00371FAA" w:rsidRPr="00395B6C" w:rsidRDefault="00371FAA" w:rsidP="00D12506">
      <w:pPr>
        <w:spacing w:before="0" w:after="200" w:line="276" w:lineRule="auto"/>
      </w:pPr>
    </w:p>
    <w:sectPr w:rsidR="00371FAA" w:rsidRPr="00395B6C" w:rsidSect="00436FC3">
      <w:headerReference w:type="default" r:id="rId14"/>
      <w:footerReference w:type="default" r:id="rId15"/>
      <w:type w:val="continuous"/>
      <w:pgSz w:w="12240" w:h="15840"/>
      <w:pgMar w:top="720" w:right="720" w:bottom="720" w:left="720" w:header="763" w:footer="432"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34094" w14:textId="77777777" w:rsidR="00347B21" w:rsidRDefault="00347B21" w:rsidP="000802F7">
      <w:pPr>
        <w:spacing w:before="0" w:after="0"/>
      </w:pPr>
      <w:r>
        <w:separator/>
      </w:r>
    </w:p>
  </w:endnote>
  <w:endnote w:type="continuationSeparator" w:id="0">
    <w:p w14:paraId="034723C5" w14:textId="77777777" w:rsidR="00347B21" w:rsidRDefault="00347B21" w:rsidP="000802F7">
      <w:pPr>
        <w:spacing w:before="0" w:after="0"/>
      </w:pPr>
      <w:r>
        <w:continuationSeparator/>
      </w:r>
    </w:p>
  </w:endnote>
  <w:endnote w:type="continuationNotice" w:id="1">
    <w:p w14:paraId="752789AA" w14:textId="77777777" w:rsidR="00347B21" w:rsidRDefault="00347B2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rlito">
    <w:altName w:val="Calibri"/>
    <w:charset w:val="00"/>
    <w:family w:val="swiss"/>
    <w:pitch w:val="variable"/>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032885"/>
      <w:docPartObj>
        <w:docPartGallery w:val="Page Numbers (Bottom of Page)"/>
        <w:docPartUnique/>
      </w:docPartObj>
    </w:sdtPr>
    <w:sdtEndPr>
      <w:rPr>
        <w:noProof/>
      </w:rPr>
    </w:sdtEndPr>
    <w:sdtContent>
      <w:sdt>
        <w:sdtPr>
          <w:id w:val="1521194661"/>
          <w:docPartObj>
            <w:docPartGallery w:val="Page Numbers (Bottom of Page)"/>
            <w:docPartUnique/>
          </w:docPartObj>
        </w:sdtPr>
        <w:sdtEndPr>
          <w:rPr>
            <w:noProof/>
          </w:rPr>
        </w:sdtEndPr>
        <w:sdtContent>
          <w:p w14:paraId="2F154C48" w14:textId="77777777" w:rsidR="0031327B" w:rsidRDefault="00D733C3" w:rsidP="00D733C3">
            <w:pPr>
              <w:pStyle w:val="Footer"/>
              <w:jc w:val="right"/>
              <w:rPr>
                <w:noProof/>
              </w:rPr>
            </w:pPr>
            <w:r>
              <w:fldChar w:fldCharType="begin"/>
            </w:r>
            <w:r>
              <w:instrText xml:space="preserve"> PAGE   \* MERGEFORMAT </w:instrText>
            </w:r>
            <w:r>
              <w:fldChar w:fldCharType="separate"/>
            </w:r>
            <w:r>
              <w:t>3</w:t>
            </w:r>
            <w:r>
              <w:rPr>
                <w:noProof/>
              </w:rPr>
              <w:fldChar w:fldCharType="end"/>
            </w:r>
            <w:r>
              <w:ptab w:relativeTo="margin" w:alignment="right" w:leader="none"/>
            </w:r>
            <w:r>
              <w:t>Part B</w:t>
            </w:r>
          </w:p>
        </w:sdtContent>
      </w:sdt>
    </w:sdtContent>
  </w:sdt>
  <w:p w14:paraId="5F1C270B" w14:textId="77777777" w:rsidR="000F4A1E" w:rsidRDefault="000F4A1E">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2BB3" w14:textId="77777777" w:rsidR="000250CE" w:rsidRDefault="000250CE" w:rsidP="000250CE">
    <w:pPr>
      <w:jc w:val="center"/>
      <w:rPr>
        <w:noProof/>
      </w:rPr>
    </w:pPr>
    <w:r>
      <w:fldChar w:fldCharType="begin"/>
    </w:r>
    <w:r>
      <w:instrText xml:space="preserve"> PAGE   \* MERGEFORMAT </w:instrText>
    </w:r>
    <w:r>
      <w:fldChar w:fldCharType="separate"/>
    </w:r>
    <w:r>
      <w:t>117</w:t>
    </w:r>
    <w:r>
      <w:rPr>
        <w:noProof/>
      </w:rPr>
      <w:fldChar w:fldCharType="end"/>
    </w:r>
    <w:r>
      <w:ptab w:relativeTo="margin" w:alignment="right" w:leader="none"/>
    </w:r>
    <w:r>
      <w:t>Part B</w:t>
    </w:r>
  </w:p>
  <w:p w14:paraId="57E84892" w14:textId="77777777" w:rsidR="00EC3EF4" w:rsidRDefault="00EC3EF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96815" w14:textId="77777777" w:rsidR="00347B21" w:rsidRDefault="00347B21" w:rsidP="000802F7">
      <w:pPr>
        <w:spacing w:before="0" w:after="0"/>
      </w:pPr>
      <w:r>
        <w:separator/>
      </w:r>
    </w:p>
  </w:footnote>
  <w:footnote w:type="continuationSeparator" w:id="0">
    <w:p w14:paraId="2F9B90B2" w14:textId="77777777" w:rsidR="00347B21" w:rsidRDefault="00347B21" w:rsidP="000802F7">
      <w:pPr>
        <w:spacing w:before="0" w:after="0"/>
      </w:pPr>
      <w:r>
        <w:continuationSeparator/>
      </w:r>
    </w:p>
  </w:footnote>
  <w:footnote w:type="continuationNotice" w:id="1">
    <w:p w14:paraId="7EDCDB2A" w14:textId="77777777" w:rsidR="00347B21" w:rsidRDefault="00347B2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21A13" w14:textId="77777777" w:rsidR="000F4A1E" w:rsidRDefault="000F4A1E">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3EBFF" w14:textId="77777777" w:rsidR="00EC3EF4" w:rsidRDefault="00EC3EF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57B"/>
    <w:multiLevelType w:val="hybridMultilevel"/>
    <w:tmpl w:val="8548B854"/>
    <w:lvl w:ilvl="0" w:tplc="00203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526B4"/>
    <w:multiLevelType w:val="hybridMultilevel"/>
    <w:tmpl w:val="43D827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E640E2"/>
    <w:multiLevelType w:val="multilevel"/>
    <w:tmpl w:val="C1CAE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10E5A23"/>
    <w:multiLevelType w:val="hybridMultilevel"/>
    <w:tmpl w:val="081A0F38"/>
    <w:lvl w:ilvl="0" w:tplc="A14A3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10816"/>
    <w:multiLevelType w:val="hybridMultilevel"/>
    <w:tmpl w:val="62F02BE2"/>
    <w:lvl w:ilvl="0" w:tplc="D22C94C8">
      <w:start w:val="1"/>
      <w:numFmt w:val="bullet"/>
      <w:pStyle w:val="RadioButtonBullet"/>
      <w:lvlText w:val=""/>
      <w:lvlJc w:val="left"/>
      <w:pPr>
        <w:tabs>
          <w:tab w:val="num" w:pos="720"/>
        </w:tabs>
        <w:ind w:left="720" w:hanging="360"/>
      </w:pPr>
      <w:rPr>
        <w:rFonts w:ascii="Symbol" w:hAnsi="Symbol" w:hint="default"/>
      </w:rPr>
    </w:lvl>
    <w:lvl w:ilvl="1" w:tplc="199004C2">
      <w:start w:val="1"/>
      <w:numFmt w:val="bullet"/>
      <w:lvlText w:val=""/>
      <w:lvlJc w:val="left"/>
      <w:pPr>
        <w:tabs>
          <w:tab w:val="num" w:pos="1440"/>
        </w:tabs>
        <w:ind w:left="1440" w:hanging="360"/>
      </w:pPr>
      <w:rPr>
        <w:rFonts w:ascii="Symbol" w:hAnsi="Symbol" w:hint="default"/>
      </w:rPr>
    </w:lvl>
    <w:lvl w:ilvl="2" w:tplc="F45AB4D0" w:tentative="1">
      <w:start w:val="1"/>
      <w:numFmt w:val="bullet"/>
      <w:lvlText w:val=""/>
      <w:lvlJc w:val="left"/>
      <w:pPr>
        <w:tabs>
          <w:tab w:val="num" w:pos="2160"/>
        </w:tabs>
        <w:ind w:left="2160" w:hanging="360"/>
      </w:pPr>
      <w:rPr>
        <w:rFonts w:ascii="Symbol" w:hAnsi="Symbol" w:hint="default"/>
      </w:rPr>
    </w:lvl>
    <w:lvl w:ilvl="3" w:tplc="08340BBE" w:tentative="1">
      <w:start w:val="1"/>
      <w:numFmt w:val="bullet"/>
      <w:lvlText w:val=""/>
      <w:lvlJc w:val="left"/>
      <w:pPr>
        <w:tabs>
          <w:tab w:val="num" w:pos="2880"/>
        </w:tabs>
        <w:ind w:left="2880" w:hanging="360"/>
      </w:pPr>
      <w:rPr>
        <w:rFonts w:ascii="Symbol" w:hAnsi="Symbol" w:hint="default"/>
      </w:rPr>
    </w:lvl>
    <w:lvl w:ilvl="4" w:tplc="C38683EA" w:tentative="1">
      <w:start w:val="1"/>
      <w:numFmt w:val="bullet"/>
      <w:lvlText w:val=""/>
      <w:lvlJc w:val="left"/>
      <w:pPr>
        <w:tabs>
          <w:tab w:val="num" w:pos="3600"/>
        </w:tabs>
        <w:ind w:left="3600" w:hanging="360"/>
      </w:pPr>
      <w:rPr>
        <w:rFonts w:ascii="Symbol" w:hAnsi="Symbol" w:hint="default"/>
      </w:rPr>
    </w:lvl>
    <w:lvl w:ilvl="5" w:tplc="49D286D4" w:tentative="1">
      <w:start w:val="1"/>
      <w:numFmt w:val="bullet"/>
      <w:lvlText w:val=""/>
      <w:lvlJc w:val="left"/>
      <w:pPr>
        <w:tabs>
          <w:tab w:val="num" w:pos="4320"/>
        </w:tabs>
        <w:ind w:left="4320" w:hanging="360"/>
      </w:pPr>
      <w:rPr>
        <w:rFonts w:ascii="Symbol" w:hAnsi="Symbol" w:hint="default"/>
      </w:rPr>
    </w:lvl>
    <w:lvl w:ilvl="6" w:tplc="DDEC5CF2" w:tentative="1">
      <w:start w:val="1"/>
      <w:numFmt w:val="bullet"/>
      <w:lvlText w:val=""/>
      <w:lvlJc w:val="left"/>
      <w:pPr>
        <w:tabs>
          <w:tab w:val="num" w:pos="5040"/>
        </w:tabs>
        <w:ind w:left="5040" w:hanging="360"/>
      </w:pPr>
      <w:rPr>
        <w:rFonts w:ascii="Symbol" w:hAnsi="Symbol" w:hint="default"/>
      </w:rPr>
    </w:lvl>
    <w:lvl w:ilvl="7" w:tplc="1DE8D87A" w:tentative="1">
      <w:start w:val="1"/>
      <w:numFmt w:val="bullet"/>
      <w:lvlText w:val=""/>
      <w:lvlJc w:val="left"/>
      <w:pPr>
        <w:tabs>
          <w:tab w:val="num" w:pos="5760"/>
        </w:tabs>
        <w:ind w:left="5760" w:hanging="360"/>
      </w:pPr>
      <w:rPr>
        <w:rFonts w:ascii="Symbol" w:hAnsi="Symbol" w:hint="default"/>
      </w:rPr>
    </w:lvl>
    <w:lvl w:ilvl="8" w:tplc="772899E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A965831"/>
    <w:multiLevelType w:val="hybridMultilevel"/>
    <w:tmpl w:val="31167B22"/>
    <w:lvl w:ilvl="0" w:tplc="4C76C600">
      <w:start w:val="1"/>
      <w:numFmt w:val="decimal"/>
      <w:lvlText w:val="(%1)"/>
      <w:lvlJc w:val="left"/>
      <w:pPr>
        <w:ind w:left="742" w:hanging="243"/>
      </w:pPr>
      <w:rPr>
        <w:rFonts w:ascii="Calibri" w:eastAsia="Calibri" w:hAnsi="Calibri" w:cs="Calibri" w:hint="default"/>
        <w:spacing w:val="-1"/>
        <w:w w:val="100"/>
        <w:sz w:val="18"/>
        <w:szCs w:val="18"/>
        <w:lang w:val="en-US" w:eastAsia="en-US" w:bidi="ar-SA"/>
      </w:rPr>
    </w:lvl>
    <w:lvl w:ilvl="1" w:tplc="7FB8318A">
      <w:numFmt w:val="bullet"/>
      <w:lvlText w:val="•"/>
      <w:lvlJc w:val="left"/>
      <w:pPr>
        <w:ind w:left="1630" w:hanging="243"/>
      </w:pPr>
      <w:rPr>
        <w:rFonts w:hint="default"/>
        <w:lang w:val="en-US" w:eastAsia="en-US" w:bidi="ar-SA"/>
      </w:rPr>
    </w:lvl>
    <w:lvl w:ilvl="2" w:tplc="0B645188">
      <w:numFmt w:val="bullet"/>
      <w:lvlText w:val="•"/>
      <w:lvlJc w:val="left"/>
      <w:pPr>
        <w:ind w:left="2520" w:hanging="243"/>
      </w:pPr>
      <w:rPr>
        <w:rFonts w:hint="default"/>
        <w:lang w:val="en-US" w:eastAsia="en-US" w:bidi="ar-SA"/>
      </w:rPr>
    </w:lvl>
    <w:lvl w:ilvl="3" w:tplc="2D265A84">
      <w:numFmt w:val="bullet"/>
      <w:lvlText w:val="•"/>
      <w:lvlJc w:val="left"/>
      <w:pPr>
        <w:ind w:left="3410" w:hanging="243"/>
      </w:pPr>
      <w:rPr>
        <w:rFonts w:hint="default"/>
        <w:lang w:val="en-US" w:eastAsia="en-US" w:bidi="ar-SA"/>
      </w:rPr>
    </w:lvl>
    <w:lvl w:ilvl="4" w:tplc="EC3405A6">
      <w:numFmt w:val="bullet"/>
      <w:lvlText w:val="•"/>
      <w:lvlJc w:val="left"/>
      <w:pPr>
        <w:ind w:left="4300" w:hanging="243"/>
      </w:pPr>
      <w:rPr>
        <w:rFonts w:hint="default"/>
        <w:lang w:val="en-US" w:eastAsia="en-US" w:bidi="ar-SA"/>
      </w:rPr>
    </w:lvl>
    <w:lvl w:ilvl="5" w:tplc="1A7453C2">
      <w:numFmt w:val="bullet"/>
      <w:lvlText w:val="•"/>
      <w:lvlJc w:val="left"/>
      <w:pPr>
        <w:ind w:left="5190" w:hanging="243"/>
      </w:pPr>
      <w:rPr>
        <w:rFonts w:hint="default"/>
        <w:lang w:val="en-US" w:eastAsia="en-US" w:bidi="ar-SA"/>
      </w:rPr>
    </w:lvl>
    <w:lvl w:ilvl="6" w:tplc="C08EBB80">
      <w:numFmt w:val="bullet"/>
      <w:lvlText w:val="•"/>
      <w:lvlJc w:val="left"/>
      <w:pPr>
        <w:ind w:left="6080" w:hanging="243"/>
      </w:pPr>
      <w:rPr>
        <w:rFonts w:hint="default"/>
        <w:lang w:val="en-US" w:eastAsia="en-US" w:bidi="ar-SA"/>
      </w:rPr>
    </w:lvl>
    <w:lvl w:ilvl="7" w:tplc="CEDC7EAC">
      <w:numFmt w:val="bullet"/>
      <w:lvlText w:val="•"/>
      <w:lvlJc w:val="left"/>
      <w:pPr>
        <w:ind w:left="6970" w:hanging="243"/>
      </w:pPr>
      <w:rPr>
        <w:rFonts w:hint="default"/>
        <w:lang w:val="en-US" w:eastAsia="en-US" w:bidi="ar-SA"/>
      </w:rPr>
    </w:lvl>
    <w:lvl w:ilvl="8" w:tplc="31E0B7AC">
      <w:numFmt w:val="bullet"/>
      <w:lvlText w:val="•"/>
      <w:lvlJc w:val="left"/>
      <w:pPr>
        <w:ind w:left="7860" w:hanging="243"/>
      </w:pPr>
      <w:rPr>
        <w:rFonts w:hint="default"/>
        <w:lang w:val="en-US" w:eastAsia="en-US" w:bidi="ar-SA"/>
      </w:rPr>
    </w:lvl>
  </w:abstractNum>
  <w:abstractNum w:abstractNumId="6" w15:restartNumberingAfterBreak="0">
    <w:nsid w:val="43DB6ABC"/>
    <w:multiLevelType w:val="multilevel"/>
    <w:tmpl w:val="19F662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62C3BE4"/>
    <w:multiLevelType w:val="multilevel"/>
    <w:tmpl w:val="A9CEB9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F5530B4"/>
    <w:multiLevelType w:val="hybridMultilevel"/>
    <w:tmpl w:val="969A0E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CC62B6"/>
    <w:multiLevelType w:val="hybridMultilevel"/>
    <w:tmpl w:val="43D827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57D63B9"/>
    <w:multiLevelType w:val="hybridMultilevel"/>
    <w:tmpl w:val="CD9088B0"/>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27F6E09"/>
    <w:multiLevelType w:val="hybridMultilevel"/>
    <w:tmpl w:val="14C08E3C"/>
    <w:lvl w:ilvl="0" w:tplc="11F2CA00">
      <w:start w:val="1"/>
      <w:numFmt w:val="decimal"/>
      <w:lvlText w:val="(%1)"/>
      <w:lvlJc w:val="left"/>
      <w:pPr>
        <w:ind w:left="720" w:hanging="360"/>
      </w:pPr>
      <w:rPr>
        <w:rFonts w:ascii="Arial" w:eastAsiaTheme="minorHAnsi" w:hAnsi="Arial"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844278"/>
    <w:multiLevelType w:val="hybridMultilevel"/>
    <w:tmpl w:val="43D82728"/>
    <w:lvl w:ilvl="0" w:tplc="5BE003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CC7F34"/>
    <w:multiLevelType w:val="hybridMultilevel"/>
    <w:tmpl w:val="9F809C7A"/>
    <w:lvl w:ilvl="0" w:tplc="63A63868">
      <w:start w:val="1"/>
      <w:numFmt w:val="bullet"/>
      <w:pStyle w:val="IndNote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0D1260"/>
    <w:multiLevelType w:val="hybridMultilevel"/>
    <w:tmpl w:val="969A0ED4"/>
    <w:lvl w:ilvl="0" w:tplc="4D3A2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60345B"/>
    <w:multiLevelType w:val="hybridMultilevel"/>
    <w:tmpl w:val="07A0DB14"/>
    <w:lvl w:ilvl="0" w:tplc="FC6C7E0C">
      <w:start w:val="1"/>
      <w:numFmt w:val="decimal"/>
      <w:pStyle w:val="BRIRequirement"/>
      <w:lvlText w:val="BRI%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1335C8"/>
    <w:multiLevelType w:val="hybridMultilevel"/>
    <w:tmpl w:val="FAF4F1C4"/>
    <w:lvl w:ilvl="0" w:tplc="AE4ACDC8">
      <w:start w:val="1"/>
      <w:numFmt w:val="decimal"/>
      <w:pStyle w:val="FigureCaption"/>
      <w:lvlText w:val="Figure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3835698">
    <w:abstractNumId w:val="15"/>
  </w:num>
  <w:num w:numId="2" w16cid:durableId="1592162888">
    <w:abstractNumId w:val="4"/>
  </w:num>
  <w:num w:numId="3" w16cid:durableId="1701589992">
    <w:abstractNumId w:val="13"/>
  </w:num>
  <w:num w:numId="4" w16cid:durableId="250937431">
    <w:abstractNumId w:val="16"/>
  </w:num>
  <w:num w:numId="5" w16cid:durableId="1616593578">
    <w:abstractNumId w:val="6"/>
  </w:num>
  <w:num w:numId="6" w16cid:durableId="1061438534">
    <w:abstractNumId w:val="2"/>
  </w:num>
  <w:num w:numId="7" w16cid:durableId="1802728668">
    <w:abstractNumId w:val="7"/>
  </w:num>
  <w:num w:numId="8" w16cid:durableId="10405209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5269979">
    <w:abstractNumId w:val="0"/>
  </w:num>
  <w:num w:numId="10" w16cid:durableId="42338469">
    <w:abstractNumId w:val="11"/>
  </w:num>
  <w:num w:numId="11" w16cid:durableId="1052729607">
    <w:abstractNumId w:val="14"/>
  </w:num>
  <w:num w:numId="12" w16cid:durableId="526408006">
    <w:abstractNumId w:val="12"/>
  </w:num>
  <w:num w:numId="13" w16cid:durableId="1451318079">
    <w:abstractNumId w:val="3"/>
  </w:num>
  <w:num w:numId="14" w16cid:durableId="25982123">
    <w:abstractNumId w:val="1"/>
  </w:num>
  <w:num w:numId="15" w16cid:durableId="762146582">
    <w:abstractNumId w:val="9"/>
  </w:num>
  <w:num w:numId="16" w16cid:durableId="648872921">
    <w:abstractNumId w:val="8"/>
  </w:num>
  <w:num w:numId="17" w16cid:durableId="1059286313">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69"/>
    <w:rsid w:val="0000024B"/>
    <w:rsid w:val="00000E77"/>
    <w:rsid w:val="0000102A"/>
    <w:rsid w:val="0000116E"/>
    <w:rsid w:val="000013E5"/>
    <w:rsid w:val="0000146B"/>
    <w:rsid w:val="00001EAE"/>
    <w:rsid w:val="000020E9"/>
    <w:rsid w:val="00002320"/>
    <w:rsid w:val="0000272B"/>
    <w:rsid w:val="00002962"/>
    <w:rsid w:val="00002B25"/>
    <w:rsid w:val="00002D92"/>
    <w:rsid w:val="00002E37"/>
    <w:rsid w:val="0000325B"/>
    <w:rsid w:val="000032E5"/>
    <w:rsid w:val="000036C1"/>
    <w:rsid w:val="00003894"/>
    <w:rsid w:val="00004592"/>
    <w:rsid w:val="00004700"/>
    <w:rsid w:val="00004880"/>
    <w:rsid w:val="00004E61"/>
    <w:rsid w:val="0000579A"/>
    <w:rsid w:val="00005FAE"/>
    <w:rsid w:val="000063AC"/>
    <w:rsid w:val="0000663B"/>
    <w:rsid w:val="00006A25"/>
    <w:rsid w:val="000070D5"/>
    <w:rsid w:val="00010158"/>
    <w:rsid w:val="000105C5"/>
    <w:rsid w:val="00011443"/>
    <w:rsid w:val="000114E3"/>
    <w:rsid w:val="00011778"/>
    <w:rsid w:val="00011B86"/>
    <w:rsid w:val="000120DA"/>
    <w:rsid w:val="0001227B"/>
    <w:rsid w:val="000123D2"/>
    <w:rsid w:val="000124F7"/>
    <w:rsid w:val="00013138"/>
    <w:rsid w:val="00013F12"/>
    <w:rsid w:val="0001550D"/>
    <w:rsid w:val="00015D55"/>
    <w:rsid w:val="0001707D"/>
    <w:rsid w:val="00017940"/>
    <w:rsid w:val="00017BA7"/>
    <w:rsid w:val="00017D15"/>
    <w:rsid w:val="000209D6"/>
    <w:rsid w:val="00020C7A"/>
    <w:rsid w:val="00020D4C"/>
    <w:rsid w:val="00020E05"/>
    <w:rsid w:val="0002147B"/>
    <w:rsid w:val="00021AE9"/>
    <w:rsid w:val="000221B3"/>
    <w:rsid w:val="000223EC"/>
    <w:rsid w:val="000227B7"/>
    <w:rsid w:val="00023642"/>
    <w:rsid w:val="00023E62"/>
    <w:rsid w:val="000248C8"/>
    <w:rsid w:val="00024979"/>
    <w:rsid w:val="000250CE"/>
    <w:rsid w:val="000251C4"/>
    <w:rsid w:val="000256D1"/>
    <w:rsid w:val="00025AFF"/>
    <w:rsid w:val="00025D8D"/>
    <w:rsid w:val="000277CE"/>
    <w:rsid w:val="00027886"/>
    <w:rsid w:val="0003014D"/>
    <w:rsid w:val="000301BA"/>
    <w:rsid w:val="00030B45"/>
    <w:rsid w:val="00030F5E"/>
    <w:rsid w:val="00031465"/>
    <w:rsid w:val="00031560"/>
    <w:rsid w:val="00031A91"/>
    <w:rsid w:val="00031B94"/>
    <w:rsid w:val="00031C3A"/>
    <w:rsid w:val="00031E3A"/>
    <w:rsid w:val="00032548"/>
    <w:rsid w:val="0003292C"/>
    <w:rsid w:val="00032930"/>
    <w:rsid w:val="00032AC4"/>
    <w:rsid w:val="00032DB1"/>
    <w:rsid w:val="00033474"/>
    <w:rsid w:val="000336AC"/>
    <w:rsid w:val="00033723"/>
    <w:rsid w:val="00034451"/>
    <w:rsid w:val="00034A81"/>
    <w:rsid w:val="000360A5"/>
    <w:rsid w:val="000367A3"/>
    <w:rsid w:val="00036AA4"/>
    <w:rsid w:val="00040BA5"/>
    <w:rsid w:val="00041274"/>
    <w:rsid w:val="000417B4"/>
    <w:rsid w:val="00041E27"/>
    <w:rsid w:val="00041FD3"/>
    <w:rsid w:val="0004359A"/>
    <w:rsid w:val="000437FD"/>
    <w:rsid w:val="000439AF"/>
    <w:rsid w:val="00043AAB"/>
    <w:rsid w:val="00043AC9"/>
    <w:rsid w:val="000444E2"/>
    <w:rsid w:val="00044883"/>
    <w:rsid w:val="00044B5C"/>
    <w:rsid w:val="00045F82"/>
    <w:rsid w:val="00045F9F"/>
    <w:rsid w:val="00046488"/>
    <w:rsid w:val="00046969"/>
    <w:rsid w:val="00046BF9"/>
    <w:rsid w:val="00046F83"/>
    <w:rsid w:val="000477FF"/>
    <w:rsid w:val="00047CB5"/>
    <w:rsid w:val="00050175"/>
    <w:rsid w:val="00051B61"/>
    <w:rsid w:val="000521AB"/>
    <w:rsid w:val="0005247A"/>
    <w:rsid w:val="00052590"/>
    <w:rsid w:val="000526F6"/>
    <w:rsid w:val="00052E15"/>
    <w:rsid w:val="000532EB"/>
    <w:rsid w:val="00053391"/>
    <w:rsid w:val="000533D7"/>
    <w:rsid w:val="00053795"/>
    <w:rsid w:val="00053B06"/>
    <w:rsid w:val="00053DFE"/>
    <w:rsid w:val="0005400D"/>
    <w:rsid w:val="000545D2"/>
    <w:rsid w:val="00054985"/>
    <w:rsid w:val="00054A60"/>
    <w:rsid w:val="00054C7A"/>
    <w:rsid w:val="00054FA8"/>
    <w:rsid w:val="000550B2"/>
    <w:rsid w:val="000559DA"/>
    <w:rsid w:val="00055BD1"/>
    <w:rsid w:val="00055C7A"/>
    <w:rsid w:val="00055FC7"/>
    <w:rsid w:val="00056350"/>
    <w:rsid w:val="00056758"/>
    <w:rsid w:val="00056F03"/>
    <w:rsid w:val="00057843"/>
    <w:rsid w:val="000578BA"/>
    <w:rsid w:val="0006058A"/>
    <w:rsid w:val="00060ADC"/>
    <w:rsid w:val="00061459"/>
    <w:rsid w:val="0006151E"/>
    <w:rsid w:val="000618B4"/>
    <w:rsid w:val="00061AB2"/>
    <w:rsid w:val="00061DF1"/>
    <w:rsid w:val="00061F73"/>
    <w:rsid w:val="000622A8"/>
    <w:rsid w:val="0006235D"/>
    <w:rsid w:val="000625F8"/>
    <w:rsid w:val="00062BB2"/>
    <w:rsid w:val="00062E68"/>
    <w:rsid w:val="00063136"/>
    <w:rsid w:val="00063CB9"/>
    <w:rsid w:val="000646AE"/>
    <w:rsid w:val="00064809"/>
    <w:rsid w:val="000648D2"/>
    <w:rsid w:val="00064AB6"/>
    <w:rsid w:val="000657A8"/>
    <w:rsid w:val="000657F0"/>
    <w:rsid w:val="000663C3"/>
    <w:rsid w:val="000668E0"/>
    <w:rsid w:val="00066BAA"/>
    <w:rsid w:val="00066F3E"/>
    <w:rsid w:val="00067654"/>
    <w:rsid w:val="00067C04"/>
    <w:rsid w:val="00070D9E"/>
    <w:rsid w:val="0007196B"/>
    <w:rsid w:val="00071D42"/>
    <w:rsid w:val="00072B99"/>
    <w:rsid w:val="00072BBA"/>
    <w:rsid w:val="00072BF0"/>
    <w:rsid w:val="00072FEE"/>
    <w:rsid w:val="00073047"/>
    <w:rsid w:val="00073B1A"/>
    <w:rsid w:val="00073BD7"/>
    <w:rsid w:val="00074237"/>
    <w:rsid w:val="000743D6"/>
    <w:rsid w:val="00074B33"/>
    <w:rsid w:val="000762B0"/>
    <w:rsid w:val="000778C9"/>
    <w:rsid w:val="000802F7"/>
    <w:rsid w:val="000806CC"/>
    <w:rsid w:val="00080D36"/>
    <w:rsid w:val="00080EBD"/>
    <w:rsid w:val="00082667"/>
    <w:rsid w:val="000826D3"/>
    <w:rsid w:val="00082757"/>
    <w:rsid w:val="000829BF"/>
    <w:rsid w:val="00082AC0"/>
    <w:rsid w:val="0008392B"/>
    <w:rsid w:val="00083B68"/>
    <w:rsid w:val="00083ECF"/>
    <w:rsid w:val="0008402E"/>
    <w:rsid w:val="0008434A"/>
    <w:rsid w:val="000845C1"/>
    <w:rsid w:val="000847AD"/>
    <w:rsid w:val="00084AD7"/>
    <w:rsid w:val="00084FF1"/>
    <w:rsid w:val="000850E1"/>
    <w:rsid w:val="00085111"/>
    <w:rsid w:val="0008540D"/>
    <w:rsid w:val="00085B13"/>
    <w:rsid w:val="00085C21"/>
    <w:rsid w:val="00085D61"/>
    <w:rsid w:val="00085D89"/>
    <w:rsid w:val="00086675"/>
    <w:rsid w:val="000867D7"/>
    <w:rsid w:val="0008752B"/>
    <w:rsid w:val="00087EB9"/>
    <w:rsid w:val="00090132"/>
    <w:rsid w:val="000901D6"/>
    <w:rsid w:val="000903A7"/>
    <w:rsid w:val="00090C2F"/>
    <w:rsid w:val="0009131F"/>
    <w:rsid w:val="000915A3"/>
    <w:rsid w:val="00091A40"/>
    <w:rsid w:val="00091DB2"/>
    <w:rsid w:val="000923A7"/>
    <w:rsid w:val="00092636"/>
    <w:rsid w:val="00092E0A"/>
    <w:rsid w:val="00093ACB"/>
    <w:rsid w:val="00094739"/>
    <w:rsid w:val="000948DD"/>
    <w:rsid w:val="00095491"/>
    <w:rsid w:val="00096442"/>
    <w:rsid w:val="0009692C"/>
    <w:rsid w:val="00096A50"/>
    <w:rsid w:val="00096B4B"/>
    <w:rsid w:val="00096F71"/>
    <w:rsid w:val="00097249"/>
    <w:rsid w:val="000977DE"/>
    <w:rsid w:val="000977EB"/>
    <w:rsid w:val="000A01AC"/>
    <w:rsid w:val="000A0593"/>
    <w:rsid w:val="000A1594"/>
    <w:rsid w:val="000A18ED"/>
    <w:rsid w:val="000A1989"/>
    <w:rsid w:val="000A2C83"/>
    <w:rsid w:val="000A2E95"/>
    <w:rsid w:val="000A32F4"/>
    <w:rsid w:val="000A4757"/>
    <w:rsid w:val="000A49CD"/>
    <w:rsid w:val="000A49F7"/>
    <w:rsid w:val="000A4CDC"/>
    <w:rsid w:val="000A4ED6"/>
    <w:rsid w:val="000A4FD8"/>
    <w:rsid w:val="000A5A2E"/>
    <w:rsid w:val="000A66A9"/>
    <w:rsid w:val="000A6CA4"/>
    <w:rsid w:val="000A6EEB"/>
    <w:rsid w:val="000A7001"/>
    <w:rsid w:val="000A73A1"/>
    <w:rsid w:val="000A7A15"/>
    <w:rsid w:val="000A7D7D"/>
    <w:rsid w:val="000B050E"/>
    <w:rsid w:val="000B0DE4"/>
    <w:rsid w:val="000B10B1"/>
    <w:rsid w:val="000B1A1B"/>
    <w:rsid w:val="000B1F9C"/>
    <w:rsid w:val="000B2819"/>
    <w:rsid w:val="000B29F8"/>
    <w:rsid w:val="000B2A70"/>
    <w:rsid w:val="000B2C26"/>
    <w:rsid w:val="000B2DCB"/>
    <w:rsid w:val="000B3578"/>
    <w:rsid w:val="000B3A11"/>
    <w:rsid w:val="000B3D92"/>
    <w:rsid w:val="000B4405"/>
    <w:rsid w:val="000B4AA4"/>
    <w:rsid w:val="000B547A"/>
    <w:rsid w:val="000B56BA"/>
    <w:rsid w:val="000B5823"/>
    <w:rsid w:val="000B60CA"/>
    <w:rsid w:val="000B64CB"/>
    <w:rsid w:val="000B7132"/>
    <w:rsid w:val="000B7462"/>
    <w:rsid w:val="000C03F0"/>
    <w:rsid w:val="000C0565"/>
    <w:rsid w:val="000C0900"/>
    <w:rsid w:val="000C1754"/>
    <w:rsid w:val="000C1C56"/>
    <w:rsid w:val="000C2448"/>
    <w:rsid w:val="000C24C2"/>
    <w:rsid w:val="000C2AED"/>
    <w:rsid w:val="000C3180"/>
    <w:rsid w:val="000C32ED"/>
    <w:rsid w:val="000C3421"/>
    <w:rsid w:val="000C3A20"/>
    <w:rsid w:val="000C45DB"/>
    <w:rsid w:val="000C47B3"/>
    <w:rsid w:val="000C50F5"/>
    <w:rsid w:val="000C52CF"/>
    <w:rsid w:val="000C5A7A"/>
    <w:rsid w:val="000C5B96"/>
    <w:rsid w:val="000C60E1"/>
    <w:rsid w:val="000C6167"/>
    <w:rsid w:val="000C6C6A"/>
    <w:rsid w:val="000C71F1"/>
    <w:rsid w:val="000C7B90"/>
    <w:rsid w:val="000D03F2"/>
    <w:rsid w:val="000D0B6A"/>
    <w:rsid w:val="000D0EE0"/>
    <w:rsid w:val="000D1580"/>
    <w:rsid w:val="000D2287"/>
    <w:rsid w:val="000D289C"/>
    <w:rsid w:val="000D2EA7"/>
    <w:rsid w:val="000D3273"/>
    <w:rsid w:val="000D3CAE"/>
    <w:rsid w:val="000D3DAA"/>
    <w:rsid w:val="000D3ED8"/>
    <w:rsid w:val="000D3EDF"/>
    <w:rsid w:val="000D3F12"/>
    <w:rsid w:val="000D428C"/>
    <w:rsid w:val="000D4537"/>
    <w:rsid w:val="000D4C8D"/>
    <w:rsid w:val="000D4EB7"/>
    <w:rsid w:val="000D67EF"/>
    <w:rsid w:val="000D6C5B"/>
    <w:rsid w:val="000D6EC4"/>
    <w:rsid w:val="000D746C"/>
    <w:rsid w:val="000D79AE"/>
    <w:rsid w:val="000E04D6"/>
    <w:rsid w:val="000E0BA2"/>
    <w:rsid w:val="000E0C95"/>
    <w:rsid w:val="000E0EBC"/>
    <w:rsid w:val="000E1C83"/>
    <w:rsid w:val="000E1FC6"/>
    <w:rsid w:val="000E206D"/>
    <w:rsid w:val="000E23B5"/>
    <w:rsid w:val="000E2A52"/>
    <w:rsid w:val="000E30A8"/>
    <w:rsid w:val="000E33D0"/>
    <w:rsid w:val="000E3445"/>
    <w:rsid w:val="000E3ACC"/>
    <w:rsid w:val="000E4061"/>
    <w:rsid w:val="000E4594"/>
    <w:rsid w:val="000E4B9A"/>
    <w:rsid w:val="000E4EE2"/>
    <w:rsid w:val="000E56FA"/>
    <w:rsid w:val="000E5AAB"/>
    <w:rsid w:val="000E62E5"/>
    <w:rsid w:val="000E6823"/>
    <w:rsid w:val="000E6948"/>
    <w:rsid w:val="000E7350"/>
    <w:rsid w:val="000E7E94"/>
    <w:rsid w:val="000F007B"/>
    <w:rsid w:val="000F0525"/>
    <w:rsid w:val="000F0806"/>
    <w:rsid w:val="000F0D59"/>
    <w:rsid w:val="000F0FCB"/>
    <w:rsid w:val="000F1792"/>
    <w:rsid w:val="000F1C34"/>
    <w:rsid w:val="000F256B"/>
    <w:rsid w:val="000F2A59"/>
    <w:rsid w:val="000F2A8B"/>
    <w:rsid w:val="000F40CF"/>
    <w:rsid w:val="000F435D"/>
    <w:rsid w:val="000F48BC"/>
    <w:rsid w:val="000F4A1E"/>
    <w:rsid w:val="000F4C46"/>
    <w:rsid w:val="000F4E22"/>
    <w:rsid w:val="000F4F37"/>
    <w:rsid w:val="000F66B8"/>
    <w:rsid w:val="000F670E"/>
    <w:rsid w:val="000F7167"/>
    <w:rsid w:val="000F7196"/>
    <w:rsid w:val="000F7399"/>
    <w:rsid w:val="000F7515"/>
    <w:rsid w:val="000F76DD"/>
    <w:rsid w:val="000F7A89"/>
    <w:rsid w:val="000F7C7C"/>
    <w:rsid w:val="000F7CF3"/>
    <w:rsid w:val="0010110E"/>
    <w:rsid w:val="001011BB"/>
    <w:rsid w:val="0010168C"/>
    <w:rsid w:val="0010170F"/>
    <w:rsid w:val="00101CA5"/>
    <w:rsid w:val="0010203A"/>
    <w:rsid w:val="001022E6"/>
    <w:rsid w:val="00102505"/>
    <w:rsid w:val="00102C3C"/>
    <w:rsid w:val="00102DD7"/>
    <w:rsid w:val="00102F19"/>
    <w:rsid w:val="00102FA3"/>
    <w:rsid w:val="00104897"/>
    <w:rsid w:val="00104B17"/>
    <w:rsid w:val="0010510A"/>
    <w:rsid w:val="00105DC4"/>
    <w:rsid w:val="00105F98"/>
    <w:rsid w:val="001061C0"/>
    <w:rsid w:val="001065E4"/>
    <w:rsid w:val="00106D71"/>
    <w:rsid w:val="00107406"/>
    <w:rsid w:val="0010785B"/>
    <w:rsid w:val="00107F32"/>
    <w:rsid w:val="00107FAE"/>
    <w:rsid w:val="00110328"/>
    <w:rsid w:val="0011074D"/>
    <w:rsid w:val="00110BB6"/>
    <w:rsid w:val="001111BE"/>
    <w:rsid w:val="0011161A"/>
    <w:rsid w:val="00111C8D"/>
    <w:rsid w:val="0011241A"/>
    <w:rsid w:val="001126C3"/>
    <w:rsid w:val="00112F4D"/>
    <w:rsid w:val="0011350E"/>
    <w:rsid w:val="00113CE9"/>
    <w:rsid w:val="0011426F"/>
    <w:rsid w:val="001142DE"/>
    <w:rsid w:val="0011547F"/>
    <w:rsid w:val="001156D2"/>
    <w:rsid w:val="00115CDA"/>
    <w:rsid w:val="00116D0B"/>
    <w:rsid w:val="00116E25"/>
    <w:rsid w:val="00117490"/>
    <w:rsid w:val="00117588"/>
    <w:rsid w:val="00117696"/>
    <w:rsid w:val="00117952"/>
    <w:rsid w:val="001203FA"/>
    <w:rsid w:val="0012058D"/>
    <w:rsid w:val="00120808"/>
    <w:rsid w:val="00121709"/>
    <w:rsid w:val="00121968"/>
    <w:rsid w:val="00122103"/>
    <w:rsid w:val="0012230D"/>
    <w:rsid w:val="00122384"/>
    <w:rsid w:val="001225CB"/>
    <w:rsid w:val="00123D76"/>
    <w:rsid w:val="00123FF7"/>
    <w:rsid w:val="00124025"/>
    <w:rsid w:val="00124863"/>
    <w:rsid w:val="00124A5D"/>
    <w:rsid w:val="00124E6A"/>
    <w:rsid w:val="00124ED5"/>
    <w:rsid w:val="00126039"/>
    <w:rsid w:val="001266CE"/>
    <w:rsid w:val="001267A3"/>
    <w:rsid w:val="00126B45"/>
    <w:rsid w:val="00126ED9"/>
    <w:rsid w:val="00126FF9"/>
    <w:rsid w:val="00127006"/>
    <w:rsid w:val="00127037"/>
    <w:rsid w:val="00127074"/>
    <w:rsid w:val="001270B8"/>
    <w:rsid w:val="001273C6"/>
    <w:rsid w:val="00127B4A"/>
    <w:rsid w:val="00127FEE"/>
    <w:rsid w:val="00130AE9"/>
    <w:rsid w:val="00130B2B"/>
    <w:rsid w:val="001316B1"/>
    <w:rsid w:val="00131842"/>
    <w:rsid w:val="00131D38"/>
    <w:rsid w:val="00131F82"/>
    <w:rsid w:val="001323A5"/>
    <w:rsid w:val="00132EE9"/>
    <w:rsid w:val="001336AE"/>
    <w:rsid w:val="00133C73"/>
    <w:rsid w:val="0013422A"/>
    <w:rsid w:val="00134567"/>
    <w:rsid w:val="0013465F"/>
    <w:rsid w:val="0013495C"/>
    <w:rsid w:val="00134C80"/>
    <w:rsid w:val="00134F30"/>
    <w:rsid w:val="00135576"/>
    <w:rsid w:val="00135F0C"/>
    <w:rsid w:val="00136BE2"/>
    <w:rsid w:val="00136C54"/>
    <w:rsid w:val="001378D0"/>
    <w:rsid w:val="00137AD3"/>
    <w:rsid w:val="0014043C"/>
    <w:rsid w:val="00140972"/>
    <w:rsid w:val="00140A8A"/>
    <w:rsid w:val="00141A33"/>
    <w:rsid w:val="00141A57"/>
    <w:rsid w:val="00141E29"/>
    <w:rsid w:val="00142056"/>
    <w:rsid w:val="00142117"/>
    <w:rsid w:val="001428A0"/>
    <w:rsid w:val="001430AA"/>
    <w:rsid w:val="001436E0"/>
    <w:rsid w:val="0014399E"/>
    <w:rsid w:val="001445CE"/>
    <w:rsid w:val="00144795"/>
    <w:rsid w:val="00145049"/>
    <w:rsid w:val="001450D9"/>
    <w:rsid w:val="00145967"/>
    <w:rsid w:val="001465F2"/>
    <w:rsid w:val="001468ED"/>
    <w:rsid w:val="00146BB0"/>
    <w:rsid w:val="00146C28"/>
    <w:rsid w:val="00146FBA"/>
    <w:rsid w:val="001474EC"/>
    <w:rsid w:val="0014778D"/>
    <w:rsid w:val="00150A68"/>
    <w:rsid w:val="00150B3B"/>
    <w:rsid w:val="001510FD"/>
    <w:rsid w:val="00151F97"/>
    <w:rsid w:val="00152396"/>
    <w:rsid w:val="0015313D"/>
    <w:rsid w:val="00153F2D"/>
    <w:rsid w:val="001542AE"/>
    <w:rsid w:val="00154448"/>
    <w:rsid w:val="0015622A"/>
    <w:rsid w:val="00156264"/>
    <w:rsid w:val="00156865"/>
    <w:rsid w:val="0015691B"/>
    <w:rsid w:val="00156C67"/>
    <w:rsid w:val="00156F30"/>
    <w:rsid w:val="00156FDD"/>
    <w:rsid w:val="0015743E"/>
    <w:rsid w:val="00160362"/>
    <w:rsid w:val="001603DE"/>
    <w:rsid w:val="001604F3"/>
    <w:rsid w:val="00160856"/>
    <w:rsid w:val="00160D96"/>
    <w:rsid w:val="001612CB"/>
    <w:rsid w:val="0016173C"/>
    <w:rsid w:val="00161D1D"/>
    <w:rsid w:val="001628C0"/>
    <w:rsid w:val="00162F4A"/>
    <w:rsid w:val="001633A0"/>
    <w:rsid w:val="0016350F"/>
    <w:rsid w:val="001638EB"/>
    <w:rsid w:val="00163AF4"/>
    <w:rsid w:val="00163BEE"/>
    <w:rsid w:val="00163D63"/>
    <w:rsid w:val="00163FA7"/>
    <w:rsid w:val="001647C7"/>
    <w:rsid w:val="00164AAD"/>
    <w:rsid w:val="00164B78"/>
    <w:rsid w:val="00164E7F"/>
    <w:rsid w:val="00165225"/>
    <w:rsid w:val="0016528C"/>
    <w:rsid w:val="00165467"/>
    <w:rsid w:val="00165B2C"/>
    <w:rsid w:val="00166D00"/>
    <w:rsid w:val="0016730D"/>
    <w:rsid w:val="00167423"/>
    <w:rsid w:val="00167BF7"/>
    <w:rsid w:val="00170A9A"/>
    <w:rsid w:val="00170F50"/>
    <w:rsid w:val="001711DC"/>
    <w:rsid w:val="00172058"/>
    <w:rsid w:val="001720C2"/>
    <w:rsid w:val="00172C41"/>
    <w:rsid w:val="00172F58"/>
    <w:rsid w:val="00173186"/>
    <w:rsid w:val="0017335B"/>
    <w:rsid w:val="001739F9"/>
    <w:rsid w:val="00173DFE"/>
    <w:rsid w:val="001744F9"/>
    <w:rsid w:val="00174662"/>
    <w:rsid w:val="00174B9B"/>
    <w:rsid w:val="00174D28"/>
    <w:rsid w:val="001750A0"/>
    <w:rsid w:val="00175656"/>
    <w:rsid w:val="001756FB"/>
    <w:rsid w:val="00175845"/>
    <w:rsid w:val="00175D9B"/>
    <w:rsid w:val="00176082"/>
    <w:rsid w:val="00176779"/>
    <w:rsid w:val="001773E7"/>
    <w:rsid w:val="00177BC6"/>
    <w:rsid w:val="00177E7A"/>
    <w:rsid w:val="00177EC7"/>
    <w:rsid w:val="001806EA"/>
    <w:rsid w:val="00180942"/>
    <w:rsid w:val="00181070"/>
    <w:rsid w:val="00182806"/>
    <w:rsid w:val="001829C9"/>
    <w:rsid w:val="00182B26"/>
    <w:rsid w:val="001831D2"/>
    <w:rsid w:val="001835EE"/>
    <w:rsid w:val="00183E9B"/>
    <w:rsid w:val="001843C6"/>
    <w:rsid w:val="00184911"/>
    <w:rsid w:val="00184A72"/>
    <w:rsid w:val="001853BF"/>
    <w:rsid w:val="00185BA9"/>
    <w:rsid w:val="00186309"/>
    <w:rsid w:val="0018657A"/>
    <w:rsid w:val="00186964"/>
    <w:rsid w:val="001871DC"/>
    <w:rsid w:val="001875AF"/>
    <w:rsid w:val="00190104"/>
    <w:rsid w:val="00191350"/>
    <w:rsid w:val="0019260C"/>
    <w:rsid w:val="00192875"/>
    <w:rsid w:val="00192E2B"/>
    <w:rsid w:val="00193321"/>
    <w:rsid w:val="00193AD1"/>
    <w:rsid w:val="001943DB"/>
    <w:rsid w:val="001949FE"/>
    <w:rsid w:val="00194AD8"/>
    <w:rsid w:val="001955AC"/>
    <w:rsid w:val="001965F5"/>
    <w:rsid w:val="0019671E"/>
    <w:rsid w:val="00196B54"/>
    <w:rsid w:val="00196BEB"/>
    <w:rsid w:val="00196BF6"/>
    <w:rsid w:val="00196CE6"/>
    <w:rsid w:val="00196F4B"/>
    <w:rsid w:val="001A0637"/>
    <w:rsid w:val="001A0C28"/>
    <w:rsid w:val="001A189D"/>
    <w:rsid w:val="001A1911"/>
    <w:rsid w:val="001A1ABA"/>
    <w:rsid w:val="001A262A"/>
    <w:rsid w:val="001A2657"/>
    <w:rsid w:val="001A28DC"/>
    <w:rsid w:val="001A2D6A"/>
    <w:rsid w:val="001A31FD"/>
    <w:rsid w:val="001A342F"/>
    <w:rsid w:val="001A3539"/>
    <w:rsid w:val="001A3BEB"/>
    <w:rsid w:val="001A4886"/>
    <w:rsid w:val="001A582D"/>
    <w:rsid w:val="001A5EEE"/>
    <w:rsid w:val="001A60EE"/>
    <w:rsid w:val="001A6B81"/>
    <w:rsid w:val="001A6E55"/>
    <w:rsid w:val="001B07D3"/>
    <w:rsid w:val="001B12D3"/>
    <w:rsid w:val="001B1437"/>
    <w:rsid w:val="001B16F4"/>
    <w:rsid w:val="001B1B03"/>
    <w:rsid w:val="001B1B38"/>
    <w:rsid w:val="001B1E5C"/>
    <w:rsid w:val="001B2F50"/>
    <w:rsid w:val="001B2FFF"/>
    <w:rsid w:val="001B30DB"/>
    <w:rsid w:val="001B35F8"/>
    <w:rsid w:val="001B3D85"/>
    <w:rsid w:val="001B43E4"/>
    <w:rsid w:val="001B45DD"/>
    <w:rsid w:val="001B4AF7"/>
    <w:rsid w:val="001B5174"/>
    <w:rsid w:val="001B5210"/>
    <w:rsid w:val="001B560A"/>
    <w:rsid w:val="001B5817"/>
    <w:rsid w:val="001B5AFB"/>
    <w:rsid w:val="001B5CAF"/>
    <w:rsid w:val="001B7525"/>
    <w:rsid w:val="001B75FD"/>
    <w:rsid w:val="001B7C2C"/>
    <w:rsid w:val="001B7E95"/>
    <w:rsid w:val="001C00E2"/>
    <w:rsid w:val="001C05DB"/>
    <w:rsid w:val="001C0D43"/>
    <w:rsid w:val="001C23B6"/>
    <w:rsid w:val="001C2B29"/>
    <w:rsid w:val="001C2BF0"/>
    <w:rsid w:val="001C2E4E"/>
    <w:rsid w:val="001C2EC2"/>
    <w:rsid w:val="001C2FC6"/>
    <w:rsid w:val="001C3129"/>
    <w:rsid w:val="001C34E6"/>
    <w:rsid w:val="001C443D"/>
    <w:rsid w:val="001C46DC"/>
    <w:rsid w:val="001C4828"/>
    <w:rsid w:val="001C4BFE"/>
    <w:rsid w:val="001C6C30"/>
    <w:rsid w:val="001C79FF"/>
    <w:rsid w:val="001C7E55"/>
    <w:rsid w:val="001D000B"/>
    <w:rsid w:val="001D009F"/>
    <w:rsid w:val="001D0860"/>
    <w:rsid w:val="001D16F7"/>
    <w:rsid w:val="001D17B3"/>
    <w:rsid w:val="001D1A20"/>
    <w:rsid w:val="001D1B71"/>
    <w:rsid w:val="001D21D9"/>
    <w:rsid w:val="001D2CCC"/>
    <w:rsid w:val="001D2E9B"/>
    <w:rsid w:val="001D3C35"/>
    <w:rsid w:val="001D3D0A"/>
    <w:rsid w:val="001D496D"/>
    <w:rsid w:val="001D508C"/>
    <w:rsid w:val="001D508D"/>
    <w:rsid w:val="001D51D9"/>
    <w:rsid w:val="001D55EC"/>
    <w:rsid w:val="001D5841"/>
    <w:rsid w:val="001D5BAF"/>
    <w:rsid w:val="001D5F4A"/>
    <w:rsid w:val="001D677D"/>
    <w:rsid w:val="001D6982"/>
    <w:rsid w:val="001D6A0A"/>
    <w:rsid w:val="001D6B3B"/>
    <w:rsid w:val="001D6BA5"/>
    <w:rsid w:val="001D6C92"/>
    <w:rsid w:val="001D7011"/>
    <w:rsid w:val="001D71B6"/>
    <w:rsid w:val="001E0824"/>
    <w:rsid w:val="001E083F"/>
    <w:rsid w:val="001E141D"/>
    <w:rsid w:val="001E1828"/>
    <w:rsid w:val="001E1D92"/>
    <w:rsid w:val="001E2193"/>
    <w:rsid w:val="001E2418"/>
    <w:rsid w:val="001E2749"/>
    <w:rsid w:val="001E2AFB"/>
    <w:rsid w:val="001E2E5A"/>
    <w:rsid w:val="001E2F3E"/>
    <w:rsid w:val="001E430B"/>
    <w:rsid w:val="001E4624"/>
    <w:rsid w:val="001E49B3"/>
    <w:rsid w:val="001E5B13"/>
    <w:rsid w:val="001E5CEA"/>
    <w:rsid w:val="001E6A41"/>
    <w:rsid w:val="001E6FDD"/>
    <w:rsid w:val="001E724E"/>
    <w:rsid w:val="001E733F"/>
    <w:rsid w:val="001E7916"/>
    <w:rsid w:val="001E7CA0"/>
    <w:rsid w:val="001F04A3"/>
    <w:rsid w:val="001F07A9"/>
    <w:rsid w:val="001F0BFD"/>
    <w:rsid w:val="001F1168"/>
    <w:rsid w:val="001F1275"/>
    <w:rsid w:val="001F165D"/>
    <w:rsid w:val="001F1F11"/>
    <w:rsid w:val="001F2462"/>
    <w:rsid w:val="001F2531"/>
    <w:rsid w:val="001F2870"/>
    <w:rsid w:val="001F2C34"/>
    <w:rsid w:val="001F2DC7"/>
    <w:rsid w:val="001F32F8"/>
    <w:rsid w:val="001F361D"/>
    <w:rsid w:val="001F3A65"/>
    <w:rsid w:val="001F3A6C"/>
    <w:rsid w:val="001F448F"/>
    <w:rsid w:val="001F4991"/>
    <w:rsid w:val="001F4C9D"/>
    <w:rsid w:val="001F5453"/>
    <w:rsid w:val="001F57DF"/>
    <w:rsid w:val="001F6166"/>
    <w:rsid w:val="001F64DB"/>
    <w:rsid w:val="001F6583"/>
    <w:rsid w:val="001F692C"/>
    <w:rsid w:val="001F6A28"/>
    <w:rsid w:val="001F6BAA"/>
    <w:rsid w:val="001F7049"/>
    <w:rsid w:val="001F7C95"/>
    <w:rsid w:val="002002C8"/>
    <w:rsid w:val="00200745"/>
    <w:rsid w:val="00200DF4"/>
    <w:rsid w:val="00201088"/>
    <w:rsid w:val="0020141B"/>
    <w:rsid w:val="00201889"/>
    <w:rsid w:val="002019C9"/>
    <w:rsid w:val="00201B4B"/>
    <w:rsid w:val="00202A6D"/>
    <w:rsid w:val="002043C7"/>
    <w:rsid w:val="0020456D"/>
    <w:rsid w:val="002049CF"/>
    <w:rsid w:val="00204FB9"/>
    <w:rsid w:val="00205239"/>
    <w:rsid w:val="0020552B"/>
    <w:rsid w:val="00205E6B"/>
    <w:rsid w:val="00206890"/>
    <w:rsid w:val="00206A65"/>
    <w:rsid w:val="00207D31"/>
    <w:rsid w:val="00210AC6"/>
    <w:rsid w:val="00210D18"/>
    <w:rsid w:val="00210F75"/>
    <w:rsid w:val="0021110D"/>
    <w:rsid w:val="00211617"/>
    <w:rsid w:val="00211C03"/>
    <w:rsid w:val="00211DCE"/>
    <w:rsid w:val="00212954"/>
    <w:rsid w:val="00212E92"/>
    <w:rsid w:val="00214263"/>
    <w:rsid w:val="00214749"/>
    <w:rsid w:val="0021481D"/>
    <w:rsid w:val="00214BDE"/>
    <w:rsid w:val="00214BEB"/>
    <w:rsid w:val="0021530B"/>
    <w:rsid w:val="00215E33"/>
    <w:rsid w:val="00216A75"/>
    <w:rsid w:val="00216B52"/>
    <w:rsid w:val="00217F33"/>
    <w:rsid w:val="00220311"/>
    <w:rsid w:val="002203FA"/>
    <w:rsid w:val="0022093F"/>
    <w:rsid w:val="002210FB"/>
    <w:rsid w:val="00221206"/>
    <w:rsid w:val="00221EC9"/>
    <w:rsid w:val="002223BB"/>
    <w:rsid w:val="00222B7B"/>
    <w:rsid w:val="0022313A"/>
    <w:rsid w:val="00224107"/>
    <w:rsid w:val="00225126"/>
    <w:rsid w:val="0022535C"/>
    <w:rsid w:val="00225CD5"/>
    <w:rsid w:val="00227DE4"/>
    <w:rsid w:val="00227E23"/>
    <w:rsid w:val="00230E4A"/>
    <w:rsid w:val="00230EE6"/>
    <w:rsid w:val="002318F8"/>
    <w:rsid w:val="002330FF"/>
    <w:rsid w:val="00233191"/>
    <w:rsid w:val="00233230"/>
    <w:rsid w:val="00233913"/>
    <w:rsid w:val="00233EFB"/>
    <w:rsid w:val="002342E5"/>
    <w:rsid w:val="002349E3"/>
    <w:rsid w:val="002349E5"/>
    <w:rsid w:val="0023537B"/>
    <w:rsid w:val="0023569F"/>
    <w:rsid w:val="00237355"/>
    <w:rsid w:val="002374DE"/>
    <w:rsid w:val="0024014D"/>
    <w:rsid w:val="00240447"/>
    <w:rsid w:val="00240638"/>
    <w:rsid w:val="00241102"/>
    <w:rsid w:val="00241BD0"/>
    <w:rsid w:val="00241E12"/>
    <w:rsid w:val="002423F2"/>
    <w:rsid w:val="00242B5A"/>
    <w:rsid w:val="00242D8A"/>
    <w:rsid w:val="00242F63"/>
    <w:rsid w:val="0024349D"/>
    <w:rsid w:val="0024349E"/>
    <w:rsid w:val="0024351A"/>
    <w:rsid w:val="00243C7D"/>
    <w:rsid w:val="00243CBF"/>
    <w:rsid w:val="002441FF"/>
    <w:rsid w:val="00244E23"/>
    <w:rsid w:val="002451DC"/>
    <w:rsid w:val="00245261"/>
    <w:rsid w:val="00245835"/>
    <w:rsid w:val="002458C0"/>
    <w:rsid w:val="00245D5D"/>
    <w:rsid w:val="0024644C"/>
    <w:rsid w:val="00246915"/>
    <w:rsid w:val="002477AC"/>
    <w:rsid w:val="00247959"/>
    <w:rsid w:val="00250278"/>
    <w:rsid w:val="002507BC"/>
    <w:rsid w:val="00250A97"/>
    <w:rsid w:val="00250BEA"/>
    <w:rsid w:val="00250E0A"/>
    <w:rsid w:val="00251098"/>
    <w:rsid w:val="00251242"/>
    <w:rsid w:val="002518F2"/>
    <w:rsid w:val="002519BD"/>
    <w:rsid w:val="00251CC0"/>
    <w:rsid w:val="002522EB"/>
    <w:rsid w:val="002523BB"/>
    <w:rsid w:val="002529C8"/>
    <w:rsid w:val="00253252"/>
    <w:rsid w:val="0025343C"/>
    <w:rsid w:val="002536C1"/>
    <w:rsid w:val="00253975"/>
    <w:rsid w:val="00254AF3"/>
    <w:rsid w:val="00255083"/>
    <w:rsid w:val="00255E0E"/>
    <w:rsid w:val="00256572"/>
    <w:rsid w:val="0025687D"/>
    <w:rsid w:val="00256998"/>
    <w:rsid w:val="00256F35"/>
    <w:rsid w:val="00256FF8"/>
    <w:rsid w:val="002602A9"/>
    <w:rsid w:val="00260D94"/>
    <w:rsid w:val="00260DBA"/>
    <w:rsid w:val="002610A7"/>
    <w:rsid w:val="00261CCA"/>
    <w:rsid w:val="0026218F"/>
    <w:rsid w:val="002621F6"/>
    <w:rsid w:val="002623CD"/>
    <w:rsid w:val="00262BC0"/>
    <w:rsid w:val="002639F2"/>
    <w:rsid w:val="00264AC4"/>
    <w:rsid w:val="00264D70"/>
    <w:rsid w:val="002651D2"/>
    <w:rsid w:val="00265DF6"/>
    <w:rsid w:val="00266107"/>
    <w:rsid w:val="002666D1"/>
    <w:rsid w:val="002667EA"/>
    <w:rsid w:val="002668EF"/>
    <w:rsid w:val="00267199"/>
    <w:rsid w:val="0026766C"/>
    <w:rsid w:val="002676A2"/>
    <w:rsid w:val="00270239"/>
    <w:rsid w:val="00271656"/>
    <w:rsid w:val="002717E6"/>
    <w:rsid w:val="00271D26"/>
    <w:rsid w:val="00271E37"/>
    <w:rsid w:val="00273A95"/>
    <w:rsid w:val="002742D7"/>
    <w:rsid w:val="0027466E"/>
    <w:rsid w:val="00274A01"/>
    <w:rsid w:val="002764FB"/>
    <w:rsid w:val="002768DB"/>
    <w:rsid w:val="002772F4"/>
    <w:rsid w:val="00277C0C"/>
    <w:rsid w:val="00277CE4"/>
    <w:rsid w:val="00277FC9"/>
    <w:rsid w:val="002801CB"/>
    <w:rsid w:val="0028078A"/>
    <w:rsid w:val="00280C06"/>
    <w:rsid w:val="00280FC8"/>
    <w:rsid w:val="0028126A"/>
    <w:rsid w:val="002813C2"/>
    <w:rsid w:val="002816F8"/>
    <w:rsid w:val="00281D27"/>
    <w:rsid w:val="00282148"/>
    <w:rsid w:val="0028232F"/>
    <w:rsid w:val="002824BD"/>
    <w:rsid w:val="00283714"/>
    <w:rsid w:val="002839AD"/>
    <w:rsid w:val="00283A6E"/>
    <w:rsid w:val="00283B9B"/>
    <w:rsid w:val="00283E11"/>
    <w:rsid w:val="002842DB"/>
    <w:rsid w:val="0028448A"/>
    <w:rsid w:val="00284EF7"/>
    <w:rsid w:val="00284FB1"/>
    <w:rsid w:val="0028570E"/>
    <w:rsid w:val="00285DE9"/>
    <w:rsid w:val="00285DF4"/>
    <w:rsid w:val="00285F70"/>
    <w:rsid w:val="002860EA"/>
    <w:rsid w:val="0028638B"/>
    <w:rsid w:val="00286999"/>
    <w:rsid w:val="00286AE2"/>
    <w:rsid w:val="00286BDF"/>
    <w:rsid w:val="00287DAC"/>
    <w:rsid w:val="00287E73"/>
    <w:rsid w:val="002908CD"/>
    <w:rsid w:val="00290CC3"/>
    <w:rsid w:val="0029150F"/>
    <w:rsid w:val="002916E6"/>
    <w:rsid w:val="00291712"/>
    <w:rsid w:val="00291D97"/>
    <w:rsid w:val="00292349"/>
    <w:rsid w:val="0029351F"/>
    <w:rsid w:val="00293C7E"/>
    <w:rsid w:val="002945EF"/>
    <w:rsid w:val="00294DF7"/>
    <w:rsid w:val="00295C99"/>
    <w:rsid w:val="00296637"/>
    <w:rsid w:val="00296D74"/>
    <w:rsid w:val="00296EF8"/>
    <w:rsid w:val="0029729C"/>
    <w:rsid w:val="002974C4"/>
    <w:rsid w:val="00297652"/>
    <w:rsid w:val="00297710"/>
    <w:rsid w:val="002A09E1"/>
    <w:rsid w:val="002A0FDD"/>
    <w:rsid w:val="002A1542"/>
    <w:rsid w:val="002A1581"/>
    <w:rsid w:val="002A1641"/>
    <w:rsid w:val="002A18EC"/>
    <w:rsid w:val="002A19C8"/>
    <w:rsid w:val="002A1EAC"/>
    <w:rsid w:val="002A2503"/>
    <w:rsid w:val="002A2781"/>
    <w:rsid w:val="002A2A1B"/>
    <w:rsid w:val="002A3A93"/>
    <w:rsid w:val="002A4591"/>
    <w:rsid w:val="002A4DA7"/>
    <w:rsid w:val="002A4FB3"/>
    <w:rsid w:val="002A568B"/>
    <w:rsid w:val="002A5ACF"/>
    <w:rsid w:val="002A5C3B"/>
    <w:rsid w:val="002A5E4E"/>
    <w:rsid w:val="002A6E26"/>
    <w:rsid w:val="002A70AC"/>
    <w:rsid w:val="002B0988"/>
    <w:rsid w:val="002B10E9"/>
    <w:rsid w:val="002B14DF"/>
    <w:rsid w:val="002B15AD"/>
    <w:rsid w:val="002B3B1A"/>
    <w:rsid w:val="002B4010"/>
    <w:rsid w:val="002B481B"/>
    <w:rsid w:val="002B4BE3"/>
    <w:rsid w:val="002B4D97"/>
    <w:rsid w:val="002B5631"/>
    <w:rsid w:val="002B646E"/>
    <w:rsid w:val="002B6555"/>
    <w:rsid w:val="002B68F9"/>
    <w:rsid w:val="002B6949"/>
    <w:rsid w:val="002B6965"/>
    <w:rsid w:val="002B7490"/>
    <w:rsid w:val="002B7BF0"/>
    <w:rsid w:val="002B7F41"/>
    <w:rsid w:val="002C02F9"/>
    <w:rsid w:val="002C11D6"/>
    <w:rsid w:val="002C207A"/>
    <w:rsid w:val="002C20E0"/>
    <w:rsid w:val="002C274F"/>
    <w:rsid w:val="002C32D7"/>
    <w:rsid w:val="002C3413"/>
    <w:rsid w:val="002C3D51"/>
    <w:rsid w:val="002C43CF"/>
    <w:rsid w:val="002C5259"/>
    <w:rsid w:val="002C5A1B"/>
    <w:rsid w:val="002C60D5"/>
    <w:rsid w:val="002C68A2"/>
    <w:rsid w:val="002C6B70"/>
    <w:rsid w:val="002C705B"/>
    <w:rsid w:val="002C72EA"/>
    <w:rsid w:val="002C7DA3"/>
    <w:rsid w:val="002C7FB6"/>
    <w:rsid w:val="002D0871"/>
    <w:rsid w:val="002D0922"/>
    <w:rsid w:val="002D0CFA"/>
    <w:rsid w:val="002D145D"/>
    <w:rsid w:val="002D15D3"/>
    <w:rsid w:val="002D1C51"/>
    <w:rsid w:val="002D2499"/>
    <w:rsid w:val="002D30ED"/>
    <w:rsid w:val="002D3265"/>
    <w:rsid w:val="002D3270"/>
    <w:rsid w:val="002D35C2"/>
    <w:rsid w:val="002D3EE6"/>
    <w:rsid w:val="002D41F0"/>
    <w:rsid w:val="002D492B"/>
    <w:rsid w:val="002D4D55"/>
    <w:rsid w:val="002D57DA"/>
    <w:rsid w:val="002D597B"/>
    <w:rsid w:val="002D5ED8"/>
    <w:rsid w:val="002D6889"/>
    <w:rsid w:val="002D6F4D"/>
    <w:rsid w:val="002D71EA"/>
    <w:rsid w:val="002D75C7"/>
    <w:rsid w:val="002D7A24"/>
    <w:rsid w:val="002D7AD6"/>
    <w:rsid w:val="002D7B2A"/>
    <w:rsid w:val="002E00D1"/>
    <w:rsid w:val="002E02A9"/>
    <w:rsid w:val="002E0BFD"/>
    <w:rsid w:val="002E0D74"/>
    <w:rsid w:val="002E111A"/>
    <w:rsid w:val="002E1710"/>
    <w:rsid w:val="002E1751"/>
    <w:rsid w:val="002E1E70"/>
    <w:rsid w:val="002E2229"/>
    <w:rsid w:val="002E346C"/>
    <w:rsid w:val="002E4104"/>
    <w:rsid w:val="002E456C"/>
    <w:rsid w:val="002E49AA"/>
    <w:rsid w:val="002E4D4F"/>
    <w:rsid w:val="002E5136"/>
    <w:rsid w:val="002E52B9"/>
    <w:rsid w:val="002E603F"/>
    <w:rsid w:val="002E66C4"/>
    <w:rsid w:val="002E69D1"/>
    <w:rsid w:val="002E763A"/>
    <w:rsid w:val="002E7868"/>
    <w:rsid w:val="002F0129"/>
    <w:rsid w:val="002F088C"/>
    <w:rsid w:val="002F09C5"/>
    <w:rsid w:val="002F0F0A"/>
    <w:rsid w:val="002F0F0E"/>
    <w:rsid w:val="002F1CFB"/>
    <w:rsid w:val="002F1D27"/>
    <w:rsid w:val="002F1F86"/>
    <w:rsid w:val="002F2379"/>
    <w:rsid w:val="002F3163"/>
    <w:rsid w:val="002F364A"/>
    <w:rsid w:val="002F3F83"/>
    <w:rsid w:val="002F44F9"/>
    <w:rsid w:val="002F503C"/>
    <w:rsid w:val="002F5568"/>
    <w:rsid w:val="002F5F54"/>
    <w:rsid w:val="002F6CA7"/>
    <w:rsid w:val="002F6CB6"/>
    <w:rsid w:val="002F7D07"/>
    <w:rsid w:val="00300258"/>
    <w:rsid w:val="003008E2"/>
    <w:rsid w:val="00300CF4"/>
    <w:rsid w:val="00301FD0"/>
    <w:rsid w:val="00302CA6"/>
    <w:rsid w:val="00302CD0"/>
    <w:rsid w:val="0030318F"/>
    <w:rsid w:val="003031B5"/>
    <w:rsid w:val="0030359D"/>
    <w:rsid w:val="003038B6"/>
    <w:rsid w:val="0030500A"/>
    <w:rsid w:val="00305357"/>
    <w:rsid w:val="003053C8"/>
    <w:rsid w:val="00305458"/>
    <w:rsid w:val="00306032"/>
    <w:rsid w:val="0030619F"/>
    <w:rsid w:val="0030668A"/>
    <w:rsid w:val="003066D7"/>
    <w:rsid w:val="003068D4"/>
    <w:rsid w:val="003069AE"/>
    <w:rsid w:val="00306A86"/>
    <w:rsid w:val="00306CEA"/>
    <w:rsid w:val="00306E3B"/>
    <w:rsid w:val="00306EB6"/>
    <w:rsid w:val="0030752F"/>
    <w:rsid w:val="0030766A"/>
    <w:rsid w:val="003077CF"/>
    <w:rsid w:val="00307895"/>
    <w:rsid w:val="00310357"/>
    <w:rsid w:val="00310483"/>
    <w:rsid w:val="00310D4A"/>
    <w:rsid w:val="003111B9"/>
    <w:rsid w:val="003112BE"/>
    <w:rsid w:val="003112D5"/>
    <w:rsid w:val="00311355"/>
    <w:rsid w:val="00312480"/>
    <w:rsid w:val="00312732"/>
    <w:rsid w:val="00312C1A"/>
    <w:rsid w:val="00312E43"/>
    <w:rsid w:val="0031316A"/>
    <w:rsid w:val="0031327B"/>
    <w:rsid w:val="003132AE"/>
    <w:rsid w:val="003133B4"/>
    <w:rsid w:val="003136FD"/>
    <w:rsid w:val="00313823"/>
    <w:rsid w:val="003138F9"/>
    <w:rsid w:val="0031445F"/>
    <w:rsid w:val="00314A86"/>
    <w:rsid w:val="00314D46"/>
    <w:rsid w:val="00315173"/>
    <w:rsid w:val="00315747"/>
    <w:rsid w:val="00315E88"/>
    <w:rsid w:val="003160FB"/>
    <w:rsid w:val="00316138"/>
    <w:rsid w:val="0031684C"/>
    <w:rsid w:val="003169E9"/>
    <w:rsid w:val="0031763A"/>
    <w:rsid w:val="00317888"/>
    <w:rsid w:val="00317C9F"/>
    <w:rsid w:val="00317D36"/>
    <w:rsid w:val="003205A2"/>
    <w:rsid w:val="00320A06"/>
    <w:rsid w:val="00320AC3"/>
    <w:rsid w:val="00320F23"/>
    <w:rsid w:val="00321497"/>
    <w:rsid w:val="003217D2"/>
    <w:rsid w:val="00321869"/>
    <w:rsid w:val="00321982"/>
    <w:rsid w:val="00321ED3"/>
    <w:rsid w:val="003229FA"/>
    <w:rsid w:val="00322EB5"/>
    <w:rsid w:val="003234C9"/>
    <w:rsid w:val="003237A7"/>
    <w:rsid w:val="00323BDD"/>
    <w:rsid w:val="00324430"/>
    <w:rsid w:val="00324615"/>
    <w:rsid w:val="00325944"/>
    <w:rsid w:val="003261F6"/>
    <w:rsid w:val="003263F1"/>
    <w:rsid w:val="00326814"/>
    <w:rsid w:val="00326B5B"/>
    <w:rsid w:val="00326C0B"/>
    <w:rsid w:val="0032759D"/>
    <w:rsid w:val="00330231"/>
    <w:rsid w:val="00330836"/>
    <w:rsid w:val="003308B8"/>
    <w:rsid w:val="00331137"/>
    <w:rsid w:val="00331CBC"/>
    <w:rsid w:val="00332054"/>
    <w:rsid w:val="003321D1"/>
    <w:rsid w:val="00332397"/>
    <w:rsid w:val="0033239B"/>
    <w:rsid w:val="00332E23"/>
    <w:rsid w:val="00332E76"/>
    <w:rsid w:val="003330FA"/>
    <w:rsid w:val="00333FD4"/>
    <w:rsid w:val="00334194"/>
    <w:rsid w:val="0033429D"/>
    <w:rsid w:val="00334953"/>
    <w:rsid w:val="00334EAB"/>
    <w:rsid w:val="00334EF8"/>
    <w:rsid w:val="00335139"/>
    <w:rsid w:val="003352F7"/>
    <w:rsid w:val="003356F1"/>
    <w:rsid w:val="00335D2A"/>
    <w:rsid w:val="00340115"/>
    <w:rsid w:val="003403B4"/>
    <w:rsid w:val="0034074E"/>
    <w:rsid w:val="0034094E"/>
    <w:rsid w:val="00341650"/>
    <w:rsid w:val="00341F18"/>
    <w:rsid w:val="00342627"/>
    <w:rsid w:val="0034266C"/>
    <w:rsid w:val="00343E21"/>
    <w:rsid w:val="00344A5B"/>
    <w:rsid w:val="00344AE0"/>
    <w:rsid w:val="00344B76"/>
    <w:rsid w:val="00344F68"/>
    <w:rsid w:val="00344FB9"/>
    <w:rsid w:val="003452DA"/>
    <w:rsid w:val="0034558C"/>
    <w:rsid w:val="00345912"/>
    <w:rsid w:val="00345B60"/>
    <w:rsid w:val="00345EDF"/>
    <w:rsid w:val="003464CD"/>
    <w:rsid w:val="00346510"/>
    <w:rsid w:val="00346807"/>
    <w:rsid w:val="00346D66"/>
    <w:rsid w:val="00346E9D"/>
    <w:rsid w:val="00347516"/>
    <w:rsid w:val="00347B21"/>
    <w:rsid w:val="00347F04"/>
    <w:rsid w:val="003501E6"/>
    <w:rsid w:val="00350DA6"/>
    <w:rsid w:val="00350F73"/>
    <w:rsid w:val="0035126E"/>
    <w:rsid w:val="00351CE7"/>
    <w:rsid w:val="00351F26"/>
    <w:rsid w:val="00351FA8"/>
    <w:rsid w:val="003521AD"/>
    <w:rsid w:val="003522C0"/>
    <w:rsid w:val="00352769"/>
    <w:rsid w:val="00352E68"/>
    <w:rsid w:val="003532E2"/>
    <w:rsid w:val="00353B3F"/>
    <w:rsid w:val="00353EB1"/>
    <w:rsid w:val="00353FEA"/>
    <w:rsid w:val="003542D6"/>
    <w:rsid w:val="0035454C"/>
    <w:rsid w:val="00354CA9"/>
    <w:rsid w:val="0035552F"/>
    <w:rsid w:val="00356224"/>
    <w:rsid w:val="003569A0"/>
    <w:rsid w:val="003601CD"/>
    <w:rsid w:val="00360734"/>
    <w:rsid w:val="003608F9"/>
    <w:rsid w:val="00360CD9"/>
    <w:rsid w:val="00360DD6"/>
    <w:rsid w:val="00361018"/>
    <w:rsid w:val="0036124B"/>
    <w:rsid w:val="00361CFA"/>
    <w:rsid w:val="003622F1"/>
    <w:rsid w:val="00362834"/>
    <w:rsid w:val="003628FE"/>
    <w:rsid w:val="00363327"/>
    <w:rsid w:val="00363FF5"/>
    <w:rsid w:val="00364826"/>
    <w:rsid w:val="0036658D"/>
    <w:rsid w:val="00366764"/>
    <w:rsid w:val="003704E3"/>
    <w:rsid w:val="00370A28"/>
    <w:rsid w:val="00370FBD"/>
    <w:rsid w:val="0037168C"/>
    <w:rsid w:val="00371D57"/>
    <w:rsid w:val="00371DE4"/>
    <w:rsid w:val="00371FA3"/>
    <w:rsid w:val="00371FAA"/>
    <w:rsid w:val="0037212A"/>
    <w:rsid w:val="003721DA"/>
    <w:rsid w:val="00372273"/>
    <w:rsid w:val="00372D83"/>
    <w:rsid w:val="00372DF8"/>
    <w:rsid w:val="0037347F"/>
    <w:rsid w:val="00373699"/>
    <w:rsid w:val="00373CF8"/>
    <w:rsid w:val="00373F78"/>
    <w:rsid w:val="0037431B"/>
    <w:rsid w:val="00374399"/>
    <w:rsid w:val="003746CE"/>
    <w:rsid w:val="0037493F"/>
    <w:rsid w:val="003749F7"/>
    <w:rsid w:val="0037506A"/>
    <w:rsid w:val="0037560A"/>
    <w:rsid w:val="00375795"/>
    <w:rsid w:val="0037616E"/>
    <w:rsid w:val="00376262"/>
    <w:rsid w:val="003763A1"/>
    <w:rsid w:val="00376698"/>
    <w:rsid w:val="003768E2"/>
    <w:rsid w:val="00376F43"/>
    <w:rsid w:val="00377473"/>
    <w:rsid w:val="0037760E"/>
    <w:rsid w:val="003803E0"/>
    <w:rsid w:val="0038054C"/>
    <w:rsid w:val="003805D3"/>
    <w:rsid w:val="0038061E"/>
    <w:rsid w:val="003809AF"/>
    <w:rsid w:val="00380B36"/>
    <w:rsid w:val="003817A7"/>
    <w:rsid w:val="003817C0"/>
    <w:rsid w:val="0038191F"/>
    <w:rsid w:val="003819CC"/>
    <w:rsid w:val="00381B0C"/>
    <w:rsid w:val="0038290A"/>
    <w:rsid w:val="00382D8D"/>
    <w:rsid w:val="00382F22"/>
    <w:rsid w:val="003830A8"/>
    <w:rsid w:val="0038322A"/>
    <w:rsid w:val="00384541"/>
    <w:rsid w:val="00384797"/>
    <w:rsid w:val="00385049"/>
    <w:rsid w:val="00385214"/>
    <w:rsid w:val="003856C4"/>
    <w:rsid w:val="003864B1"/>
    <w:rsid w:val="00386623"/>
    <w:rsid w:val="0038673A"/>
    <w:rsid w:val="00387F2F"/>
    <w:rsid w:val="0039000D"/>
    <w:rsid w:val="003900C7"/>
    <w:rsid w:val="003902D5"/>
    <w:rsid w:val="00390746"/>
    <w:rsid w:val="00390CF9"/>
    <w:rsid w:val="00391C58"/>
    <w:rsid w:val="00391C9B"/>
    <w:rsid w:val="0039210B"/>
    <w:rsid w:val="00392198"/>
    <w:rsid w:val="003929E1"/>
    <w:rsid w:val="00392D78"/>
    <w:rsid w:val="00393264"/>
    <w:rsid w:val="00395064"/>
    <w:rsid w:val="0039534D"/>
    <w:rsid w:val="003953C1"/>
    <w:rsid w:val="00395B6C"/>
    <w:rsid w:val="00395F8F"/>
    <w:rsid w:val="003968A6"/>
    <w:rsid w:val="00396BA3"/>
    <w:rsid w:val="003975E8"/>
    <w:rsid w:val="0039793B"/>
    <w:rsid w:val="003A07F8"/>
    <w:rsid w:val="003A1055"/>
    <w:rsid w:val="003A10AE"/>
    <w:rsid w:val="003A2176"/>
    <w:rsid w:val="003A2612"/>
    <w:rsid w:val="003A32A9"/>
    <w:rsid w:val="003A32DA"/>
    <w:rsid w:val="003A34C1"/>
    <w:rsid w:val="003A380D"/>
    <w:rsid w:val="003A3D26"/>
    <w:rsid w:val="003A3DF1"/>
    <w:rsid w:val="003A4027"/>
    <w:rsid w:val="003A42F7"/>
    <w:rsid w:val="003A4653"/>
    <w:rsid w:val="003A4794"/>
    <w:rsid w:val="003A47D8"/>
    <w:rsid w:val="003A481F"/>
    <w:rsid w:val="003A4A57"/>
    <w:rsid w:val="003A4C7C"/>
    <w:rsid w:val="003A4D11"/>
    <w:rsid w:val="003A4D17"/>
    <w:rsid w:val="003A51A7"/>
    <w:rsid w:val="003A5280"/>
    <w:rsid w:val="003A5585"/>
    <w:rsid w:val="003A5701"/>
    <w:rsid w:val="003A6167"/>
    <w:rsid w:val="003A652D"/>
    <w:rsid w:val="003A67B1"/>
    <w:rsid w:val="003A6862"/>
    <w:rsid w:val="003A6BD9"/>
    <w:rsid w:val="003A6D3A"/>
    <w:rsid w:val="003A7B67"/>
    <w:rsid w:val="003A7D48"/>
    <w:rsid w:val="003B08A2"/>
    <w:rsid w:val="003B0BF4"/>
    <w:rsid w:val="003B0C91"/>
    <w:rsid w:val="003B0F8E"/>
    <w:rsid w:val="003B1111"/>
    <w:rsid w:val="003B1933"/>
    <w:rsid w:val="003B2B5E"/>
    <w:rsid w:val="003B30B3"/>
    <w:rsid w:val="003B3666"/>
    <w:rsid w:val="003B3E5C"/>
    <w:rsid w:val="003B4163"/>
    <w:rsid w:val="003B41C7"/>
    <w:rsid w:val="003B496A"/>
    <w:rsid w:val="003B4CAA"/>
    <w:rsid w:val="003B5105"/>
    <w:rsid w:val="003B512C"/>
    <w:rsid w:val="003B5241"/>
    <w:rsid w:val="003B5C91"/>
    <w:rsid w:val="003B5D58"/>
    <w:rsid w:val="003B5FA0"/>
    <w:rsid w:val="003B6047"/>
    <w:rsid w:val="003B64C0"/>
    <w:rsid w:val="003B692F"/>
    <w:rsid w:val="003B693F"/>
    <w:rsid w:val="003B6DEA"/>
    <w:rsid w:val="003B6ECC"/>
    <w:rsid w:val="003B7250"/>
    <w:rsid w:val="003B7835"/>
    <w:rsid w:val="003B7840"/>
    <w:rsid w:val="003B79B9"/>
    <w:rsid w:val="003B7A6C"/>
    <w:rsid w:val="003B7E92"/>
    <w:rsid w:val="003C0029"/>
    <w:rsid w:val="003C01AC"/>
    <w:rsid w:val="003C04A9"/>
    <w:rsid w:val="003C0975"/>
    <w:rsid w:val="003C0D49"/>
    <w:rsid w:val="003C0D77"/>
    <w:rsid w:val="003C0FEC"/>
    <w:rsid w:val="003C10E1"/>
    <w:rsid w:val="003C1852"/>
    <w:rsid w:val="003C1943"/>
    <w:rsid w:val="003C2214"/>
    <w:rsid w:val="003C2B5C"/>
    <w:rsid w:val="003C2E92"/>
    <w:rsid w:val="003C308E"/>
    <w:rsid w:val="003C32EE"/>
    <w:rsid w:val="003C4506"/>
    <w:rsid w:val="003C450C"/>
    <w:rsid w:val="003C4DB4"/>
    <w:rsid w:val="003C4DD4"/>
    <w:rsid w:val="003C4E4D"/>
    <w:rsid w:val="003C5308"/>
    <w:rsid w:val="003C567F"/>
    <w:rsid w:val="003C587C"/>
    <w:rsid w:val="003C62D9"/>
    <w:rsid w:val="003C6438"/>
    <w:rsid w:val="003C6A5B"/>
    <w:rsid w:val="003C6D1D"/>
    <w:rsid w:val="003C6E27"/>
    <w:rsid w:val="003C6F87"/>
    <w:rsid w:val="003C7251"/>
    <w:rsid w:val="003C776C"/>
    <w:rsid w:val="003D02CD"/>
    <w:rsid w:val="003D2651"/>
    <w:rsid w:val="003D332D"/>
    <w:rsid w:val="003D3787"/>
    <w:rsid w:val="003D436D"/>
    <w:rsid w:val="003D45A0"/>
    <w:rsid w:val="003D4EC0"/>
    <w:rsid w:val="003D506A"/>
    <w:rsid w:val="003D567D"/>
    <w:rsid w:val="003D5D06"/>
    <w:rsid w:val="003D5FD3"/>
    <w:rsid w:val="003D61B5"/>
    <w:rsid w:val="003D714A"/>
    <w:rsid w:val="003D79C5"/>
    <w:rsid w:val="003D7F56"/>
    <w:rsid w:val="003E05D8"/>
    <w:rsid w:val="003E11AE"/>
    <w:rsid w:val="003E1709"/>
    <w:rsid w:val="003E1D8E"/>
    <w:rsid w:val="003E28EB"/>
    <w:rsid w:val="003E32F0"/>
    <w:rsid w:val="003E3939"/>
    <w:rsid w:val="003E3AED"/>
    <w:rsid w:val="003E3B30"/>
    <w:rsid w:val="003E44E5"/>
    <w:rsid w:val="003E45D7"/>
    <w:rsid w:val="003E4D6F"/>
    <w:rsid w:val="003E53BB"/>
    <w:rsid w:val="003E54EB"/>
    <w:rsid w:val="003E551D"/>
    <w:rsid w:val="003E5A6B"/>
    <w:rsid w:val="003E5D5A"/>
    <w:rsid w:val="003E643A"/>
    <w:rsid w:val="003E65F5"/>
    <w:rsid w:val="003E69BA"/>
    <w:rsid w:val="003E7287"/>
    <w:rsid w:val="003E7437"/>
    <w:rsid w:val="003E7EE9"/>
    <w:rsid w:val="003E7FC1"/>
    <w:rsid w:val="003F088A"/>
    <w:rsid w:val="003F0F5F"/>
    <w:rsid w:val="003F1034"/>
    <w:rsid w:val="003F1198"/>
    <w:rsid w:val="003F1EF0"/>
    <w:rsid w:val="003F3EA5"/>
    <w:rsid w:val="003F43E4"/>
    <w:rsid w:val="003F4461"/>
    <w:rsid w:val="003F4A0E"/>
    <w:rsid w:val="003F4D08"/>
    <w:rsid w:val="003F589D"/>
    <w:rsid w:val="003F58AF"/>
    <w:rsid w:val="003F5B6E"/>
    <w:rsid w:val="003F63C0"/>
    <w:rsid w:val="003F6592"/>
    <w:rsid w:val="003F6728"/>
    <w:rsid w:val="003F6F4E"/>
    <w:rsid w:val="003F7384"/>
    <w:rsid w:val="00400C56"/>
    <w:rsid w:val="00400F0F"/>
    <w:rsid w:val="00400F58"/>
    <w:rsid w:val="004010B8"/>
    <w:rsid w:val="0040136C"/>
    <w:rsid w:val="00401663"/>
    <w:rsid w:val="0040181B"/>
    <w:rsid w:val="00401924"/>
    <w:rsid w:val="0040197F"/>
    <w:rsid w:val="00401C77"/>
    <w:rsid w:val="00401CBF"/>
    <w:rsid w:val="004021BD"/>
    <w:rsid w:val="00402838"/>
    <w:rsid w:val="00402E87"/>
    <w:rsid w:val="0040325C"/>
    <w:rsid w:val="00403A29"/>
    <w:rsid w:val="00404090"/>
    <w:rsid w:val="004043E9"/>
    <w:rsid w:val="004043F6"/>
    <w:rsid w:val="00404967"/>
    <w:rsid w:val="00404B50"/>
    <w:rsid w:val="00404D7E"/>
    <w:rsid w:val="00405D30"/>
    <w:rsid w:val="004067B5"/>
    <w:rsid w:val="004067BC"/>
    <w:rsid w:val="00406814"/>
    <w:rsid w:val="00406B81"/>
    <w:rsid w:val="004070B7"/>
    <w:rsid w:val="004078AA"/>
    <w:rsid w:val="004108FE"/>
    <w:rsid w:val="00410D98"/>
    <w:rsid w:val="00410E20"/>
    <w:rsid w:val="00412179"/>
    <w:rsid w:val="00413366"/>
    <w:rsid w:val="0041365C"/>
    <w:rsid w:val="00413C81"/>
    <w:rsid w:val="00413CE3"/>
    <w:rsid w:val="004143CB"/>
    <w:rsid w:val="004147AC"/>
    <w:rsid w:val="0041488C"/>
    <w:rsid w:val="00414917"/>
    <w:rsid w:val="00414CDE"/>
    <w:rsid w:val="00414E3B"/>
    <w:rsid w:val="00414FEA"/>
    <w:rsid w:val="00415272"/>
    <w:rsid w:val="0041564F"/>
    <w:rsid w:val="00415684"/>
    <w:rsid w:val="00415802"/>
    <w:rsid w:val="004158DD"/>
    <w:rsid w:val="00415998"/>
    <w:rsid w:val="00415C11"/>
    <w:rsid w:val="00415FE9"/>
    <w:rsid w:val="0041625C"/>
    <w:rsid w:val="00416463"/>
    <w:rsid w:val="004165DC"/>
    <w:rsid w:val="00416B0F"/>
    <w:rsid w:val="00416FE7"/>
    <w:rsid w:val="0041712E"/>
    <w:rsid w:val="00417CE0"/>
    <w:rsid w:val="004201D8"/>
    <w:rsid w:val="00420950"/>
    <w:rsid w:val="00420A46"/>
    <w:rsid w:val="00420F2A"/>
    <w:rsid w:val="004212BA"/>
    <w:rsid w:val="004216A9"/>
    <w:rsid w:val="00421CA3"/>
    <w:rsid w:val="00421D14"/>
    <w:rsid w:val="00421FA5"/>
    <w:rsid w:val="004226FE"/>
    <w:rsid w:val="00422FBD"/>
    <w:rsid w:val="00423047"/>
    <w:rsid w:val="00423D5F"/>
    <w:rsid w:val="0042434D"/>
    <w:rsid w:val="00424C95"/>
    <w:rsid w:val="00424E9C"/>
    <w:rsid w:val="0042509A"/>
    <w:rsid w:val="004267DD"/>
    <w:rsid w:val="00426EC6"/>
    <w:rsid w:val="00427176"/>
    <w:rsid w:val="00427654"/>
    <w:rsid w:val="00427682"/>
    <w:rsid w:val="004300A1"/>
    <w:rsid w:val="004301DA"/>
    <w:rsid w:val="00430527"/>
    <w:rsid w:val="00430C55"/>
    <w:rsid w:val="00430E26"/>
    <w:rsid w:val="0043137C"/>
    <w:rsid w:val="00431920"/>
    <w:rsid w:val="00431DA5"/>
    <w:rsid w:val="00432187"/>
    <w:rsid w:val="00432838"/>
    <w:rsid w:val="004337B0"/>
    <w:rsid w:val="00433902"/>
    <w:rsid w:val="00433A7A"/>
    <w:rsid w:val="00433E14"/>
    <w:rsid w:val="00433F76"/>
    <w:rsid w:val="00433FB5"/>
    <w:rsid w:val="0043415F"/>
    <w:rsid w:val="00434273"/>
    <w:rsid w:val="00434298"/>
    <w:rsid w:val="004344B1"/>
    <w:rsid w:val="004348BB"/>
    <w:rsid w:val="00434915"/>
    <w:rsid w:val="00434CA0"/>
    <w:rsid w:val="0043553A"/>
    <w:rsid w:val="00435568"/>
    <w:rsid w:val="00435E51"/>
    <w:rsid w:val="0043678A"/>
    <w:rsid w:val="004369B2"/>
    <w:rsid w:val="00436FC3"/>
    <w:rsid w:val="00437204"/>
    <w:rsid w:val="00437C25"/>
    <w:rsid w:val="004406D5"/>
    <w:rsid w:val="00440955"/>
    <w:rsid w:val="00440D29"/>
    <w:rsid w:val="00440EFA"/>
    <w:rsid w:val="004410A6"/>
    <w:rsid w:val="00441578"/>
    <w:rsid w:val="004415B7"/>
    <w:rsid w:val="00441FB4"/>
    <w:rsid w:val="004422B4"/>
    <w:rsid w:val="0044260C"/>
    <w:rsid w:val="004427EB"/>
    <w:rsid w:val="00442906"/>
    <w:rsid w:val="00442B92"/>
    <w:rsid w:val="00442D9C"/>
    <w:rsid w:val="00443376"/>
    <w:rsid w:val="00443406"/>
    <w:rsid w:val="004435DE"/>
    <w:rsid w:val="00444401"/>
    <w:rsid w:val="00444A9D"/>
    <w:rsid w:val="00444C81"/>
    <w:rsid w:val="00445543"/>
    <w:rsid w:val="004455C4"/>
    <w:rsid w:val="00445640"/>
    <w:rsid w:val="00445B98"/>
    <w:rsid w:val="00445D91"/>
    <w:rsid w:val="00445DF0"/>
    <w:rsid w:val="004462E1"/>
    <w:rsid w:val="00446423"/>
    <w:rsid w:val="00446689"/>
    <w:rsid w:val="00447067"/>
    <w:rsid w:val="0044716A"/>
    <w:rsid w:val="00450059"/>
    <w:rsid w:val="004502CD"/>
    <w:rsid w:val="0045032E"/>
    <w:rsid w:val="004505AF"/>
    <w:rsid w:val="00450DE8"/>
    <w:rsid w:val="00450F98"/>
    <w:rsid w:val="004515C2"/>
    <w:rsid w:val="004516FC"/>
    <w:rsid w:val="004518AF"/>
    <w:rsid w:val="00451A1F"/>
    <w:rsid w:val="00451D7E"/>
    <w:rsid w:val="00452273"/>
    <w:rsid w:val="004529BD"/>
    <w:rsid w:val="00453FF2"/>
    <w:rsid w:val="00454049"/>
    <w:rsid w:val="004540D9"/>
    <w:rsid w:val="004542FA"/>
    <w:rsid w:val="00455366"/>
    <w:rsid w:val="00455806"/>
    <w:rsid w:val="00455889"/>
    <w:rsid w:val="00455A8E"/>
    <w:rsid w:val="00455B5B"/>
    <w:rsid w:val="00456A1A"/>
    <w:rsid w:val="00456EB4"/>
    <w:rsid w:val="00456FF8"/>
    <w:rsid w:val="00457722"/>
    <w:rsid w:val="004577C1"/>
    <w:rsid w:val="00457F04"/>
    <w:rsid w:val="00460298"/>
    <w:rsid w:val="004611C1"/>
    <w:rsid w:val="004611C5"/>
    <w:rsid w:val="004613BA"/>
    <w:rsid w:val="0046146E"/>
    <w:rsid w:val="00461A3D"/>
    <w:rsid w:val="00461B4B"/>
    <w:rsid w:val="00461CA6"/>
    <w:rsid w:val="00461E1F"/>
    <w:rsid w:val="00462483"/>
    <w:rsid w:val="004625A7"/>
    <w:rsid w:val="004625E9"/>
    <w:rsid w:val="00462678"/>
    <w:rsid w:val="0046281F"/>
    <w:rsid w:val="00462D2D"/>
    <w:rsid w:val="00463D01"/>
    <w:rsid w:val="00463E03"/>
    <w:rsid w:val="004640B3"/>
    <w:rsid w:val="00464512"/>
    <w:rsid w:val="00464A9D"/>
    <w:rsid w:val="0046603A"/>
    <w:rsid w:val="00466073"/>
    <w:rsid w:val="0046611E"/>
    <w:rsid w:val="00466646"/>
    <w:rsid w:val="00467140"/>
    <w:rsid w:val="004671FF"/>
    <w:rsid w:val="00467711"/>
    <w:rsid w:val="004704F3"/>
    <w:rsid w:val="004706F6"/>
    <w:rsid w:val="0047086A"/>
    <w:rsid w:val="00470EEA"/>
    <w:rsid w:val="004713D1"/>
    <w:rsid w:val="00472013"/>
    <w:rsid w:val="00472138"/>
    <w:rsid w:val="004721B2"/>
    <w:rsid w:val="004725E6"/>
    <w:rsid w:val="0047313F"/>
    <w:rsid w:val="0047379E"/>
    <w:rsid w:val="00474848"/>
    <w:rsid w:val="00474DB4"/>
    <w:rsid w:val="00475E2D"/>
    <w:rsid w:val="0047630E"/>
    <w:rsid w:val="00476460"/>
    <w:rsid w:val="004765BA"/>
    <w:rsid w:val="00476EA2"/>
    <w:rsid w:val="00476FAA"/>
    <w:rsid w:val="0047749E"/>
    <w:rsid w:val="00477740"/>
    <w:rsid w:val="004777CA"/>
    <w:rsid w:val="0048004B"/>
    <w:rsid w:val="00480083"/>
    <w:rsid w:val="00480185"/>
    <w:rsid w:val="004801D4"/>
    <w:rsid w:val="00480944"/>
    <w:rsid w:val="00480A1F"/>
    <w:rsid w:val="00480C58"/>
    <w:rsid w:val="0048106A"/>
    <w:rsid w:val="00481476"/>
    <w:rsid w:val="00481536"/>
    <w:rsid w:val="0048173D"/>
    <w:rsid w:val="004827B2"/>
    <w:rsid w:val="00482A0C"/>
    <w:rsid w:val="00482C3B"/>
    <w:rsid w:val="00482C64"/>
    <w:rsid w:val="004838A4"/>
    <w:rsid w:val="00483A7E"/>
    <w:rsid w:val="00483ABB"/>
    <w:rsid w:val="00483CEE"/>
    <w:rsid w:val="00483FA7"/>
    <w:rsid w:val="00484670"/>
    <w:rsid w:val="0048481F"/>
    <w:rsid w:val="00484C42"/>
    <w:rsid w:val="00484DFC"/>
    <w:rsid w:val="00484E18"/>
    <w:rsid w:val="004855E0"/>
    <w:rsid w:val="00485942"/>
    <w:rsid w:val="00486160"/>
    <w:rsid w:val="0048675D"/>
    <w:rsid w:val="004871E4"/>
    <w:rsid w:val="00487CBD"/>
    <w:rsid w:val="00487DD1"/>
    <w:rsid w:val="00487F39"/>
    <w:rsid w:val="00490F6A"/>
    <w:rsid w:val="00491141"/>
    <w:rsid w:val="0049134B"/>
    <w:rsid w:val="004918B3"/>
    <w:rsid w:val="00491ED9"/>
    <w:rsid w:val="00492332"/>
    <w:rsid w:val="00492339"/>
    <w:rsid w:val="00492994"/>
    <w:rsid w:val="004939D7"/>
    <w:rsid w:val="004944F8"/>
    <w:rsid w:val="00494CD6"/>
    <w:rsid w:val="00494F22"/>
    <w:rsid w:val="004955D2"/>
    <w:rsid w:val="00495BB6"/>
    <w:rsid w:val="00496A5E"/>
    <w:rsid w:val="00496EF6"/>
    <w:rsid w:val="00496FEA"/>
    <w:rsid w:val="00497063"/>
    <w:rsid w:val="0049743B"/>
    <w:rsid w:val="00497579"/>
    <w:rsid w:val="00497C4D"/>
    <w:rsid w:val="00497DE4"/>
    <w:rsid w:val="00497EA2"/>
    <w:rsid w:val="004A074D"/>
    <w:rsid w:val="004A13F5"/>
    <w:rsid w:val="004A15B3"/>
    <w:rsid w:val="004A1709"/>
    <w:rsid w:val="004A1894"/>
    <w:rsid w:val="004A1FCC"/>
    <w:rsid w:val="004A22EC"/>
    <w:rsid w:val="004A3038"/>
    <w:rsid w:val="004A336A"/>
    <w:rsid w:val="004A33CD"/>
    <w:rsid w:val="004A38B9"/>
    <w:rsid w:val="004A3F07"/>
    <w:rsid w:val="004A463F"/>
    <w:rsid w:val="004A4803"/>
    <w:rsid w:val="004A4AC8"/>
    <w:rsid w:val="004A4E9A"/>
    <w:rsid w:val="004A5538"/>
    <w:rsid w:val="004A6352"/>
    <w:rsid w:val="004A68E3"/>
    <w:rsid w:val="004A7084"/>
    <w:rsid w:val="004A74D2"/>
    <w:rsid w:val="004B0B07"/>
    <w:rsid w:val="004B0B1D"/>
    <w:rsid w:val="004B0DD6"/>
    <w:rsid w:val="004B197E"/>
    <w:rsid w:val="004B1FD2"/>
    <w:rsid w:val="004B292A"/>
    <w:rsid w:val="004B2960"/>
    <w:rsid w:val="004B2A77"/>
    <w:rsid w:val="004B2C2D"/>
    <w:rsid w:val="004B3695"/>
    <w:rsid w:val="004B3B4A"/>
    <w:rsid w:val="004B3E74"/>
    <w:rsid w:val="004B3F40"/>
    <w:rsid w:val="004B3FD9"/>
    <w:rsid w:val="004B3FDC"/>
    <w:rsid w:val="004B6512"/>
    <w:rsid w:val="004B6671"/>
    <w:rsid w:val="004B69B2"/>
    <w:rsid w:val="004B728F"/>
    <w:rsid w:val="004B75EC"/>
    <w:rsid w:val="004B782D"/>
    <w:rsid w:val="004B79A1"/>
    <w:rsid w:val="004B7A7A"/>
    <w:rsid w:val="004B7D0D"/>
    <w:rsid w:val="004C00EE"/>
    <w:rsid w:val="004C070C"/>
    <w:rsid w:val="004C1866"/>
    <w:rsid w:val="004C223D"/>
    <w:rsid w:val="004C2776"/>
    <w:rsid w:val="004C2C08"/>
    <w:rsid w:val="004C33EB"/>
    <w:rsid w:val="004C36E3"/>
    <w:rsid w:val="004C3FF1"/>
    <w:rsid w:val="004C4033"/>
    <w:rsid w:val="004C45C6"/>
    <w:rsid w:val="004C462E"/>
    <w:rsid w:val="004C47BE"/>
    <w:rsid w:val="004C56BB"/>
    <w:rsid w:val="004C5DF4"/>
    <w:rsid w:val="004C6B21"/>
    <w:rsid w:val="004C6D9C"/>
    <w:rsid w:val="004C6EDC"/>
    <w:rsid w:val="004C6F4C"/>
    <w:rsid w:val="004C74B7"/>
    <w:rsid w:val="004C794B"/>
    <w:rsid w:val="004C7EF3"/>
    <w:rsid w:val="004D0044"/>
    <w:rsid w:val="004D04B2"/>
    <w:rsid w:val="004D0C68"/>
    <w:rsid w:val="004D0C88"/>
    <w:rsid w:val="004D0D91"/>
    <w:rsid w:val="004D12C4"/>
    <w:rsid w:val="004D13EA"/>
    <w:rsid w:val="004D1797"/>
    <w:rsid w:val="004D1EAB"/>
    <w:rsid w:val="004D257E"/>
    <w:rsid w:val="004D25AB"/>
    <w:rsid w:val="004D2E91"/>
    <w:rsid w:val="004D364A"/>
    <w:rsid w:val="004D402E"/>
    <w:rsid w:val="004D4249"/>
    <w:rsid w:val="004D494B"/>
    <w:rsid w:val="004D4A0F"/>
    <w:rsid w:val="004D5775"/>
    <w:rsid w:val="004D5948"/>
    <w:rsid w:val="004D595F"/>
    <w:rsid w:val="004D61A8"/>
    <w:rsid w:val="004D69AC"/>
    <w:rsid w:val="004D6D68"/>
    <w:rsid w:val="004D7133"/>
    <w:rsid w:val="004D796B"/>
    <w:rsid w:val="004D7C38"/>
    <w:rsid w:val="004D7FBF"/>
    <w:rsid w:val="004E0578"/>
    <w:rsid w:val="004E0F0B"/>
    <w:rsid w:val="004E1324"/>
    <w:rsid w:val="004E1360"/>
    <w:rsid w:val="004E1471"/>
    <w:rsid w:val="004E1996"/>
    <w:rsid w:val="004E1F08"/>
    <w:rsid w:val="004E1F6F"/>
    <w:rsid w:val="004E2151"/>
    <w:rsid w:val="004E2606"/>
    <w:rsid w:val="004E2885"/>
    <w:rsid w:val="004E2B0D"/>
    <w:rsid w:val="004E39F9"/>
    <w:rsid w:val="004E4050"/>
    <w:rsid w:val="004E420B"/>
    <w:rsid w:val="004E499F"/>
    <w:rsid w:val="004E4B8A"/>
    <w:rsid w:val="004E51BB"/>
    <w:rsid w:val="004E5B01"/>
    <w:rsid w:val="004E5C74"/>
    <w:rsid w:val="004E6797"/>
    <w:rsid w:val="004E67B3"/>
    <w:rsid w:val="004E6870"/>
    <w:rsid w:val="004E7413"/>
    <w:rsid w:val="004E75B4"/>
    <w:rsid w:val="004E76FC"/>
    <w:rsid w:val="004F019B"/>
    <w:rsid w:val="004F01F7"/>
    <w:rsid w:val="004F03C3"/>
    <w:rsid w:val="004F0C02"/>
    <w:rsid w:val="004F0C1C"/>
    <w:rsid w:val="004F1386"/>
    <w:rsid w:val="004F1449"/>
    <w:rsid w:val="004F2245"/>
    <w:rsid w:val="004F237D"/>
    <w:rsid w:val="004F2A22"/>
    <w:rsid w:val="004F2EB8"/>
    <w:rsid w:val="004F348D"/>
    <w:rsid w:val="004F3650"/>
    <w:rsid w:val="004F3929"/>
    <w:rsid w:val="004F3B41"/>
    <w:rsid w:val="004F4016"/>
    <w:rsid w:val="004F4564"/>
    <w:rsid w:val="004F50E1"/>
    <w:rsid w:val="004F53DE"/>
    <w:rsid w:val="004F5ED8"/>
    <w:rsid w:val="004F64DD"/>
    <w:rsid w:val="004F6533"/>
    <w:rsid w:val="004F665A"/>
    <w:rsid w:val="004F7427"/>
    <w:rsid w:val="004F7463"/>
    <w:rsid w:val="004F7699"/>
    <w:rsid w:val="00500068"/>
    <w:rsid w:val="00500112"/>
    <w:rsid w:val="00500171"/>
    <w:rsid w:val="005003A6"/>
    <w:rsid w:val="005004AB"/>
    <w:rsid w:val="00500ED0"/>
    <w:rsid w:val="005018AB"/>
    <w:rsid w:val="00501909"/>
    <w:rsid w:val="00501910"/>
    <w:rsid w:val="005019C1"/>
    <w:rsid w:val="00501E5B"/>
    <w:rsid w:val="005024FD"/>
    <w:rsid w:val="00502870"/>
    <w:rsid w:val="00502D8B"/>
    <w:rsid w:val="0050331E"/>
    <w:rsid w:val="005033CE"/>
    <w:rsid w:val="00503555"/>
    <w:rsid w:val="00503F0A"/>
    <w:rsid w:val="00504107"/>
    <w:rsid w:val="00504599"/>
    <w:rsid w:val="00504753"/>
    <w:rsid w:val="00504809"/>
    <w:rsid w:val="0050516C"/>
    <w:rsid w:val="00505DBD"/>
    <w:rsid w:val="00505F18"/>
    <w:rsid w:val="0050677F"/>
    <w:rsid w:val="005069CB"/>
    <w:rsid w:val="00506D13"/>
    <w:rsid w:val="00507464"/>
    <w:rsid w:val="005079FD"/>
    <w:rsid w:val="00507A51"/>
    <w:rsid w:val="00507F92"/>
    <w:rsid w:val="0051067B"/>
    <w:rsid w:val="00510E64"/>
    <w:rsid w:val="005115D6"/>
    <w:rsid w:val="0051170F"/>
    <w:rsid w:val="00511963"/>
    <w:rsid w:val="00511AB2"/>
    <w:rsid w:val="00511C1D"/>
    <w:rsid w:val="005120D4"/>
    <w:rsid w:val="00513629"/>
    <w:rsid w:val="0051385A"/>
    <w:rsid w:val="0051396A"/>
    <w:rsid w:val="00513985"/>
    <w:rsid w:val="00513F21"/>
    <w:rsid w:val="00514367"/>
    <w:rsid w:val="0051535C"/>
    <w:rsid w:val="005155CD"/>
    <w:rsid w:val="00515E61"/>
    <w:rsid w:val="00517594"/>
    <w:rsid w:val="00517622"/>
    <w:rsid w:val="005179CD"/>
    <w:rsid w:val="005179F5"/>
    <w:rsid w:val="0052033B"/>
    <w:rsid w:val="00520631"/>
    <w:rsid w:val="0052083F"/>
    <w:rsid w:val="00520DDF"/>
    <w:rsid w:val="005213C4"/>
    <w:rsid w:val="0052187D"/>
    <w:rsid w:val="00521EAE"/>
    <w:rsid w:val="005224A0"/>
    <w:rsid w:val="00522995"/>
    <w:rsid w:val="00522BEA"/>
    <w:rsid w:val="00523375"/>
    <w:rsid w:val="005235BF"/>
    <w:rsid w:val="00523B67"/>
    <w:rsid w:val="00523D06"/>
    <w:rsid w:val="00523F25"/>
    <w:rsid w:val="00523F73"/>
    <w:rsid w:val="005246CC"/>
    <w:rsid w:val="00525505"/>
    <w:rsid w:val="00525A27"/>
    <w:rsid w:val="00525B5D"/>
    <w:rsid w:val="0052615D"/>
    <w:rsid w:val="00526A64"/>
    <w:rsid w:val="00526DC0"/>
    <w:rsid w:val="0052703F"/>
    <w:rsid w:val="0053066F"/>
    <w:rsid w:val="00530769"/>
    <w:rsid w:val="00530F27"/>
    <w:rsid w:val="005319BD"/>
    <w:rsid w:val="00531E54"/>
    <w:rsid w:val="00531ED7"/>
    <w:rsid w:val="005322B8"/>
    <w:rsid w:val="005322E8"/>
    <w:rsid w:val="0053266B"/>
    <w:rsid w:val="00532F94"/>
    <w:rsid w:val="005331BB"/>
    <w:rsid w:val="00533B0C"/>
    <w:rsid w:val="005340E9"/>
    <w:rsid w:val="005342DE"/>
    <w:rsid w:val="00534663"/>
    <w:rsid w:val="00534829"/>
    <w:rsid w:val="005349F9"/>
    <w:rsid w:val="00534F0F"/>
    <w:rsid w:val="00535855"/>
    <w:rsid w:val="005360D3"/>
    <w:rsid w:val="00536266"/>
    <w:rsid w:val="00536818"/>
    <w:rsid w:val="00536947"/>
    <w:rsid w:val="00536B0B"/>
    <w:rsid w:val="00536F59"/>
    <w:rsid w:val="00537221"/>
    <w:rsid w:val="00537D53"/>
    <w:rsid w:val="005401F3"/>
    <w:rsid w:val="00540D24"/>
    <w:rsid w:val="00540D34"/>
    <w:rsid w:val="0054138E"/>
    <w:rsid w:val="0054187F"/>
    <w:rsid w:val="00541D9E"/>
    <w:rsid w:val="00541F19"/>
    <w:rsid w:val="005426B7"/>
    <w:rsid w:val="005430ED"/>
    <w:rsid w:val="005440A4"/>
    <w:rsid w:val="005446B0"/>
    <w:rsid w:val="005448AE"/>
    <w:rsid w:val="005459A8"/>
    <w:rsid w:val="00545FA0"/>
    <w:rsid w:val="00546143"/>
    <w:rsid w:val="005473C2"/>
    <w:rsid w:val="00547A80"/>
    <w:rsid w:val="005506F0"/>
    <w:rsid w:val="0055088F"/>
    <w:rsid w:val="00550D9A"/>
    <w:rsid w:val="005510B1"/>
    <w:rsid w:val="00551459"/>
    <w:rsid w:val="00551785"/>
    <w:rsid w:val="00551A71"/>
    <w:rsid w:val="005527CB"/>
    <w:rsid w:val="00552927"/>
    <w:rsid w:val="00552C72"/>
    <w:rsid w:val="00553544"/>
    <w:rsid w:val="0055371A"/>
    <w:rsid w:val="00553A47"/>
    <w:rsid w:val="00553ADE"/>
    <w:rsid w:val="00553B49"/>
    <w:rsid w:val="005542B2"/>
    <w:rsid w:val="00554311"/>
    <w:rsid w:val="00555729"/>
    <w:rsid w:val="005566A3"/>
    <w:rsid w:val="00556E45"/>
    <w:rsid w:val="005573B3"/>
    <w:rsid w:val="005573BB"/>
    <w:rsid w:val="00557804"/>
    <w:rsid w:val="00557A02"/>
    <w:rsid w:val="00557A50"/>
    <w:rsid w:val="00557D06"/>
    <w:rsid w:val="00561042"/>
    <w:rsid w:val="0056196B"/>
    <w:rsid w:val="00561FD9"/>
    <w:rsid w:val="005622AB"/>
    <w:rsid w:val="005628D2"/>
    <w:rsid w:val="0056360C"/>
    <w:rsid w:val="0056363D"/>
    <w:rsid w:val="005643BD"/>
    <w:rsid w:val="00564BFF"/>
    <w:rsid w:val="00564D95"/>
    <w:rsid w:val="0056509A"/>
    <w:rsid w:val="005658C5"/>
    <w:rsid w:val="00565970"/>
    <w:rsid w:val="005660E2"/>
    <w:rsid w:val="0056613A"/>
    <w:rsid w:val="0056654D"/>
    <w:rsid w:val="00566725"/>
    <w:rsid w:val="00566C03"/>
    <w:rsid w:val="005677D4"/>
    <w:rsid w:val="00570930"/>
    <w:rsid w:val="00570C07"/>
    <w:rsid w:val="00570CE4"/>
    <w:rsid w:val="00570F8B"/>
    <w:rsid w:val="00571344"/>
    <w:rsid w:val="00571A0D"/>
    <w:rsid w:val="00571E8F"/>
    <w:rsid w:val="00571EAB"/>
    <w:rsid w:val="0057259D"/>
    <w:rsid w:val="005727D4"/>
    <w:rsid w:val="00572A24"/>
    <w:rsid w:val="00573021"/>
    <w:rsid w:val="005735FC"/>
    <w:rsid w:val="00573616"/>
    <w:rsid w:val="00573A7D"/>
    <w:rsid w:val="00573F6C"/>
    <w:rsid w:val="00574623"/>
    <w:rsid w:val="00574BB1"/>
    <w:rsid w:val="00574BBB"/>
    <w:rsid w:val="00574BEC"/>
    <w:rsid w:val="00575688"/>
    <w:rsid w:val="005756A5"/>
    <w:rsid w:val="0057598D"/>
    <w:rsid w:val="00575F02"/>
    <w:rsid w:val="00576498"/>
    <w:rsid w:val="005765DB"/>
    <w:rsid w:val="00580044"/>
    <w:rsid w:val="00580134"/>
    <w:rsid w:val="005816F3"/>
    <w:rsid w:val="00581EB2"/>
    <w:rsid w:val="00582103"/>
    <w:rsid w:val="0058254D"/>
    <w:rsid w:val="00582880"/>
    <w:rsid w:val="00582A4E"/>
    <w:rsid w:val="00582C08"/>
    <w:rsid w:val="00582C70"/>
    <w:rsid w:val="0058315D"/>
    <w:rsid w:val="00583185"/>
    <w:rsid w:val="0058374D"/>
    <w:rsid w:val="00584123"/>
    <w:rsid w:val="00584527"/>
    <w:rsid w:val="00584668"/>
    <w:rsid w:val="00584B6A"/>
    <w:rsid w:val="00585959"/>
    <w:rsid w:val="00585BC2"/>
    <w:rsid w:val="00586168"/>
    <w:rsid w:val="005867E7"/>
    <w:rsid w:val="00586AB8"/>
    <w:rsid w:val="00586C93"/>
    <w:rsid w:val="005873EB"/>
    <w:rsid w:val="00587A22"/>
    <w:rsid w:val="00590296"/>
    <w:rsid w:val="00590F88"/>
    <w:rsid w:val="005910E3"/>
    <w:rsid w:val="005913D1"/>
    <w:rsid w:val="00591597"/>
    <w:rsid w:val="00591864"/>
    <w:rsid w:val="0059249C"/>
    <w:rsid w:val="00592E75"/>
    <w:rsid w:val="0059425A"/>
    <w:rsid w:val="005945C8"/>
    <w:rsid w:val="00594EFC"/>
    <w:rsid w:val="00595193"/>
    <w:rsid w:val="00595FD8"/>
    <w:rsid w:val="00596EBD"/>
    <w:rsid w:val="00596F4D"/>
    <w:rsid w:val="00596F83"/>
    <w:rsid w:val="0059735F"/>
    <w:rsid w:val="00597BC3"/>
    <w:rsid w:val="005A08D0"/>
    <w:rsid w:val="005A1138"/>
    <w:rsid w:val="005A18E0"/>
    <w:rsid w:val="005A19DB"/>
    <w:rsid w:val="005A2F23"/>
    <w:rsid w:val="005A2FC0"/>
    <w:rsid w:val="005A338D"/>
    <w:rsid w:val="005A36A2"/>
    <w:rsid w:val="005A3C12"/>
    <w:rsid w:val="005A3C49"/>
    <w:rsid w:val="005A4830"/>
    <w:rsid w:val="005A486A"/>
    <w:rsid w:val="005A4E0A"/>
    <w:rsid w:val="005A4FB1"/>
    <w:rsid w:val="005A54B6"/>
    <w:rsid w:val="005A54E0"/>
    <w:rsid w:val="005A75AD"/>
    <w:rsid w:val="005A79B9"/>
    <w:rsid w:val="005A7BC0"/>
    <w:rsid w:val="005A7D62"/>
    <w:rsid w:val="005A7E6C"/>
    <w:rsid w:val="005B0A78"/>
    <w:rsid w:val="005B0B58"/>
    <w:rsid w:val="005B188F"/>
    <w:rsid w:val="005B3B4E"/>
    <w:rsid w:val="005B4004"/>
    <w:rsid w:val="005B5169"/>
    <w:rsid w:val="005B51B2"/>
    <w:rsid w:val="005B53EB"/>
    <w:rsid w:val="005B5CC2"/>
    <w:rsid w:val="005B5DFE"/>
    <w:rsid w:val="005B5E66"/>
    <w:rsid w:val="005B5F0A"/>
    <w:rsid w:val="005B63EF"/>
    <w:rsid w:val="005B66AD"/>
    <w:rsid w:val="005B6725"/>
    <w:rsid w:val="005B79CA"/>
    <w:rsid w:val="005B7C50"/>
    <w:rsid w:val="005B7DDF"/>
    <w:rsid w:val="005C04E9"/>
    <w:rsid w:val="005C0579"/>
    <w:rsid w:val="005C0F96"/>
    <w:rsid w:val="005C202C"/>
    <w:rsid w:val="005C280E"/>
    <w:rsid w:val="005C29F8"/>
    <w:rsid w:val="005C2BA4"/>
    <w:rsid w:val="005C3370"/>
    <w:rsid w:val="005C362A"/>
    <w:rsid w:val="005C3BB5"/>
    <w:rsid w:val="005C3DF6"/>
    <w:rsid w:val="005C4208"/>
    <w:rsid w:val="005C4311"/>
    <w:rsid w:val="005C50DB"/>
    <w:rsid w:val="005C6000"/>
    <w:rsid w:val="005C6BF5"/>
    <w:rsid w:val="005C6DCB"/>
    <w:rsid w:val="005C7E7C"/>
    <w:rsid w:val="005D0690"/>
    <w:rsid w:val="005D1372"/>
    <w:rsid w:val="005D18BE"/>
    <w:rsid w:val="005D27F7"/>
    <w:rsid w:val="005D296B"/>
    <w:rsid w:val="005D2BAC"/>
    <w:rsid w:val="005D2BDF"/>
    <w:rsid w:val="005D2DDB"/>
    <w:rsid w:val="005D3E4E"/>
    <w:rsid w:val="005D3F8B"/>
    <w:rsid w:val="005D4362"/>
    <w:rsid w:val="005D5131"/>
    <w:rsid w:val="005D5508"/>
    <w:rsid w:val="005D604C"/>
    <w:rsid w:val="005D6713"/>
    <w:rsid w:val="005D6D24"/>
    <w:rsid w:val="005D6D91"/>
    <w:rsid w:val="005D6EB4"/>
    <w:rsid w:val="005D702C"/>
    <w:rsid w:val="005D7714"/>
    <w:rsid w:val="005E00AD"/>
    <w:rsid w:val="005E0303"/>
    <w:rsid w:val="005E05A2"/>
    <w:rsid w:val="005E0706"/>
    <w:rsid w:val="005E1087"/>
    <w:rsid w:val="005E127B"/>
    <w:rsid w:val="005E2440"/>
    <w:rsid w:val="005E34E0"/>
    <w:rsid w:val="005E5083"/>
    <w:rsid w:val="005E59DB"/>
    <w:rsid w:val="005E6AE6"/>
    <w:rsid w:val="005E70DD"/>
    <w:rsid w:val="005E7410"/>
    <w:rsid w:val="005E751A"/>
    <w:rsid w:val="005F00C3"/>
    <w:rsid w:val="005F0A05"/>
    <w:rsid w:val="005F0D3B"/>
    <w:rsid w:val="005F1C33"/>
    <w:rsid w:val="005F28F5"/>
    <w:rsid w:val="005F291F"/>
    <w:rsid w:val="005F2D87"/>
    <w:rsid w:val="005F2FF9"/>
    <w:rsid w:val="005F3399"/>
    <w:rsid w:val="005F408F"/>
    <w:rsid w:val="005F442C"/>
    <w:rsid w:val="005F4CA4"/>
    <w:rsid w:val="005F5010"/>
    <w:rsid w:val="005F5161"/>
    <w:rsid w:val="005F53B8"/>
    <w:rsid w:val="005F5514"/>
    <w:rsid w:val="005F55A1"/>
    <w:rsid w:val="005F55E8"/>
    <w:rsid w:val="005F5EDD"/>
    <w:rsid w:val="005F5FE9"/>
    <w:rsid w:val="005F6116"/>
    <w:rsid w:val="005F61B8"/>
    <w:rsid w:val="005F6328"/>
    <w:rsid w:val="005F7457"/>
    <w:rsid w:val="005F7CB9"/>
    <w:rsid w:val="00600C5D"/>
    <w:rsid w:val="00600E15"/>
    <w:rsid w:val="006016F5"/>
    <w:rsid w:val="00601806"/>
    <w:rsid w:val="00602A2C"/>
    <w:rsid w:val="00602C4C"/>
    <w:rsid w:val="0060363C"/>
    <w:rsid w:val="00603B42"/>
    <w:rsid w:val="00604657"/>
    <w:rsid w:val="00605029"/>
    <w:rsid w:val="006051E8"/>
    <w:rsid w:val="0060541C"/>
    <w:rsid w:val="00605930"/>
    <w:rsid w:val="00605B96"/>
    <w:rsid w:val="00606346"/>
    <w:rsid w:val="006066C2"/>
    <w:rsid w:val="00606705"/>
    <w:rsid w:val="006073AD"/>
    <w:rsid w:val="006078CF"/>
    <w:rsid w:val="006104B2"/>
    <w:rsid w:val="006122DB"/>
    <w:rsid w:val="00612978"/>
    <w:rsid w:val="00612B24"/>
    <w:rsid w:val="00613356"/>
    <w:rsid w:val="006133A3"/>
    <w:rsid w:val="00613CEA"/>
    <w:rsid w:val="00613D6A"/>
    <w:rsid w:val="006148DA"/>
    <w:rsid w:val="00614992"/>
    <w:rsid w:val="00614B2B"/>
    <w:rsid w:val="00614E43"/>
    <w:rsid w:val="00615548"/>
    <w:rsid w:val="00615BD0"/>
    <w:rsid w:val="006160B4"/>
    <w:rsid w:val="006164AF"/>
    <w:rsid w:val="006164C9"/>
    <w:rsid w:val="00616510"/>
    <w:rsid w:val="00616AB4"/>
    <w:rsid w:val="00616AF8"/>
    <w:rsid w:val="00616BA4"/>
    <w:rsid w:val="00616E19"/>
    <w:rsid w:val="006170BD"/>
    <w:rsid w:val="00617498"/>
    <w:rsid w:val="00617714"/>
    <w:rsid w:val="00617B8B"/>
    <w:rsid w:val="00617F81"/>
    <w:rsid w:val="00620267"/>
    <w:rsid w:val="006203BF"/>
    <w:rsid w:val="00620A1E"/>
    <w:rsid w:val="006210B5"/>
    <w:rsid w:val="006217DF"/>
    <w:rsid w:val="00621E9E"/>
    <w:rsid w:val="006221A4"/>
    <w:rsid w:val="00622F65"/>
    <w:rsid w:val="006234B7"/>
    <w:rsid w:val="00623954"/>
    <w:rsid w:val="00623DD9"/>
    <w:rsid w:val="00624C4E"/>
    <w:rsid w:val="00625011"/>
    <w:rsid w:val="00625882"/>
    <w:rsid w:val="00625DA1"/>
    <w:rsid w:val="00625E3A"/>
    <w:rsid w:val="00626739"/>
    <w:rsid w:val="006267C0"/>
    <w:rsid w:val="006279F2"/>
    <w:rsid w:val="006301A1"/>
    <w:rsid w:val="00630925"/>
    <w:rsid w:val="006309D0"/>
    <w:rsid w:val="00630A49"/>
    <w:rsid w:val="00630DF5"/>
    <w:rsid w:val="006315A8"/>
    <w:rsid w:val="006318FB"/>
    <w:rsid w:val="00631963"/>
    <w:rsid w:val="00631A85"/>
    <w:rsid w:val="0063215B"/>
    <w:rsid w:val="00632372"/>
    <w:rsid w:val="006327F7"/>
    <w:rsid w:val="00632E30"/>
    <w:rsid w:val="00632E65"/>
    <w:rsid w:val="00632EAD"/>
    <w:rsid w:val="00633044"/>
    <w:rsid w:val="006332DC"/>
    <w:rsid w:val="006335E9"/>
    <w:rsid w:val="0063426D"/>
    <w:rsid w:val="006342FA"/>
    <w:rsid w:val="0063434A"/>
    <w:rsid w:val="00634649"/>
    <w:rsid w:val="00634AD8"/>
    <w:rsid w:val="00635026"/>
    <w:rsid w:val="00635660"/>
    <w:rsid w:val="006357C5"/>
    <w:rsid w:val="006359CF"/>
    <w:rsid w:val="00635E50"/>
    <w:rsid w:val="00636061"/>
    <w:rsid w:val="0063655B"/>
    <w:rsid w:val="006369C2"/>
    <w:rsid w:val="00636B0E"/>
    <w:rsid w:val="006376ED"/>
    <w:rsid w:val="00637BE2"/>
    <w:rsid w:val="00637C47"/>
    <w:rsid w:val="006407B2"/>
    <w:rsid w:val="00640F04"/>
    <w:rsid w:val="00641023"/>
    <w:rsid w:val="00641149"/>
    <w:rsid w:val="0064117D"/>
    <w:rsid w:val="006414D9"/>
    <w:rsid w:val="00641893"/>
    <w:rsid w:val="00641AC8"/>
    <w:rsid w:val="00641F99"/>
    <w:rsid w:val="0064217C"/>
    <w:rsid w:val="006424B2"/>
    <w:rsid w:val="00642B0C"/>
    <w:rsid w:val="00642FF1"/>
    <w:rsid w:val="00642FFD"/>
    <w:rsid w:val="0064369A"/>
    <w:rsid w:val="00643D78"/>
    <w:rsid w:val="00644A3A"/>
    <w:rsid w:val="00644AC8"/>
    <w:rsid w:val="00644D4C"/>
    <w:rsid w:val="0064501C"/>
    <w:rsid w:val="00645750"/>
    <w:rsid w:val="006457D1"/>
    <w:rsid w:val="00645847"/>
    <w:rsid w:val="00646642"/>
    <w:rsid w:val="00646E42"/>
    <w:rsid w:val="006470C4"/>
    <w:rsid w:val="0064716E"/>
    <w:rsid w:val="0064778E"/>
    <w:rsid w:val="006478FC"/>
    <w:rsid w:val="006479A2"/>
    <w:rsid w:val="00647F29"/>
    <w:rsid w:val="00650385"/>
    <w:rsid w:val="00650510"/>
    <w:rsid w:val="00650524"/>
    <w:rsid w:val="00650873"/>
    <w:rsid w:val="00650E5B"/>
    <w:rsid w:val="00651069"/>
    <w:rsid w:val="00651E83"/>
    <w:rsid w:val="00652135"/>
    <w:rsid w:val="006536FF"/>
    <w:rsid w:val="00653967"/>
    <w:rsid w:val="00653B49"/>
    <w:rsid w:val="00653D42"/>
    <w:rsid w:val="006543C8"/>
    <w:rsid w:val="0065474E"/>
    <w:rsid w:val="00654A4B"/>
    <w:rsid w:val="0065503C"/>
    <w:rsid w:val="006550C3"/>
    <w:rsid w:val="00655489"/>
    <w:rsid w:val="006555C2"/>
    <w:rsid w:val="00655C91"/>
    <w:rsid w:val="00655F47"/>
    <w:rsid w:val="00656234"/>
    <w:rsid w:val="0065643A"/>
    <w:rsid w:val="00657135"/>
    <w:rsid w:val="00660173"/>
    <w:rsid w:val="006603CA"/>
    <w:rsid w:val="00660DCB"/>
    <w:rsid w:val="006618C8"/>
    <w:rsid w:val="006620B0"/>
    <w:rsid w:val="006620F3"/>
    <w:rsid w:val="006623C0"/>
    <w:rsid w:val="00662806"/>
    <w:rsid w:val="006634D9"/>
    <w:rsid w:val="00664D35"/>
    <w:rsid w:val="00665097"/>
    <w:rsid w:val="006652CF"/>
    <w:rsid w:val="00665431"/>
    <w:rsid w:val="00665E2F"/>
    <w:rsid w:val="00665E66"/>
    <w:rsid w:val="00666042"/>
    <w:rsid w:val="00666EC6"/>
    <w:rsid w:val="00666F52"/>
    <w:rsid w:val="00667704"/>
    <w:rsid w:val="00667B66"/>
    <w:rsid w:val="00670B70"/>
    <w:rsid w:val="00670C09"/>
    <w:rsid w:val="006712F6"/>
    <w:rsid w:val="00671E7A"/>
    <w:rsid w:val="006728F7"/>
    <w:rsid w:val="00672CF2"/>
    <w:rsid w:val="00672EE9"/>
    <w:rsid w:val="006736C1"/>
    <w:rsid w:val="006737FF"/>
    <w:rsid w:val="00673813"/>
    <w:rsid w:val="00674187"/>
    <w:rsid w:val="006746B1"/>
    <w:rsid w:val="006748D9"/>
    <w:rsid w:val="00674A5C"/>
    <w:rsid w:val="00675A3C"/>
    <w:rsid w:val="0067614F"/>
    <w:rsid w:val="00676225"/>
    <w:rsid w:val="00676379"/>
    <w:rsid w:val="00676431"/>
    <w:rsid w:val="006765F7"/>
    <w:rsid w:val="0067663D"/>
    <w:rsid w:val="006766B1"/>
    <w:rsid w:val="00676950"/>
    <w:rsid w:val="006771AA"/>
    <w:rsid w:val="00677BB1"/>
    <w:rsid w:val="00677C8C"/>
    <w:rsid w:val="006800AF"/>
    <w:rsid w:val="00680330"/>
    <w:rsid w:val="00680720"/>
    <w:rsid w:val="00680744"/>
    <w:rsid w:val="00681631"/>
    <w:rsid w:val="00681B2A"/>
    <w:rsid w:val="00681BA6"/>
    <w:rsid w:val="006822BE"/>
    <w:rsid w:val="006833AD"/>
    <w:rsid w:val="00683CF6"/>
    <w:rsid w:val="00684B51"/>
    <w:rsid w:val="00684C47"/>
    <w:rsid w:val="00684EE4"/>
    <w:rsid w:val="00685039"/>
    <w:rsid w:val="006856E6"/>
    <w:rsid w:val="00685BA9"/>
    <w:rsid w:val="00685C73"/>
    <w:rsid w:val="006868A2"/>
    <w:rsid w:val="00686ABE"/>
    <w:rsid w:val="00686D7F"/>
    <w:rsid w:val="00686DB7"/>
    <w:rsid w:val="00686E2E"/>
    <w:rsid w:val="006879FA"/>
    <w:rsid w:val="006904CC"/>
    <w:rsid w:val="006905C9"/>
    <w:rsid w:val="00690A61"/>
    <w:rsid w:val="00690AC9"/>
    <w:rsid w:val="00691390"/>
    <w:rsid w:val="00691ABA"/>
    <w:rsid w:val="0069207F"/>
    <w:rsid w:val="00692B95"/>
    <w:rsid w:val="00692C2E"/>
    <w:rsid w:val="006936D7"/>
    <w:rsid w:val="006938D2"/>
    <w:rsid w:val="00693A7B"/>
    <w:rsid w:val="00694372"/>
    <w:rsid w:val="00694A39"/>
    <w:rsid w:val="00694EEA"/>
    <w:rsid w:val="00695A84"/>
    <w:rsid w:val="00695C49"/>
    <w:rsid w:val="00695D78"/>
    <w:rsid w:val="00696E62"/>
    <w:rsid w:val="0069727E"/>
    <w:rsid w:val="006972BA"/>
    <w:rsid w:val="006973EB"/>
    <w:rsid w:val="00697434"/>
    <w:rsid w:val="00697A99"/>
    <w:rsid w:val="006A01BD"/>
    <w:rsid w:val="006A02EA"/>
    <w:rsid w:val="006A08B4"/>
    <w:rsid w:val="006A0F28"/>
    <w:rsid w:val="006A11BE"/>
    <w:rsid w:val="006A28DE"/>
    <w:rsid w:val="006A35F9"/>
    <w:rsid w:val="006A36C0"/>
    <w:rsid w:val="006A3AA9"/>
    <w:rsid w:val="006A3B84"/>
    <w:rsid w:val="006A417F"/>
    <w:rsid w:val="006A44D8"/>
    <w:rsid w:val="006A451B"/>
    <w:rsid w:val="006A4596"/>
    <w:rsid w:val="006A47E8"/>
    <w:rsid w:val="006A5203"/>
    <w:rsid w:val="006A5881"/>
    <w:rsid w:val="006A5D7E"/>
    <w:rsid w:val="006A72FD"/>
    <w:rsid w:val="006A7621"/>
    <w:rsid w:val="006A7CCA"/>
    <w:rsid w:val="006A7DB5"/>
    <w:rsid w:val="006B068C"/>
    <w:rsid w:val="006B0D68"/>
    <w:rsid w:val="006B0F30"/>
    <w:rsid w:val="006B0FD9"/>
    <w:rsid w:val="006B10DC"/>
    <w:rsid w:val="006B14AD"/>
    <w:rsid w:val="006B15E1"/>
    <w:rsid w:val="006B1FFB"/>
    <w:rsid w:val="006B23FB"/>
    <w:rsid w:val="006B33AE"/>
    <w:rsid w:val="006B39BD"/>
    <w:rsid w:val="006B4436"/>
    <w:rsid w:val="006B48EA"/>
    <w:rsid w:val="006B4CA9"/>
    <w:rsid w:val="006B4D98"/>
    <w:rsid w:val="006B5083"/>
    <w:rsid w:val="006B5750"/>
    <w:rsid w:val="006B6EF0"/>
    <w:rsid w:val="006B7031"/>
    <w:rsid w:val="006B75A3"/>
    <w:rsid w:val="006C0729"/>
    <w:rsid w:val="006C0CA1"/>
    <w:rsid w:val="006C25C4"/>
    <w:rsid w:val="006C2704"/>
    <w:rsid w:val="006C28CF"/>
    <w:rsid w:val="006C3252"/>
    <w:rsid w:val="006C3322"/>
    <w:rsid w:val="006C3A3D"/>
    <w:rsid w:val="006C3B7E"/>
    <w:rsid w:val="006C4BB8"/>
    <w:rsid w:val="006C4DA7"/>
    <w:rsid w:val="006C4F90"/>
    <w:rsid w:val="006C575D"/>
    <w:rsid w:val="006C58FD"/>
    <w:rsid w:val="006C6111"/>
    <w:rsid w:val="006C66B1"/>
    <w:rsid w:val="006C6B39"/>
    <w:rsid w:val="006C6D4D"/>
    <w:rsid w:val="006C7125"/>
    <w:rsid w:val="006D0A52"/>
    <w:rsid w:val="006D117B"/>
    <w:rsid w:val="006D1560"/>
    <w:rsid w:val="006D16E4"/>
    <w:rsid w:val="006D1A2B"/>
    <w:rsid w:val="006D20B0"/>
    <w:rsid w:val="006D21A8"/>
    <w:rsid w:val="006D3BD7"/>
    <w:rsid w:val="006D437F"/>
    <w:rsid w:val="006D44DC"/>
    <w:rsid w:val="006D4D8D"/>
    <w:rsid w:val="006D4F8F"/>
    <w:rsid w:val="006D5937"/>
    <w:rsid w:val="006D5982"/>
    <w:rsid w:val="006D5A8B"/>
    <w:rsid w:val="006D5C56"/>
    <w:rsid w:val="006D5DC4"/>
    <w:rsid w:val="006D5E8D"/>
    <w:rsid w:val="006D5ECB"/>
    <w:rsid w:val="006D650D"/>
    <w:rsid w:val="006D685F"/>
    <w:rsid w:val="006D7047"/>
    <w:rsid w:val="006D741F"/>
    <w:rsid w:val="006D77A0"/>
    <w:rsid w:val="006D7D0C"/>
    <w:rsid w:val="006D7F77"/>
    <w:rsid w:val="006D7FBE"/>
    <w:rsid w:val="006E0CC6"/>
    <w:rsid w:val="006E1738"/>
    <w:rsid w:val="006E1A87"/>
    <w:rsid w:val="006E2B53"/>
    <w:rsid w:val="006E2BBB"/>
    <w:rsid w:val="006E2D94"/>
    <w:rsid w:val="006E3068"/>
    <w:rsid w:val="006E3226"/>
    <w:rsid w:val="006E3F55"/>
    <w:rsid w:val="006E4B85"/>
    <w:rsid w:val="006E52F6"/>
    <w:rsid w:val="006E5A0E"/>
    <w:rsid w:val="006E5A3F"/>
    <w:rsid w:val="006E5AE4"/>
    <w:rsid w:val="006E60EA"/>
    <w:rsid w:val="006E6280"/>
    <w:rsid w:val="006F0B24"/>
    <w:rsid w:val="006F0FFF"/>
    <w:rsid w:val="006F1DE4"/>
    <w:rsid w:val="006F2250"/>
    <w:rsid w:val="006F2592"/>
    <w:rsid w:val="006F2A7D"/>
    <w:rsid w:val="006F3531"/>
    <w:rsid w:val="006F391E"/>
    <w:rsid w:val="006F3C93"/>
    <w:rsid w:val="006F3F36"/>
    <w:rsid w:val="006F4307"/>
    <w:rsid w:val="006F4BF7"/>
    <w:rsid w:val="006F588D"/>
    <w:rsid w:val="006F5957"/>
    <w:rsid w:val="006F6351"/>
    <w:rsid w:val="006F6B8F"/>
    <w:rsid w:val="006F6E8E"/>
    <w:rsid w:val="006F76C5"/>
    <w:rsid w:val="0070077A"/>
    <w:rsid w:val="0070083E"/>
    <w:rsid w:val="00700E96"/>
    <w:rsid w:val="00700FD9"/>
    <w:rsid w:val="00701B1E"/>
    <w:rsid w:val="00701B5B"/>
    <w:rsid w:val="00702A40"/>
    <w:rsid w:val="00702CFF"/>
    <w:rsid w:val="00703FA0"/>
    <w:rsid w:val="00704B70"/>
    <w:rsid w:val="00704C17"/>
    <w:rsid w:val="00704E6A"/>
    <w:rsid w:val="00705619"/>
    <w:rsid w:val="007057AB"/>
    <w:rsid w:val="007059B2"/>
    <w:rsid w:val="00705DFA"/>
    <w:rsid w:val="007072DC"/>
    <w:rsid w:val="00707AF3"/>
    <w:rsid w:val="00707D22"/>
    <w:rsid w:val="0071007C"/>
    <w:rsid w:val="0071022D"/>
    <w:rsid w:val="007104B6"/>
    <w:rsid w:val="00710CAA"/>
    <w:rsid w:val="00710D95"/>
    <w:rsid w:val="0071141F"/>
    <w:rsid w:val="00711473"/>
    <w:rsid w:val="007122B2"/>
    <w:rsid w:val="0071284C"/>
    <w:rsid w:val="00712877"/>
    <w:rsid w:val="007134D3"/>
    <w:rsid w:val="007135ED"/>
    <w:rsid w:val="0071385D"/>
    <w:rsid w:val="00713B92"/>
    <w:rsid w:val="007146BE"/>
    <w:rsid w:val="00714F02"/>
    <w:rsid w:val="00715CA8"/>
    <w:rsid w:val="00715E1E"/>
    <w:rsid w:val="007164C1"/>
    <w:rsid w:val="00716EB9"/>
    <w:rsid w:val="00717580"/>
    <w:rsid w:val="00717710"/>
    <w:rsid w:val="00720099"/>
    <w:rsid w:val="007200FD"/>
    <w:rsid w:val="0072060C"/>
    <w:rsid w:val="00720AC8"/>
    <w:rsid w:val="00721715"/>
    <w:rsid w:val="00721B2F"/>
    <w:rsid w:val="00721FDA"/>
    <w:rsid w:val="0072216E"/>
    <w:rsid w:val="007227E3"/>
    <w:rsid w:val="00723936"/>
    <w:rsid w:val="007239EC"/>
    <w:rsid w:val="00723A08"/>
    <w:rsid w:val="007243CE"/>
    <w:rsid w:val="00724BCB"/>
    <w:rsid w:val="00724E03"/>
    <w:rsid w:val="00724E57"/>
    <w:rsid w:val="00724EC4"/>
    <w:rsid w:val="00724F2E"/>
    <w:rsid w:val="00725433"/>
    <w:rsid w:val="007257BA"/>
    <w:rsid w:val="00725955"/>
    <w:rsid w:val="00725A32"/>
    <w:rsid w:val="00725F6D"/>
    <w:rsid w:val="007262AD"/>
    <w:rsid w:val="007270F5"/>
    <w:rsid w:val="00727644"/>
    <w:rsid w:val="0072798B"/>
    <w:rsid w:val="00727E58"/>
    <w:rsid w:val="007303FE"/>
    <w:rsid w:val="0073090D"/>
    <w:rsid w:val="00730C62"/>
    <w:rsid w:val="007312B2"/>
    <w:rsid w:val="00731910"/>
    <w:rsid w:val="00731E72"/>
    <w:rsid w:val="0073226E"/>
    <w:rsid w:val="007327EA"/>
    <w:rsid w:val="00733048"/>
    <w:rsid w:val="007341C1"/>
    <w:rsid w:val="00734221"/>
    <w:rsid w:val="0073456C"/>
    <w:rsid w:val="0073461B"/>
    <w:rsid w:val="007350F7"/>
    <w:rsid w:val="00735FFF"/>
    <w:rsid w:val="007362A1"/>
    <w:rsid w:val="0073644F"/>
    <w:rsid w:val="00736620"/>
    <w:rsid w:val="00736AE6"/>
    <w:rsid w:val="00736E83"/>
    <w:rsid w:val="00737087"/>
    <w:rsid w:val="007376B4"/>
    <w:rsid w:val="00740CBC"/>
    <w:rsid w:val="00741170"/>
    <w:rsid w:val="007413DC"/>
    <w:rsid w:val="007416E5"/>
    <w:rsid w:val="0074189E"/>
    <w:rsid w:val="007419A9"/>
    <w:rsid w:val="007419E3"/>
    <w:rsid w:val="00741A36"/>
    <w:rsid w:val="00742A9D"/>
    <w:rsid w:val="00742DCB"/>
    <w:rsid w:val="00742E14"/>
    <w:rsid w:val="00742F8B"/>
    <w:rsid w:val="00743643"/>
    <w:rsid w:val="00743759"/>
    <w:rsid w:val="00743EED"/>
    <w:rsid w:val="00744152"/>
    <w:rsid w:val="0074473E"/>
    <w:rsid w:val="00744E34"/>
    <w:rsid w:val="0074520E"/>
    <w:rsid w:val="00745BF1"/>
    <w:rsid w:val="00745DEE"/>
    <w:rsid w:val="0074762E"/>
    <w:rsid w:val="00747DFB"/>
    <w:rsid w:val="00747EAD"/>
    <w:rsid w:val="007504AA"/>
    <w:rsid w:val="007508E0"/>
    <w:rsid w:val="00750CD5"/>
    <w:rsid w:val="007519E8"/>
    <w:rsid w:val="00751BFA"/>
    <w:rsid w:val="007524CC"/>
    <w:rsid w:val="007529F4"/>
    <w:rsid w:val="00752BAF"/>
    <w:rsid w:val="00752D0A"/>
    <w:rsid w:val="00752D76"/>
    <w:rsid w:val="00752EFE"/>
    <w:rsid w:val="00752FA3"/>
    <w:rsid w:val="0075451F"/>
    <w:rsid w:val="007545B3"/>
    <w:rsid w:val="00755AF7"/>
    <w:rsid w:val="0075626F"/>
    <w:rsid w:val="00756794"/>
    <w:rsid w:val="00756827"/>
    <w:rsid w:val="00756ABA"/>
    <w:rsid w:val="00756B33"/>
    <w:rsid w:val="00757054"/>
    <w:rsid w:val="00757B8A"/>
    <w:rsid w:val="00757D21"/>
    <w:rsid w:val="00760059"/>
    <w:rsid w:val="0076014E"/>
    <w:rsid w:val="007605BB"/>
    <w:rsid w:val="00760C8C"/>
    <w:rsid w:val="007617A4"/>
    <w:rsid w:val="00762033"/>
    <w:rsid w:val="00762DE8"/>
    <w:rsid w:val="0076314D"/>
    <w:rsid w:val="007631DD"/>
    <w:rsid w:val="00763780"/>
    <w:rsid w:val="007637D6"/>
    <w:rsid w:val="007639D7"/>
    <w:rsid w:val="00763C24"/>
    <w:rsid w:val="00763F84"/>
    <w:rsid w:val="00764DDE"/>
    <w:rsid w:val="00764FE1"/>
    <w:rsid w:val="00767A2B"/>
    <w:rsid w:val="00767D3B"/>
    <w:rsid w:val="007703CC"/>
    <w:rsid w:val="0077075F"/>
    <w:rsid w:val="00770816"/>
    <w:rsid w:val="007709B9"/>
    <w:rsid w:val="00770AF9"/>
    <w:rsid w:val="00770B11"/>
    <w:rsid w:val="0077120F"/>
    <w:rsid w:val="007717C9"/>
    <w:rsid w:val="0077223E"/>
    <w:rsid w:val="0077257F"/>
    <w:rsid w:val="00773230"/>
    <w:rsid w:val="0077340A"/>
    <w:rsid w:val="00773D70"/>
    <w:rsid w:val="00773DD2"/>
    <w:rsid w:val="007742F1"/>
    <w:rsid w:val="00774726"/>
    <w:rsid w:val="00774972"/>
    <w:rsid w:val="00774A11"/>
    <w:rsid w:val="00774A90"/>
    <w:rsid w:val="00774DE0"/>
    <w:rsid w:val="00775686"/>
    <w:rsid w:val="00775716"/>
    <w:rsid w:val="007757B1"/>
    <w:rsid w:val="00775845"/>
    <w:rsid w:val="00775D73"/>
    <w:rsid w:val="00775E47"/>
    <w:rsid w:val="007765EF"/>
    <w:rsid w:val="007767D3"/>
    <w:rsid w:val="00776DD1"/>
    <w:rsid w:val="00776F26"/>
    <w:rsid w:val="0077712B"/>
    <w:rsid w:val="0077753E"/>
    <w:rsid w:val="00777946"/>
    <w:rsid w:val="00777D53"/>
    <w:rsid w:val="007800BD"/>
    <w:rsid w:val="00780340"/>
    <w:rsid w:val="0078056F"/>
    <w:rsid w:val="00780CF3"/>
    <w:rsid w:val="00781112"/>
    <w:rsid w:val="007816D8"/>
    <w:rsid w:val="00781C0F"/>
    <w:rsid w:val="007822E4"/>
    <w:rsid w:val="007822FD"/>
    <w:rsid w:val="00782606"/>
    <w:rsid w:val="0078269B"/>
    <w:rsid w:val="007827D9"/>
    <w:rsid w:val="00782979"/>
    <w:rsid w:val="00782B5F"/>
    <w:rsid w:val="00782EC8"/>
    <w:rsid w:val="00782FB6"/>
    <w:rsid w:val="00783479"/>
    <w:rsid w:val="00783F1A"/>
    <w:rsid w:val="00784854"/>
    <w:rsid w:val="0078491F"/>
    <w:rsid w:val="0078546F"/>
    <w:rsid w:val="00785672"/>
    <w:rsid w:val="007857BF"/>
    <w:rsid w:val="00785806"/>
    <w:rsid w:val="0078594A"/>
    <w:rsid w:val="007870F8"/>
    <w:rsid w:val="007874BB"/>
    <w:rsid w:val="00787AEB"/>
    <w:rsid w:val="007905E6"/>
    <w:rsid w:val="0079169F"/>
    <w:rsid w:val="007917AE"/>
    <w:rsid w:val="00791C5F"/>
    <w:rsid w:val="00791DEB"/>
    <w:rsid w:val="007925C6"/>
    <w:rsid w:val="0079360D"/>
    <w:rsid w:val="00794672"/>
    <w:rsid w:val="00794931"/>
    <w:rsid w:val="00794A41"/>
    <w:rsid w:val="007950D4"/>
    <w:rsid w:val="007953D7"/>
    <w:rsid w:val="007954D3"/>
    <w:rsid w:val="00795995"/>
    <w:rsid w:val="00795E9E"/>
    <w:rsid w:val="00796266"/>
    <w:rsid w:val="00796DC0"/>
    <w:rsid w:val="007973B0"/>
    <w:rsid w:val="007A00C1"/>
    <w:rsid w:val="007A0221"/>
    <w:rsid w:val="007A1398"/>
    <w:rsid w:val="007A1B2A"/>
    <w:rsid w:val="007A2822"/>
    <w:rsid w:val="007A35E2"/>
    <w:rsid w:val="007A3964"/>
    <w:rsid w:val="007A3A34"/>
    <w:rsid w:val="007A3E26"/>
    <w:rsid w:val="007A467C"/>
    <w:rsid w:val="007A470E"/>
    <w:rsid w:val="007A48DF"/>
    <w:rsid w:val="007A52C8"/>
    <w:rsid w:val="007A59A7"/>
    <w:rsid w:val="007A5B01"/>
    <w:rsid w:val="007A5B63"/>
    <w:rsid w:val="007A5BA6"/>
    <w:rsid w:val="007A5EC1"/>
    <w:rsid w:val="007A62B9"/>
    <w:rsid w:val="007A6310"/>
    <w:rsid w:val="007A644D"/>
    <w:rsid w:val="007A6818"/>
    <w:rsid w:val="007A6ADA"/>
    <w:rsid w:val="007A715D"/>
    <w:rsid w:val="007A7E81"/>
    <w:rsid w:val="007A7E93"/>
    <w:rsid w:val="007B0A26"/>
    <w:rsid w:val="007B1221"/>
    <w:rsid w:val="007B1B7E"/>
    <w:rsid w:val="007B1DB7"/>
    <w:rsid w:val="007B2985"/>
    <w:rsid w:val="007B2B8D"/>
    <w:rsid w:val="007B35BE"/>
    <w:rsid w:val="007B46BF"/>
    <w:rsid w:val="007B5383"/>
    <w:rsid w:val="007B56DD"/>
    <w:rsid w:val="007B5C1B"/>
    <w:rsid w:val="007B6017"/>
    <w:rsid w:val="007B61E6"/>
    <w:rsid w:val="007B69ED"/>
    <w:rsid w:val="007B6B98"/>
    <w:rsid w:val="007B7736"/>
    <w:rsid w:val="007B78ED"/>
    <w:rsid w:val="007B7ACE"/>
    <w:rsid w:val="007B7D25"/>
    <w:rsid w:val="007C0107"/>
    <w:rsid w:val="007C0E6F"/>
    <w:rsid w:val="007C139C"/>
    <w:rsid w:val="007C1AC4"/>
    <w:rsid w:val="007C1BCF"/>
    <w:rsid w:val="007C1CAB"/>
    <w:rsid w:val="007C1FC9"/>
    <w:rsid w:val="007C2607"/>
    <w:rsid w:val="007C29FA"/>
    <w:rsid w:val="007C2ABB"/>
    <w:rsid w:val="007C2BE4"/>
    <w:rsid w:val="007C3067"/>
    <w:rsid w:val="007C3C89"/>
    <w:rsid w:val="007C3E25"/>
    <w:rsid w:val="007C4262"/>
    <w:rsid w:val="007C4B0E"/>
    <w:rsid w:val="007C5CB2"/>
    <w:rsid w:val="007C5E7D"/>
    <w:rsid w:val="007C66BF"/>
    <w:rsid w:val="007C67E2"/>
    <w:rsid w:val="007C689C"/>
    <w:rsid w:val="007C7971"/>
    <w:rsid w:val="007C7DFF"/>
    <w:rsid w:val="007C7E17"/>
    <w:rsid w:val="007D01BC"/>
    <w:rsid w:val="007D07C4"/>
    <w:rsid w:val="007D099C"/>
    <w:rsid w:val="007D100A"/>
    <w:rsid w:val="007D1137"/>
    <w:rsid w:val="007D116C"/>
    <w:rsid w:val="007D12EA"/>
    <w:rsid w:val="007D156B"/>
    <w:rsid w:val="007D168C"/>
    <w:rsid w:val="007D1975"/>
    <w:rsid w:val="007D219D"/>
    <w:rsid w:val="007D28D0"/>
    <w:rsid w:val="007D2F92"/>
    <w:rsid w:val="007D374D"/>
    <w:rsid w:val="007D3D18"/>
    <w:rsid w:val="007D3F55"/>
    <w:rsid w:val="007D4253"/>
    <w:rsid w:val="007D433F"/>
    <w:rsid w:val="007D435F"/>
    <w:rsid w:val="007D527A"/>
    <w:rsid w:val="007D5D8B"/>
    <w:rsid w:val="007D5DE7"/>
    <w:rsid w:val="007D5FA6"/>
    <w:rsid w:val="007D638F"/>
    <w:rsid w:val="007D64C9"/>
    <w:rsid w:val="007D6635"/>
    <w:rsid w:val="007D6BB1"/>
    <w:rsid w:val="007D755C"/>
    <w:rsid w:val="007D798F"/>
    <w:rsid w:val="007D7A20"/>
    <w:rsid w:val="007E0A04"/>
    <w:rsid w:val="007E10E7"/>
    <w:rsid w:val="007E1738"/>
    <w:rsid w:val="007E1791"/>
    <w:rsid w:val="007E1833"/>
    <w:rsid w:val="007E2779"/>
    <w:rsid w:val="007E3073"/>
    <w:rsid w:val="007E35D9"/>
    <w:rsid w:val="007E3B19"/>
    <w:rsid w:val="007E4314"/>
    <w:rsid w:val="007E4572"/>
    <w:rsid w:val="007E4838"/>
    <w:rsid w:val="007E4BE9"/>
    <w:rsid w:val="007E4BF2"/>
    <w:rsid w:val="007E5038"/>
    <w:rsid w:val="007E57D2"/>
    <w:rsid w:val="007E58E3"/>
    <w:rsid w:val="007E5A5F"/>
    <w:rsid w:val="007E5E5B"/>
    <w:rsid w:val="007E6271"/>
    <w:rsid w:val="007E6407"/>
    <w:rsid w:val="007E6810"/>
    <w:rsid w:val="007E6F97"/>
    <w:rsid w:val="007E6F9F"/>
    <w:rsid w:val="007E7764"/>
    <w:rsid w:val="007E77D6"/>
    <w:rsid w:val="007E7C36"/>
    <w:rsid w:val="007E7D2A"/>
    <w:rsid w:val="007F0425"/>
    <w:rsid w:val="007F0944"/>
    <w:rsid w:val="007F0969"/>
    <w:rsid w:val="007F0C33"/>
    <w:rsid w:val="007F0C5F"/>
    <w:rsid w:val="007F0CEC"/>
    <w:rsid w:val="007F10E6"/>
    <w:rsid w:val="007F1174"/>
    <w:rsid w:val="007F11D7"/>
    <w:rsid w:val="007F1383"/>
    <w:rsid w:val="007F15BC"/>
    <w:rsid w:val="007F164B"/>
    <w:rsid w:val="007F1D12"/>
    <w:rsid w:val="007F1DA7"/>
    <w:rsid w:val="007F1F79"/>
    <w:rsid w:val="007F2313"/>
    <w:rsid w:val="007F24E2"/>
    <w:rsid w:val="007F2DDE"/>
    <w:rsid w:val="007F337D"/>
    <w:rsid w:val="007F3B1A"/>
    <w:rsid w:val="007F3BA1"/>
    <w:rsid w:val="007F41FD"/>
    <w:rsid w:val="007F44A9"/>
    <w:rsid w:val="007F4592"/>
    <w:rsid w:val="007F473C"/>
    <w:rsid w:val="007F5071"/>
    <w:rsid w:val="007F50EE"/>
    <w:rsid w:val="007F53F1"/>
    <w:rsid w:val="007F5604"/>
    <w:rsid w:val="007F6192"/>
    <w:rsid w:val="007F6756"/>
    <w:rsid w:val="007F67A9"/>
    <w:rsid w:val="007F67C7"/>
    <w:rsid w:val="007F6A1A"/>
    <w:rsid w:val="007F6AFF"/>
    <w:rsid w:val="007F6F3A"/>
    <w:rsid w:val="007F7063"/>
    <w:rsid w:val="007F76DD"/>
    <w:rsid w:val="007F7E44"/>
    <w:rsid w:val="007F7FF8"/>
    <w:rsid w:val="00802665"/>
    <w:rsid w:val="00802A46"/>
    <w:rsid w:val="00803155"/>
    <w:rsid w:val="00803CFD"/>
    <w:rsid w:val="00803FBB"/>
    <w:rsid w:val="0080439F"/>
    <w:rsid w:val="008043A8"/>
    <w:rsid w:val="00805DD3"/>
    <w:rsid w:val="00805F54"/>
    <w:rsid w:val="00806AE6"/>
    <w:rsid w:val="00806C75"/>
    <w:rsid w:val="008078DE"/>
    <w:rsid w:val="00807AD3"/>
    <w:rsid w:val="008108AC"/>
    <w:rsid w:val="00810DCF"/>
    <w:rsid w:val="008115FD"/>
    <w:rsid w:val="0081195E"/>
    <w:rsid w:val="00811A99"/>
    <w:rsid w:val="00811B13"/>
    <w:rsid w:val="008137CC"/>
    <w:rsid w:val="0081430E"/>
    <w:rsid w:val="00814341"/>
    <w:rsid w:val="008149EF"/>
    <w:rsid w:val="008151EC"/>
    <w:rsid w:val="00815B9B"/>
    <w:rsid w:val="00816065"/>
    <w:rsid w:val="00817042"/>
    <w:rsid w:val="008174C3"/>
    <w:rsid w:val="00820441"/>
    <w:rsid w:val="008206CE"/>
    <w:rsid w:val="00820751"/>
    <w:rsid w:val="00820AD0"/>
    <w:rsid w:val="0082130B"/>
    <w:rsid w:val="00821BA2"/>
    <w:rsid w:val="008221C1"/>
    <w:rsid w:val="008227D4"/>
    <w:rsid w:val="00823232"/>
    <w:rsid w:val="00823A32"/>
    <w:rsid w:val="00823B4C"/>
    <w:rsid w:val="0082411F"/>
    <w:rsid w:val="00824C46"/>
    <w:rsid w:val="00824D00"/>
    <w:rsid w:val="00825455"/>
    <w:rsid w:val="00825520"/>
    <w:rsid w:val="0082560D"/>
    <w:rsid w:val="0082568C"/>
    <w:rsid w:val="0082574D"/>
    <w:rsid w:val="00825D03"/>
    <w:rsid w:val="00825F7C"/>
    <w:rsid w:val="00826A26"/>
    <w:rsid w:val="00826A44"/>
    <w:rsid w:val="00826CF1"/>
    <w:rsid w:val="00826D36"/>
    <w:rsid w:val="00827192"/>
    <w:rsid w:val="00827EE7"/>
    <w:rsid w:val="00827FF4"/>
    <w:rsid w:val="00830159"/>
    <w:rsid w:val="00830178"/>
    <w:rsid w:val="00831025"/>
    <w:rsid w:val="00831752"/>
    <w:rsid w:val="00831918"/>
    <w:rsid w:val="00831B93"/>
    <w:rsid w:val="00831CDE"/>
    <w:rsid w:val="0083260B"/>
    <w:rsid w:val="008327A8"/>
    <w:rsid w:val="00832807"/>
    <w:rsid w:val="00832D0E"/>
    <w:rsid w:val="0083356C"/>
    <w:rsid w:val="00833727"/>
    <w:rsid w:val="0083390E"/>
    <w:rsid w:val="00833FDC"/>
    <w:rsid w:val="008345E5"/>
    <w:rsid w:val="0083466B"/>
    <w:rsid w:val="0083484B"/>
    <w:rsid w:val="00834A7C"/>
    <w:rsid w:val="00834FE5"/>
    <w:rsid w:val="0083500D"/>
    <w:rsid w:val="00835297"/>
    <w:rsid w:val="00835A6C"/>
    <w:rsid w:val="00835CCC"/>
    <w:rsid w:val="00835EAD"/>
    <w:rsid w:val="00835F30"/>
    <w:rsid w:val="00836687"/>
    <w:rsid w:val="008375EB"/>
    <w:rsid w:val="00837E94"/>
    <w:rsid w:val="00837FBB"/>
    <w:rsid w:val="0084048A"/>
    <w:rsid w:val="0084082F"/>
    <w:rsid w:val="00840EF0"/>
    <w:rsid w:val="00841302"/>
    <w:rsid w:val="00841B6A"/>
    <w:rsid w:val="00841CCE"/>
    <w:rsid w:val="008420E4"/>
    <w:rsid w:val="00842A43"/>
    <w:rsid w:val="008436D5"/>
    <w:rsid w:val="008438DC"/>
    <w:rsid w:val="00843E0F"/>
    <w:rsid w:val="008446B4"/>
    <w:rsid w:val="00844ADE"/>
    <w:rsid w:val="00844FD2"/>
    <w:rsid w:val="00845096"/>
    <w:rsid w:val="00845242"/>
    <w:rsid w:val="00845B9B"/>
    <w:rsid w:val="00845C0C"/>
    <w:rsid w:val="00846055"/>
    <w:rsid w:val="0084674B"/>
    <w:rsid w:val="008469C7"/>
    <w:rsid w:val="00846D41"/>
    <w:rsid w:val="00846E78"/>
    <w:rsid w:val="0084727C"/>
    <w:rsid w:val="0084736E"/>
    <w:rsid w:val="008474CD"/>
    <w:rsid w:val="008475D3"/>
    <w:rsid w:val="00847776"/>
    <w:rsid w:val="00847916"/>
    <w:rsid w:val="00847C4D"/>
    <w:rsid w:val="008500C1"/>
    <w:rsid w:val="00850BB0"/>
    <w:rsid w:val="0085119E"/>
    <w:rsid w:val="00851CC5"/>
    <w:rsid w:val="00851D2C"/>
    <w:rsid w:val="00851F98"/>
    <w:rsid w:val="008521F9"/>
    <w:rsid w:val="00852263"/>
    <w:rsid w:val="00852D5E"/>
    <w:rsid w:val="0085317B"/>
    <w:rsid w:val="0085328E"/>
    <w:rsid w:val="00853F0A"/>
    <w:rsid w:val="0085462C"/>
    <w:rsid w:val="008546BE"/>
    <w:rsid w:val="0085496F"/>
    <w:rsid w:val="00854A7F"/>
    <w:rsid w:val="008555F3"/>
    <w:rsid w:val="00855879"/>
    <w:rsid w:val="00855C12"/>
    <w:rsid w:val="0085627F"/>
    <w:rsid w:val="00856344"/>
    <w:rsid w:val="008567C0"/>
    <w:rsid w:val="00856A9E"/>
    <w:rsid w:val="00856B0E"/>
    <w:rsid w:val="00856BA3"/>
    <w:rsid w:val="00856C4E"/>
    <w:rsid w:val="00856DE7"/>
    <w:rsid w:val="008579DB"/>
    <w:rsid w:val="00857A31"/>
    <w:rsid w:val="00857B7C"/>
    <w:rsid w:val="00857C39"/>
    <w:rsid w:val="00857E4F"/>
    <w:rsid w:val="00861035"/>
    <w:rsid w:val="008610A8"/>
    <w:rsid w:val="00861D31"/>
    <w:rsid w:val="00861FBA"/>
    <w:rsid w:val="00862001"/>
    <w:rsid w:val="00862019"/>
    <w:rsid w:val="0086206B"/>
    <w:rsid w:val="00862248"/>
    <w:rsid w:val="008626F6"/>
    <w:rsid w:val="00862AC4"/>
    <w:rsid w:val="00862B20"/>
    <w:rsid w:val="00862B39"/>
    <w:rsid w:val="00862DA1"/>
    <w:rsid w:val="008637F8"/>
    <w:rsid w:val="0086391F"/>
    <w:rsid w:val="008639A1"/>
    <w:rsid w:val="008644AD"/>
    <w:rsid w:val="008645AD"/>
    <w:rsid w:val="00864A46"/>
    <w:rsid w:val="00864D12"/>
    <w:rsid w:val="00864E23"/>
    <w:rsid w:val="00864F0F"/>
    <w:rsid w:val="00865289"/>
    <w:rsid w:val="008652F1"/>
    <w:rsid w:val="00865331"/>
    <w:rsid w:val="008657CA"/>
    <w:rsid w:val="00865DD5"/>
    <w:rsid w:val="0086649A"/>
    <w:rsid w:val="008667B9"/>
    <w:rsid w:val="00866B4D"/>
    <w:rsid w:val="00866C0C"/>
    <w:rsid w:val="00866DC4"/>
    <w:rsid w:val="008671C9"/>
    <w:rsid w:val="008676CB"/>
    <w:rsid w:val="00870121"/>
    <w:rsid w:val="0087093B"/>
    <w:rsid w:val="00870B5A"/>
    <w:rsid w:val="00870D14"/>
    <w:rsid w:val="0087115E"/>
    <w:rsid w:val="0087130D"/>
    <w:rsid w:val="008716CB"/>
    <w:rsid w:val="0087186A"/>
    <w:rsid w:val="008719C4"/>
    <w:rsid w:val="0087235F"/>
    <w:rsid w:val="0087345D"/>
    <w:rsid w:val="00873713"/>
    <w:rsid w:val="00873973"/>
    <w:rsid w:val="00874387"/>
    <w:rsid w:val="0087456C"/>
    <w:rsid w:val="00875068"/>
    <w:rsid w:val="008751D3"/>
    <w:rsid w:val="008756B3"/>
    <w:rsid w:val="00876394"/>
    <w:rsid w:val="008765AB"/>
    <w:rsid w:val="00876657"/>
    <w:rsid w:val="00876B84"/>
    <w:rsid w:val="00876C35"/>
    <w:rsid w:val="00876D2A"/>
    <w:rsid w:val="00877012"/>
    <w:rsid w:val="00877614"/>
    <w:rsid w:val="00877D81"/>
    <w:rsid w:val="00880550"/>
    <w:rsid w:val="0088093A"/>
    <w:rsid w:val="00881450"/>
    <w:rsid w:val="008815F1"/>
    <w:rsid w:val="008816C1"/>
    <w:rsid w:val="00881D3B"/>
    <w:rsid w:val="008826C6"/>
    <w:rsid w:val="00883322"/>
    <w:rsid w:val="00883B39"/>
    <w:rsid w:val="00883F13"/>
    <w:rsid w:val="008841EE"/>
    <w:rsid w:val="008845C7"/>
    <w:rsid w:val="00884B47"/>
    <w:rsid w:val="00884FD4"/>
    <w:rsid w:val="0088536B"/>
    <w:rsid w:val="00885C35"/>
    <w:rsid w:val="0088691E"/>
    <w:rsid w:val="00886A21"/>
    <w:rsid w:val="00886FCF"/>
    <w:rsid w:val="00887363"/>
    <w:rsid w:val="0088758A"/>
    <w:rsid w:val="008877E3"/>
    <w:rsid w:val="008878CC"/>
    <w:rsid w:val="00887C29"/>
    <w:rsid w:val="0089046C"/>
    <w:rsid w:val="00890AC9"/>
    <w:rsid w:val="00891F3E"/>
    <w:rsid w:val="00892DD7"/>
    <w:rsid w:val="00892FF3"/>
    <w:rsid w:val="0089302A"/>
    <w:rsid w:val="0089330B"/>
    <w:rsid w:val="00893497"/>
    <w:rsid w:val="00893F02"/>
    <w:rsid w:val="008942E7"/>
    <w:rsid w:val="00894709"/>
    <w:rsid w:val="0089497B"/>
    <w:rsid w:val="00894F9B"/>
    <w:rsid w:val="00895550"/>
    <w:rsid w:val="00895AA2"/>
    <w:rsid w:val="0089674A"/>
    <w:rsid w:val="00897094"/>
    <w:rsid w:val="00897286"/>
    <w:rsid w:val="00897563"/>
    <w:rsid w:val="00897815"/>
    <w:rsid w:val="008A0370"/>
    <w:rsid w:val="008A0549"/>
    <w:rsid w:val="008A0F62"/>
    <w:rsid w:val="008A2090"/>
    <w:rsid w:val="008A2300"/>
    <w:rsid w:val="008A2533"/>
    <w:rsid w:val="008A28C4"/>
    <w:rsid w:val="008A36B7"/>
    <w:rsid w:val="008A3934"/>
    <w:rsid w:val="008A3DC6"/>
    <w:rsid w:val="008A3EFE"/>
    <w:rsid w:val="008A4E4A"/>
    <w:rsid w:val="008A4FB7"/>
    <w:rsid w:val="008A517B"/>
    <w:rsid w:val="008A5402"/>
    <w:rsid w:val="008A54C8"/>
    <w:rsid w:val="008A58FE"/>
    <w:rsid w:val="008A663E"/>
    <w:rsid w:val="008A67F5"/>
    <w:rsid w:val="008A6DCA"/>
    <w:rsid w:val="008A6FBA"/>
    <w:rsid w:val="008A73ED"/>
    <w:rsid w:val="008A791B"/>
    <w:rsid w:val="008A793F"/>
    <w:rsid w:val="008B00F3"/>
    <w:rsid w:val="008B048F"/>
    <w:rsid w:val="008B08DA"/>
    <w:rsid w:val="008B0C67"/>
    <w:rsid w:val="008B0DB0"/>
    <w:rsid w:val="008B1088"/>
    <w:rsid w:val="008B19C7"/>
    <w:rsid w:val="008B248E"/>
    <w:rsid w:val="008B2598"/>
    <w:rsid w:val="008B4009"/>
    <w:rsid w:val="008B4956"/>
    <w:rsid w:val="008B52D1"/>
    <w:rsid w:val="008B52D3"/>
    <w:rsid w:val="008B532F"/>
    <w:rsid w:val="008B600B"/>
    <w:rsid w:val="008B60AB"/>
    <w:rsid w:val="008B60E2"/>
    <w:rsid w:val="008B6511"/>
    <w:rsid w:val="008B71EA"/>
    <w:rsid w:val="008B7475"/>
    <w:rsid w:val="008B7787"/>
    <w:rsid w:val="008B7DF5"/>
    <w:rsid w:val="008C070D"/>
    <w:rsid w:val="008C093D"/>
    <w:rsid w:val="008C0F61"/>
    <w:rsid w:val="008C215C"/>
    <w:rsid w:val="008C26A6"/>
    <w:rsid w:val="008C34A2"/>
    <w:rsid w:val="008C3525"/>
    <w:rsid w:val="008C390F"/>
    <w:rsid w:val="008C40CD"/>
    <w:rsid w:val="008C436C"/>
    <w:rsid w:val="008C4579"/>
    <w:rsid w:val="008C49E3"/>
    <w:rsid w:val="008C4BD5"/>
    <w:rsid w:val="008C56EE"/>
    <w:rsid w:val="008C5922"/>
    <w:rsid w:val="008C5FD7"/>
    <w:rsid w:val="008C688A"/>
    <w:rsid w:val="008D012E"/>
    <w:rsid w:val="008D02A5"/>
    <w:rsid w:val="008D0823"/>
    <w:rsid w:val="008D09A7"/>
    <w:rsid w:val="008D0CC6"/>
    <w:rsid w:val="008D194B"/>
    <w:rsid w:val="008D1AC8"/>
    <w:rsid w:val="008D1F5C"/>
    <w:rsid w:val="008D23DF"/>
    <w:rsid w:val="008D24E3"/>
    <w:rsid w:val="008D2663"/>
    <w:rsid w:val="008D2829"/>
    <w:rsid w:val="008D3349"/>
    <w:rsid w:val="008D3482"/>
    <w:rsid w:val="008D3484"/>
    <w:rsid w:val="008D369E"/>
    <w:rsid w:val="008D3817"/>
    <w:rsid w:val="008D39CD"/>
    <w:rsid w:val="008D433F"/>
    <w:rsid w:val="008D49D7"/>
    <w:rsid w:val="008D4B35"/>
    <w:rsid w:val="008D4DFC"/>
    <w:rsid w:val="008D51A7"/>
    <w:rsid w:val="008D584B"/>
    <w:rsid w:val="008D5D5F"/>
    <w:rsid w:val="008D66A2"/>
    <w:rsid w:val="008D6AA4"/>
    <w:rsid w:val="008D766F"/>
    <w:rsid w:val="008D794C"/>
    <w:rsid w:val="008E0D19"/>
    <w:rsid w:val="008E16F9"/>
    <w:rsid w:val="008E1C65"/>
    <w:rsid w:val="008E1C6D"/>
    <w:rsid w:val="008E2491"/>
    <w:rsid w:val="008E2621"/>
    <w:rsid w:val="008E31C4"/>
    <w:rsid w:val="008E3C06"/>
    <w:rsid w:val="008E3ECC"/>
    <w:rsid w:val="008E430B"/>
    <w:rsid w:val="008E6410"/>
    <w:rsid w:val="008E64EB"/>
    <w:rsid w:val="008E6658"/>
    <w:rsid w:val="008E69AC"/>
    <w:rsid w:val="008E6F00"/>
    <w:rsid w:val="008E7AF3"/>
    <w:rsid w:val="008E7B87"/>
    <w:rsid w:val="008F0291"/>
    <w:rsid w:val="008F1F71"/>
    <w:rsid w:val="008F267C"/>
    <w:rsid w:val="008F26D4"/>
    <w:rsid w:val="008F2AAD"/>
    <w:rsid w:val="008F3F33"/>
    <w:rsid w:val="008F44BD"/>
    <w:rsid w:val="008F4B6F"/>
    <w:rsid w:val="008F4C82"/>
    <w:rsid w:val="008F4E37"/>
    <w:rsid w:val="008F4F89"/>
    <w:rsid w:val="008F540C"/>
    <w:rsid w:val="008F5415"/>
    <w:rsid w:val="008F56AC"/>
    <w:rsid w:val="008F5DB7"/>
    <w:rsid w:val="008F7306"/>
    <w:rsid w:val="008F7972"/>
    <w:rsid w:val="00900744"/>
    <w:rsid w:val="009008F2"/>
    <w:rsid w:val="009008F8"/>
    <w:rsid w:val="00900907"/>
    <w:rsid w:val="00900A11"/>
    <w:rsid w:val="009012D4"/>
    <w:rsid w:val="0090140E"/>
    <w:rsid w:val="009016E8"/>
    <w:rsid w:val="00901A40"/>
    <w:rsid w:val="00901F75"/>
    <w:rsid w:val="00902308"/>
    <w:rsid w:val="009023AD"/>
    <w:rsid w:val="00902431"/>
    <w:rsid w:val="009026F3"/>
    <w:rsid w:val="009028CA"/>
    <w:rsid w:val="00902EAB"/>
    <w:rsid w:val="00903774"/>
    <w:rsid w:val="0090388A"/>
    <w:rsid w:val="00903BFD"/>
    <w:rsid w:val="0090412A"/>
    <w:rsid w:val="00904B27"/>
    <w:rsid w:val="00904E40"/>
    <w:rsid w:val="00905040"/>
    <w:rsid w:val="00905291"/>
    <w:rsid w:val="00905F6B"/>
    <w:rsid w:val="00906600"/>
    <w:rsid w:val="009068F2"/>
    <w:rsid w:val="00906D5F"/>
    <w:rsid w:val="00907A35"/>
    <w:rsid w:val="009100F6"/>
    <w:rsid w:val="00910446"/>
    <w:rsid w:val="009104FF"/>
    <w:rsid w:val="00910610"/>
    <w:rsid w:val="0091098C"/>
    <w:rsid w:val="00910E15"/>
    <w:rsid w:val="00911671"/>
    <w:rsid w:val="0091199B"/>
    <w:rsid w:val="00911AA1"/>
    <w:rsid w:val="00911C9C"/>
    <w:rsid w:val="00911F8E"/>
    <w:rsid w:val="009122B6"/>
    <w:rsid w:val="009134E5"/>
    <w:rsid w:val="00913A33"/>
    <w:rsid w:val="00914535"/>
    <w:rsid w:val="009145F7"/>
    <w:rsid w:val="00915139"/>
    <w:rsid w:val="00915D46"/>
    <w:rsid w:val="00915FBE"/>
    <w:rsid w:val="00916835"/>
    <w:rsid w:val="00916E70"/>
    <w:rsid w:val="009170DE"/>
    <w:rsid w:val="009172F2"/>
    <w:rsid w:val="009176D0"/>
    <w:rsid w:val="00917E2C"/>
    <w:rsid w:val="00920AEA"/>
    <w:rsid w:val="00921789"/>
    <w:rsid w:val="0092282C"/>
    <w:rsid w:val="009228C1"/>
    <w:rsid w:val="00923335"/>
    <w:rsid w:val="0092334F"/>
    <w:rsid w:val="00923BD9"/>
    <w:rsid w:val="00923F2E"/>
    <w:rsid w:val="00924AD9"/>
    <w:rsid w:val="00924DCE"/>
    <w:rsid w:val="00925847"/>
    <w:rsid w:val="00925B2E"/>
    <w:rsid w:val="00925E33"/>
    <w:rsid w:val="00926328"/>
    <w:rsid w:val="009269D2"/>
    <w:rsid w:val="00926A7F"/>
    <w:rsid w:val="00926A9E"/>
    <w:rsid w:val="00927B26"/>
    <w:rsid w:val="00927E4D"/>
    <w:rsid w:val="0093014E"/>
    <w:rsid w:val="00930263"/>
    <w:rsid w:val="00930BAA"/>
    <w:rsid w:val="009315A3"/>
    <w:rsid w:val="00931748"/>
    <w:rsid w:val="00931A25"/>
    <w:rsid w:val="009323AE"/>
    <w:rsid w:val="0093332A"/>
    <w:rsid w:val="009333BB"/>
    <w:rsid w:val="0093381B"/>
    <w:rsid w:val="009340E3"/>
    <w:rsid w:val="0093456C"/>
    <w:rsid w:val="009349AB"/>
    <w:rsid w:val="00934DC4"/>
    <w:rsid w:val="009353C7"/>
    <w:rsid w:val="0093562B"/>
    <w:rsid w:val="009356C1"/>
    <w:rsid w:val="009358D4"/>
    <w:rsid w:val="00935B96"/>
    <w:rsid w:val="00935E2F"/>
    <w:rsid w:val="00936827"/>
    <w:rsid w:val="00936C53"/>
    <w:rsid w:val="00937A74"/>
    <w:rsid w:val="00937C4F"/>
    <w:rsid w:val="00937D82"/>
    <w:rsid w:val="009404D6"/>
    <w:rsid w:val="009408C2"/>
    <w:rsid w:val="009415EB"/>
    <w:rsid w:val="009418D8"/>
    <w:rsid w:val="00941BB7"/>
    <w:rsid w:val="0094300A"/>
    <w:rsid w:val="00943314"/>
    <w:rsid w:val="009437E9"/>
    <w:rsid w:val="00943A67"/>
    <w:rsid w:val="00943CE1"/>
    <w:rsid w:val="00943EFA"/>
    <w:rsid w:val="009447A3"/>
    <w:rsid w:val="0094481B"/>
    <w:rsid w:val="00944B78"/>
    <w:rsid w:val="00944C45"/>
    <w:rsid w:val="00944E51"/>
    <w:rsid w:val="00944FB4"/>
    <w:rsid w:val="00945274"/>
    <w:rsid w:val="00945596"/>
    <w:rsid w:val="00945A25"/>
    <w:rsid w:val="00945B39"/>
    <w:rsid w:val="0094658B"/>
    <w:rsid w:val="00946982"/>
    <w:rsid w:val="0094735E"/>
    <w:rsid w:val="0094743F"/>
    <w:rsid w:val="00947C07"/>
    <w:rsid w:val="00950161"/>
    <w:rsid w:val="009511A5"/>
    <w:rsid w:val="00951443"/>
    <w:rsid w:val="0095159B"/>
    <w:rsid w:val="00951A0A"/>
    <w:rsid w:val="00951BEE"/>
    <w:rsid w:val="00951F6F"/>
    <w:rsid w:val="00952078"/>
    <w:rsid w:val="009520B1"/>
    <w:rsid w:val="00952244"/>
    <w:rsid w:val="00952282"/>
    <w:rsid w:val="009526B8"/>
    <w:rsid w:val="0095288C"/>
    <w:rsid w:val="00953081"/>
    <w:rsid w:val="00953707"/>
    <w:rsid w:val="0095471A"/>
    <w:rsid w:val="00954EDD"/>
    <w:rsid w:val="009550A6"/>
    <w:rsid w:val="0095537B"/>
    <w:rsid w:val="009553C6"/>
    <w:rsid w:val="00955FDB"/>
    <w:rsid w:val="0095611C"/>
    <w:rsid w:val="00956236"/>
    <w:rsid w:val="009567E3"/>
    <w:rsid w:val="009569B8"/>
    <w:rsid w:val="00956BFB"/>
    <w:rsid w:val="00956DB0"/>
    <w:rsid w:val="00956DFE"/>
    <w:rsid w:val="00956F82"/>
    <w:rsid w:val="0095745C"/>
    <w:rsid w:val="00957C31"/>
    <w:rsid w:val="00957E03"/>
    <w:rsid w:val="009609E1"/>
    <w:rsid w:val="00960F94"/>
    <w:rsid w:val="009611F2"/>
    <w:rsid w:val="009615EC"/>
    <w:rsid w:val="009616A9"/>
    <w:rsid w:val="00961E1B"/>
    <w:rsid w:val="009620B1"/>
    <w:rsid w:val="0096257C"/>
    <w:rsid w:val="00963870"/>
    <w:rsid w:val="00963D63"/>
    <w:rsid w:val="00963E16"/>
    <w:rsid w:val="00964467"/>
    <w:rsid w:val="00964A72"/>
    <w:rsid w:val="00964AF5"/>
    <w:rsid w:val="00965B71"/>
    <w:rsid w:val="00965F4F"/>
    <w:rsid w:val="00966232"/>
    <w:rsid w:val="00966D22"/>
    <w:rsid w:val="00966ECC"/>
    <w:rsid w:val="00966ED1"/>
    <w:rsid w:val="00967488"/>
    <w:rsid w:val="009676BE"/>
    <w:rsid w:val="009702B6"/>
    <w:rsid w:val="009705DF"/>
    <w:rsid w:val="0097078D"/>
    <w:rsid w:val="0097089F"/>
    <w:rsid w:val="009709BF"/>
    <w:rsid w:val="0097168D"/>
    <w:rsid w:val="00972124"/>
    <w:rsid w:val="00972442"/>
    <w:rsid w:val="009725F4"/>
    <w:rsid w:val="00972BC8"/>
    <w:rsid w:val="0097308E"/>
    <w:rsid w:val="00973669"/>
    <w:rsid w:val="00973727"/>
    <w:rsid w:val="0097445D"/>
    <w:rsid w:val="0097451A"/>
    <w:rsid w:val="00975406"/>
    <w:rsid w:val="00975876"/>
    <w:rsid w:val="00976DF1"/>
    <w:rsid w:val="00977C1B"/>
    <w:rsid w:val="00977D0D"/>
    <w:rsid w:val="0098003F"/>
    <w:rsid w:val="00981292"/>
    <w:rsid w:val="009821AF"/>
    <w:rsid w:val="00982A58"/>
    <w:rsid w:val="00983370"/>
    <w:rsid w:val="00983B46"/>
    <w:rsid w:val="00983FE2"/>
    <w:rsid w:val="00984301"/>
    <w:rsid w:val="009844B5"/>
    <w:rsid w:val="0098478C"/>
    <w:rsid w:val="00985234"/>
    <w:rsid w:val="009856C0"/>
    <w:rsid w:val="00985987"/>
    <w:rsid w:val="00986037"/>
    <w:rsid w:val="00986244"/>
    <w:rsid w:val="0098729C"/>
    <w:rsid w:val="00987611"/>
    <w:rsid w:val="00987BD2"/>
    <w:rsid w:val="009901EF"/>
    <w:rsid w:val="009906FC"/>
    <w:rsid w:val="0099146F"/>
    <w:rsid w:val="00991685"/>
    <w:rsid w:val="009926E2"/>
    <w:rsid w:val="00992A44"/>
    <w:rsid w:val="00992ACE"/>
    <w:rsid w:val="009934CE"/>
    <w:rsid w:val="00993705"/>
    <w:rsid w:val="00993B32"/>
    <w:rsid w:val="00993DC2"/>
    <w:rsid w:val="0099447D"/>
    <w:rsid w:val="009945C3"/>
    <w:rsid w:val="00994A86"/>
    <w:rsid w:val="0099500B"/>
    <w:rsid w:val="00995398"/>
    <w:rsid w:val="00995441"/>
    <w:rsid w:val="00995737"/>
    <w:rsid w:val="00995D3B"/>
    <w:rsid w:val="00995E40"/>
    <w:rsid w:val="009961EC"/>
    <w:rsid w:val="00996297"/>
    <w:rsid w:val="00996DD5"/>
    <w:rsid w:val="009973AB"/>
    <w:rsid w:val="009976D0"/>
    <w:rsid w:val="00997807"/>
    <w:rsid w:val="00997B72"/>
    <w:rsid w:val="00997FCA"/>
    <w:rsid w:val="009A02AB"/>
    <w:rsid w:val="009A0A1A"/>
    <w:rsid w:val="009A1058"/>
    <w:rsid w:val="009A15FD"/>
    <w:rsid w:val="009A16E4"/>
    <w:rsid w:val="009A221D"/>
    <w:rsid w:val="009A2965"/>
    <w:rsid w:val="009A331A"/>
    <w:rsid w:val="009A378E"/>
    <w:rsid w:val="009A4004"/>
    <w:rsid w:val="009A41A0"/>
    <w:rsid w:val="009A4BAC"/>
    <w:rsid w:val="009A5641"/>
    <w:rsid w:val="009A58F2"/>
    <w:rsid w:val="009A62A4"/>
    <w:rsid w:val="009A6BE8"/>
    <w:rsid w:val="009A70E0"/>
    <w:rsid w:val="009A755E"/>
    <w:rsid w:val="009A76B9"/>
    <w:rsid w:val="009A7A16"/>
    <w:rsid w:val="009A7B65"/>
    <w:rsid w:val="009A7C65"/>
    <w:rsid w:val="009A7DD3"/>
    <w:rsid w:val="009B02BC"/>
    <w:rsid w:val="009B0761"/>
    <w:rsid w:val="009B0853"/>
    <w:rsid w:val="009B0B39"/>
    <w:rsid w:val="009B0EF0"/>
    <w:rsid w:val="009B122B"/>
    <w:rsid w:val="009B1384"/>
    <w:rsid w:val="009B1592"/>
    <w:rsid w:val="009B1F40"/>
    <w:rsid w:val="009B2617"/>
    <w:rsid w:val="009B2B72"/>
    <w:rsid w:val="009B3481"/>
    <w:rsid w:val="009B37A2"/>
    <w:rsid w:val="009B3D8D"/>
    <w:rsid w:val="009B4257"/>
    <w:rsid w:val="009B43F8"/>
    <w:rsid w:val="009B4FDA"/>
    <w:rsid w:val="009B50C7"/>
    <w:rsid w:val="009B5598"/>
    <w:rsid w:val="009B5A0F"/>
    <w:rsid w:val="009B5D3A"/>
    <w:rsid w:val="009B6143"/>
    <w:rsid w:val="009B6586"/>
    <w:rsid w:val="009B6C2A"/>
    <w:rsid w:val="009B739A"/>
    <w:rsid w:val="009B76C5"/>
    <w:rsid w:val="009B78C5"/>
    <w:rsid w:val="009B7EAA"/>
    <w:rsid w:val="009C0E2A"/>
    <w:rsid w:val="009C1AEB"/>
    <w:rsid w:val="009C1BA6"/>
    <w:rsid w:val="009C2B83"/>
    <w:rsid w:val="009C357B"/>
    <w:rsid w:val="009C394A"/>
    <w:rsid w:val="009C3CCF"/>
    <w:rsid w:val="009C4E7A"/>
    <w:rsid w:val="009C5632"/>
    <w:rsid w:val="009C5AE7"/>
    <w:rsid w:val="009C5D81"/>
    <w:rsid w:val="009C60CE"/>
    <w:rsid w:val="009C613A"/>
    <w:rsid w:val="009C6495"/>
    <w:rsid w:val="009C65E9"/>
    <w:rsid w:val="009C66EA"/>
    <w:rsid w:val="009C74BD"/>
    <w:rsid w:val="009C74D2"/>
    <w:rsid w:val="009C75E8"/>
    <w:rsid w:val="009C7F16"/>
    <w:rsid w:val="009D0D68"/>
    <w:rsid w:val="009D0E53"/>
    <w:rsid w:val="009D1146"/>
    <w:rsid w:val="009D1412"/>
    <w:rsid w:val="009D1FEB"/>
    <w:rsid w:val="009D2511"/>
    <w:rsid w:val="009D292D"/>
    <w:rsid w:val="009D2AD3"/>
    <w:rsid w:val="009D364B"/>
    <w:rsid w:val="009D378C"/>
    <w:rsid w:val="009D3860"/>
    <w:rsid w:val="009D3AB7"/>
    <w:rsid w:val="009D3F56"/>
    <w:rsid w:val="009D4123"/>
    <w:rsid w:val="009D44B9"/>
    <w:rsid w:val="009D4E4C"/>
    <w:rsid w:val="009D5850"/>
    <w:rsid w:val="009D58C7"/>
    <w:rsid w:val="009D67BD"/>
    <w:rsid w:val="009D70F6"/>
    <w:rsid w:val="009D72C2"/>
    <w:rsid w:val="009D774B"/>
    <w:rsid w:val="009D7F96"/>
    <w:rsid w:val="009D7F9E"/>
    <w:rsid w:val="009E026B"/>
    <w:rsid w:val="009E0439"/>
    <w:rsid w:val="009E097D"/>
    <w:rsid w:val="009E147E"/>
    <w:rsid w:val="009E186D"/>
    <w:rsid w:val="009E2199"/>
    <w:rsid w:val="009E27F2"/>
    <w:rsid w:val="009E28A5"/>
    <w:rsid w:val="009E2DC0"/>
    <w:rsid w:val="009E3512"/>
    <w:rsid w:val="009E385A"/>
    <w:rsid w:val="009E38AF"/>
    <w:rsid w:val="009E39EA"/>
    <w:rsid w:val="009E4023"/>
    <w:rsid w:val="009E40E1"/>
    <w:rsid w:val="009E470F"/>
    <w:rsid w:val="009E58E6"/>
    <w:rsid w:val="009E5C7A"/>
    <w:rsid w:val="009E693B"/>
    <w:rsid w:val="009E6C1A"/>
    <w:rsid w:val="009E7699"/>
    <w:rsid w:val="009F0D14"/>
    <w:rsid w:val="009F104E"/>
    <w:rsid w:val="009F1E58"/>
    <w:rsid w:val="009F2D7B"/>
    <w:rsid w:val="009F3208"/>
    <w:rsid w:val="009F4A26"/>
    <w:rsid w:val="009F53DD"/>
    <w:rsid w:val="009F5EEA"/>
    <w:rsid w:val="009F6292"/>
    <w:rsid w:val="009F6331"/>
    <w:rsid w:val="009F64D5"/>
    <w:rsid w:val="009F69E7"/>
    <w:rsid w:val="009F6B1E"/>
    <w:rsid w:val="009F6D6C"/>
    <w:rsid w:val="009F6E02"/>
    <w:rsid w:val="009F6F2B"/>
    <w:rsid w:val="009F764E"/>
    <w:rsid w:val="009F79A2"/>
    <w:rsid w:val="00A003EF"/>
    <w:rsid w:val="00A006FE"/>
    <w:rsid w:val="00A00E1D"/>
    <w:rsid w:val="00A017B3"/>
    <w:rsid w:val="00A018D4"/>
    <w:rsid w:val="00A01C3F"/>
    <w:rsid w:val="00A02020"/>
    <w:rsid w:val="00A02FAD"/>
    <w:rsid w:val="00A032E1"/>
    <w:rsid w:val="00A03745"/>
    <w:rsid w:val="00A03EFA"/>
    <w:rsid w:val="00A05C13"/>
    <w:rsid w:val="00A06AB0"/>
    <w:rsid w:val="00A06EFB"/>
    <w:rsid w:val="00A07887"/>
    <w:rsid w:val="00A07910"/>
    <w:rsid w:val="00A10323"/>
    <w:rsid w:val="00A104F8"/>
    <w:rsid w:val="00A10548"/>
    <w:rsid w:val="00A10AC9"/>
    <w:rsid w:val="00A10BB1"/>
    <w:rsid w:val="00A11125"/>
    <w:rsid w:val="00A117F6"/>
    <w:rsid w:val="00A11932"/>
    <w:rsid w:val="00A11BD4"/>
    <w:rsid w:val="00A11CDC"/>
    <w:rsid w:val="00A12592"/>
    <w:rsid w:val="00A12797"/>
    <w:rsid w:val="00A12915"/>
    <w:rsid w:val="00A12923"/>
    <w:rsid w:val="00A12B68"/>
    <w:rsid w:val="00A12F48"/>
    <w:rsid w:val="00A134AA"/>
    <w:rsid w:val="00A13555"/>
    <w:rsid w:val="00A13E00"/>
    <w:rsid w:val="00A13F7C"/>
    <w:rsid w:val="00A148BB"/>
    <w:rsid w:val="00A14932"/>
    <w:rsid w:val="00A14A36"/>
    <w:rsid w:val="00A14AEA"/>
    <w:rsid w:val="00A14B5D"/>
    <w:rsid w:val="00A14DB4"/>
    <w:rsid w:val="00A15262"/>
    <w:rsid w:val="00A15C8A"/>
    <w:rsid w:val="00A15D41"/>
    <w:rsid w:val="00A16538"/>
    <w:rsid w:val="00A16F4C"/>
    <w:rsid w:val="00A171A9"/>
    <w:rsid w:val="00A175B7"/>
    <w:rsid w:val="00A175F1"/>
    <w:rsid w:val="00A178D0"/>
    <w:rsid w:val="00A17ED1"/>
    <w:rsid w:val="00A20096"/>
    <w:rsid w:val="00A202E9"/>
    <w:rsid w:val="00A20411"/>
    <w:rsid w:val="00A20643"/>
    <w:rsid w:val="00A20CC3"/>
    <w:rsid w:val="00A224F8"/>
    <w:rsid w:val="00A225C5"/>
    <w:rsid w:val="00A22677"/>
    <w:rsid w:val="00A22761"/>
    <w:rsid w:val="00A23301"/>
    <w:rsid w:val="00A23384"/>
    <w:rsid w:val="00A23624"/>
    <w:rsid w:val="00A23741"/>
    <w:rsid w:val="00A237A4"/>
    <w:rsid w:val="00A251C4"/>
    <w:rsid w:val="00A256F6"/>
    <w:rsid w:val="00A25BE9"/>
    <w:rsid w:val="00A25F41"/>
    <w:rsid w:val="00A27325"/>
    <w:rsid w:val="00A2794A"/>
    <w:rsid w:val="00A27AD7"/>
    <w:rsid w:val="00A30602"/>
    <w:rsid w:val="00A30828"/>
    <w:rsid w:val="00A3100D"/>
    <w:rsid w:val="00A31711"/>
    <w:rsid w:val="00A31E8A"/>
    <w:rsid w:val="00A3269A"/>
    <w:rsid w:val="00A326E1"/>
    <w:rsid w:val="00A328F2"/>
    <w:rsid w:val="00A32A5E"/>
    <w:rsid w:val="00A33464"/>
    <w:rsid w:val="00A33668"/>
    <w:rsid w:val="00A338F4"/>
    <w:rsid w:val="00A33C81"/>
    <w:rsid w:val="00A3423D"/>
    <w:rsid w:val="00A34633"/>
    <w:rsid w:val="00A34F69"/>
    <w:rsid w:val="00A35007"/>
    <w:rsid w:val="00A3674D"/>
    <w:rsid w:val="00A37231"/>
    <w:rsid w:val="00A37AF1"/>
    <w:rsid w:val="00A40EE2"/>
    <w:rsid w:val="00A412BE"/>
    <w:rsid w:val="00A41EFA"/>
    <w:rsid w:val="00A429E0"/>
    <w:rsid w:val="00A42BA4"/>
    <w:rsid w:val="00A430B5"/>
    <w:rsid w:val="00A432F3"/>
    <w:rsid w:val="00A434C8"/>
    <w:rsid w:val="00A442E5"/>
    <w:rsid w:val="00A4449C"/>
    <w:rsid w:val="00A44506"/>
    <w:rsid w:val="00A447E0"/>
    <w:rsid w:val="00A44850"/>
    <w:rsid w:val="00A44B7A"/>
    <w:rsid w:val="00A44BD9"/>
    <w:rsid w:val="00A4503C"/>
    <w:rsid w:val="00A454A2"/>
    <w:rsid w:val="00A45E9F"/>
    <w:rsid w:val="00A46274"/>
    <w:rsid w:val="00A46BF2"/>
    <w:rsid w:val="00A46DE5"/>
    <w:rsid w:val="00A47064"/>
    <w:rsid w:val="00A47134"/>
    <w:rsid w:val="00A47960"/>
    <w:rsid w:val="00A479A0"/>
    <w:rsid w:val="00A47C7A"/>
    <w:rsid w:val="00A47F78"/>
    <w:rsid w:val="00A5046C"/>
    <w:rsid w:val="00A51003"/>
    <w:rsid w:val="00A5172C"/>
    <w:rsid w:val="00A51737"/>
    <w:rsid w:val="00A51AE0"/>
    <w:rsid w:val="00A51FF7"/>
    <w:rsid w:val="00A526BE"/>
    <w:rsid w:val="00A5296C"/>
    <w:rsid w:val="00A52ABB"/>
    <w:rsid w:val="00A52D97"/>
    <w:rsid w:val="00A533A0"/>
    <w:rsid w:val="00A540E9"/>
    <w:rsid w:val="00A5422F"/>
    <w:rsid w:val="00A54544"/>
    <w:rsid w:val="00A5495A"/>
    <w:rsid w:val="00A555E4"/>
    <w:rsid w:val="00A55DCE"/>
    <w:rsid w:val="00A5601C"/>
    <w:rsid w:val="00A561FA"/>
    <w:rsid w:val="00A5643E"/>
    <w:rsid w:val="00A564E2"/>
    <w:rsid w:val="00A56893"/>
    <w:rsid w:val="00A56F73"/>
    <w:rsid w:val="00A5723B"/>
    <w:rsid w:val="00A57246"/>
    <w:rsid w:val="00A575D7"/>
    <w:rsid w:val="00A57F1B"/>
    <w:rsid w:val="00A6034E"/>
    <w:rsid w:val="00A60389"/>
    <w:rsid w:val="00A6073D"/>
    <w:rsid w:val="00A60743"/>
    <w:rsid w:val="00A60C3E"/>
    <w:rsid w:val="00A60DE4"/>
    <w:rsid w:val="00A619BE"/>
    <w:rsid w:val="00A62282"/>
    <w:rsid w:val="00A6295C"/>
    <w:rsid w:val="00A62987"/>
    <w:rsid w:val="00A62D75"/>
    <w:rsid w:val="00A62E72"/>
    <w:rsid w:val="00A63347"/>
    <w:rsid w:val="00A63608"/>
    <w:rsid w:val="00A63636"/>
    <w:rsid w:val="00A63D66"/>
    <w:rsid w:val="00A6458D"/>
    <w:rsid w:val="00A64677"/>
    <w:rsid w:val="00A64749"/>
    <w:rsid w:val="00A651F2"/>
    <w:rsid w:val="00A6567C"/>
    <w:rsid w:val="00A658E3"/>
    <w:rsid w:val="00A65A94"/>
    <w:rsid w:val="00A65B1B"/>
    <w:rsid w:val="00A66715"/>
    <w:rsid w:val="00A66738"/>
    <w:rsid w:val="00A66ACC"/>
    <w:rsid w:val="00A66F53"/>
    <w:rsid w:val="00A6742B"/>
    <w:rsid w:val="00A67B64"/>
    <w:rsid w:val="00A70254"/>
    <w:rsid w:val="00A70277"/>
    <w:rsid w:val="00A70E62"/>
    <w:rsid w:val="00A7106F"/>
    <w:rsid w:val="00A7143A"/>
    <w:rsid w:val="00A71F5F"/>
    <w:rsid w:val="00A725EA"/>
    <w:rsid w:val="00A72CD9"/>
    <w:rsid w:val="00A73054"/>
    <w:rsid w:val="00A73454"/>
    <w:rsid w:val="00A7412C"/>
    <w:rsid w:val="00A741CC"/>
    <w:rsid w:val="00A74AAC"/>
    <w:rsid w:val="00A74CC1"/>
    <w:rsid w:val="00A7519F"/>
    <w:rsid w:val="00A76EDE"/>
    <w:rsid w:val="00A770C1"/>
    <w:rsid w:val="00A770F6"/>
    <w:rsid w:val="00A77AB3"/>
    <w:rsid w:val="00A77DF9"/>
    <w:rsid w:val="00A80541"/>
    <w:rsid w:val="00A80E97"/>
    <w:rsid w:val="00A80FEB"/>
    <w:rsid w:val="00A81191"/>
    <w:rsid w:val="00A813AC"/>
    <w:rsid w:val="00A813DA"/>
    <w:rsid w:val="00A814DE"/>
    <w:rsid w:val="00A81C51"/>
    <w:rsid w:val="00A8257D"/>
    <w:rsid w:val="00A8311A"/>
    <w:rsid w:val="00A8322F"/>
    <w:rsid w:val="00A83C7C"/>
    <w:rsid w:val="00A843B7"/>
    <w:rsid w:val="00A84871"/>
    <w:rsid w:val="00A84FF8"/>
    <w:rsid w:val="00A850D2"/>
    <w:rsid w:val="00A85449"/>
    <w:rsid w:val="00A86055"/>
    <w:rsid w:val="00A862C3"/>
    <w:rsid w:val="00A86385"/>
    <w:rsid w:val="00A8656A"/>
    <w:rsid w:val="00A869E9"/>
    <w:rsid w:val="00A870D1"/>
    <w:rsid w:val="00A8716C"/>
    <w:rsid w:val="00A875D2"/>
    <w:rsid w:val="00A87820"/>
    <w:rsid w:val="00A87A9D"/>
    <w:rsid w:val="00A87B90"/>
    <w:rsid w:val="00A90581"/>
    <w:rsid w:val="00A905C2"/>
    <w:rsid w:val="00A90691"/>
    <w:rsid w:val="00A90921"/>
    <w:rsid w:val="00A90E71"/>
    <w:rsid w:val="00A911BE"/>
    <w:rsid w:val="00A91457"/>
    <w:rsid w:val="00A91AFF"/>
    <w:rsid w:val="00A92650"/>
    <w:rsid w:val="00A928D3"/>
    <w:rsid w:val="00A92AAD"/>
    <w:rsid w:val="00A92B80"/>
    <w:rsid w:val="00A93979"/>
    <w:rsid w:val="00A94276"/>
    <w:rsid w:val="00A9475A"/>
    <w:rsid w:val="00A947D9"/>
    <w:rsid w:val="00A94C55"/>
    <w:rsid w:val="00A95280"/>
    <w:rsid w:val="00A95316"/>
    <w:rsid w:val="00A95CF9"/>
    <w:rsid w:val="00A96962"/>
    <w:rsid w:val="00A96A21"/>
    <w:rsid w:val="00A97229"/>
    <w:rsid w:val="00A9762F"/>
    <w:rsid w:val="00A97899"/>
    <w:rsid w:val="00A97A84"/>
    <w:rsid w:val="00AA010F"/>
    <w:rsid w:val="00AA04BD"/>
    <w:rsid w:val="00AA0A55"/>
    <w:rsid w:val="00AA0D04"/>
    <w:rsid w:val="00AA0DB3"/>
    <w:rsid w:val="00AA0F28"/>
    <w:rsid w:val="00AA1152"/>
    <w:rsid w:val="00AA1D7A"/>
    <w:rsid w:val="00AA23BD"/>
    <w:rsid w:val="00AA265C"/>
    <w:rsid w:val="00AA2BB8"/>
    <w:rsid w:val="00AA3109"/>
    <w:rsid w:val="00AA32F8"/>
    <w:rsid w:val="00AA3620"/>
    <w:rsid w:val="00AA3787"/>
    <w:rsid w:val="00AA378C"/>
    <w:rsid w:val="00AA3A28"/>
    <w:rsid w:val="00AA3A41"/>
    <w:rsid w:val="00AA46D2"/>
    <w:rsid w:val="00AA4DAF"/>
    <w:rsid w:val="00AA4F85"/>
    <w:rsid w:val="00AA52A3"/>
    <w:rsid w:val="00AA55EE"/>
    <w:rsid w:val="00AA588F"/>
    <w:rsid w:val="00AA625D"/>
    <w:rsid w:val="00AA66B9"/>
    <w:rsid w:val="00AA68A8"/>
    <w:rsid w:val="00AA6D22"/>
    <w:rsid w:val="00AA6D68"/>
    <w:rsid w:val="00AA76F1"/>
    <w:rsid w:val="00AB001D"/>
    <w:rsid w:val="00AB08B1"/>
    <w:rsid w:val="00AB0D6A"/>
    <w:rsid w:val="00AB11D3"/>
    <w:rsid w:val="00AB11F1"/>
    <w:rsid w:val="00AB200C"/>
    <w:rsid w:val="00AB20DA"/>
    <w:rsid w:val="00AB260E"/>
    <w:rsid w:val="00AB266C"/>
    <w:rsid w:val="00AB2A39"/>
    <w:rsid w:val="00AB2AE1"/>
    <w:rsid w:val="00AB38B4"/>
    <w:rsid w:val="00AB39FB"/>
    <w:rsid w:val="00AB3D2E"/>
    <w:rsid w:val="00AB3E77"/>
    <w:rsid w:val="00AB484C"/>
    <w:rsid w:val="00AB4BBB"/>
    <w:rsid w:val="00AB4C33"/>
    <w:rsid w:val="00AB4D3F"/>
    <w:rsid w:val="00AB4F35"/>
    <w:rsid w:val="00AB4FE1"/>
    <w:rsid w:val="00AB50AA"/>
    <w:rsid w:val="00AB527A"/>
    <w:rsid w:val="00AB559A"/>
    <w:rsid w:val="00AB60CB"/>
    <w:rsid w:val="00AB61CB"/>
    <w:rsid w:val="00AB6240"/>
    <w:rsid w:val="00AB6873"/>
    <w:rsid w:val="00AB7284"/>
    <w:rsid w:val="00AB7E25"/>
    <w:rsid w:val="00AC0487"/>
    <w:rsid w:val="00AC0646"/>
    <w:rsid w:val="00AC08FB"/>
    <w:rsid w:val="00AC10EE"/>
    <w:rsid w:val="00AC1418"/>
    <w:rsid w:val="00AC161E"/>
    <w:rsid w:val="00AC165B"/>
    <w:rsid w:val="00AC185D"/>
    <w:rsid w:val="00AC2111"/>
    <w:rsid w:val="00AC23D5"/>
    <w:rsid w:val="00AC3342"/>
    <w:rsid w:val="00AC3C55"/>
    <w:rsid w:val="00AC3EF2"/>
    <w:rsid w:val="00AC47C0"/>
    <w:rsid w:val="00AC4BE4"/>
    <w:rsid w:val="00AC4C6C"/>
    <w:rsid w:val="00AC53A7"/>
    <w:rsid w:val="00AC5AA5"/>
    <w:rsid w:val="00AC64F8"/>
    <w:rsid w:val="00AC68F1"/>
    <w:rsid w:val="00AC79E3"/>
    <w:rsid w:val="00AC7BB6"/>
    <w:rsid w:val="00AC7DF9"/>
    <w:rsid w:val="00AD0017"/>
    <w:rsid w:val="00AD07C2"/>
    <w:rsid w:val="00AD0841"/>
    <w:rsid w:val="00AD0E97"/>
    <w:rsid w:val="00AD16DC"/>
    <w:rsid w:val="00AD1B29"/>
    <w:rsid w:val="00AD1F69"/>
    <w:rsid w:val="00AD2361"/>
    <w:rsid w:val="00AD282D"/>
    <w:rsid w:val="00AD2C8C"/>
    <w:rsid w:val="00AD2F85"/>
    <w:rsid w:val="00AD3ABC"/>
    <w:rsid w:val="00AD3C71"/>
    <w:rsid w:val="00AD4883"/>
    <w:rsid w:val="00AD4B90"/>
    <w:rsid w:val="00AD5583"/>
    <w:rsid w:val="00AD631B"/>
    <w:rsid w:val="00AD6891"/>
    <w:rsid w:val="00AD6DA0"/>
    <w:rsid w:val="00AD71C0"/>
    <w:rsid w:val="00AD7470"/>
    <w:rsid w:val="00AD75EE"/>
    <w:rsid w:val="00AE01D5"/>
    <w:rsid w:val="00AE06AA"/>
    <w:rsid w:val="00AE0C10"/>
    <w:rsid w:val="00AE129E"/>
    <w:rsid w:val="00AE16C4"/>
    <w:rsid w:val="00AE1917"/>
    <w:rsid w:val="00AE1972"/>
    <w:rsid w:val="00AE1DB6"/>
    <w:rsid w:val="00AE232C"/>
    <w:rsid w:val="00AE237C"/>
    <w:rsid w:val="00AE25E2"/>
    <w:rsid w:val="00AE2880"/>
    <w:rsid w:val="00AE3220"/>
    <w:rsid w:val="00AE3B11"/>
    <w:rsid w:val="00AE46E7"/>
    <w:rsid w:val="00AE4731"/>
    <w:rsid w:val="00AE4DAB"/>
    <w:rsid w:val="00AE5A55"/>
    <w:rsid w:val="00AE621D"/>
    <w:rsid w:val="00AE6466"/>
    <w:rsid w:val="00AE64F4"/>
    <w:rsid w:val="00AE6A81"/>
    <w:rsid w:val="00AE6D30"/>
    <w:rsid w:val="00AE6D3B"/>
    <w:rsid w:val="00AE712C"/>
    <w:rsid w:val="00AE72CC"/>
    <w:rsid w:val="00AE77A9"/>
    <w:rsid w:val="00AE7F29"/>
    <w:rsid w:val="00AE7FC9"/>
    <w:rsid w:val="00AF101A"/>
    <w:rsid w:val="00AF12E4"/>
    <w:rsid w:val="00AF1BC7"/>
    <w:rsid w:val="00AF1C1C"/>
    <w:rsid w:val="00AF1F7D"/>
    <w:rsid w:val="00AF205E"/>
    <w:rsid w:val="00AF230A"/>
    <w:rsid w:val="00AF29CA"/>
    <w:rsid w:val="00AF2BDA"/>
    <w:rsid w:val="00AF30E8"/>
    <w:rsid w:val="00AF30F0"/>
    <w:rsid w:val="00AF3687"/>
    <w:rsid w:val="00AF385B"/>
    <w:rsid w:val="00AF550B"/>
    <w:rsid w:val="00AF5649"/>
    <w:rsid w:val="00AF574F"/>
    <w:rsid w:val="00AF5AFB"/>
    <w:rsid w:val="00AF6970"/>
    <w:rsid w:val="00AF7190"/>
    <w:rsid w:val="00AF7AD6"/>
    <w:rsid w:val="00B00A11"/>
    <w:rsid w:val="00B00ED0"/>
    <w:rsid w:val="00B0123F"/>
    <w:rsid w:val="00B01978"/>
    <w:rsid w:val="00B01B15"/>
    <w:rsid w:val="00B01BA4"/>
    <w:rsid w:val="00B02670"/>
    <w:rsid w:val="00B02904"/>
    <w:rsid w:val="00B02B95"/>
    <w:rsid w:val="00B02C5F"/>
    <w:rsid w:val="00B02FC5"/>
    <w:rsid w:val="00B032DE"/>
    <w:rsid w:val="00B03D4F"/>
    <w:rsid w:val="00B03F1D"/>
    <w:rsid w:val="00B042E6"/>
    <w:rsid w:val="00B049D2"/>
    <w:rsid w:val="00B062C6"/>
    <w:rsid w:val="00B06902"/>
    <w:rsid w:val="00B06A84"/>
    <w:rsid w:val="00B06C3E"/>
    <w:rsid w:val="00B07423"/>
    <w:rsid w:val="00B07427"/>
    <w:rsid w:val="00B0742B"/>
    <w:rsid w:val="00B07818"/>
    <w:rsid w:val="00B07CBA"/>
    <w:rsid w:val="00B07E06"/>
    <w:rsid w:val="00B10D41"/>
    <w:rsid w:val="00B10E2D"/>
    <w:rsid w:val="00B11011"/>
    <w:rsid w:val="00B12152"/>
    <w:rsid w:val="00B1280F"/>
    <w:rsid w:val="00B128EE"/>
    <w:rsid w:val="00B139EE"/>
    <w:rsid w:val="00B14008"/>
    <w:rsid w:val="00B14519"/>
    <w:rsid w:val="00B14746"/>
    <w:rsid w:val="00B1488E"/>
    <w:rsid w:val="00B14E9C"/>
    <w:rsid w:val="00B14FA1"/>
    <w:rsid w:val="00B15367"/>
    <w:rsid w:val="00B153A6"/>
    <w:rsid w:val="00B15707"/>
    <w:rsid w:val="00B15FA1"/>
    <w:rsid w:val="00B16353"/>
    <w:rsid w:val="00B16422"/>
    <w:rsid w:val="00B1652C"/>
    <w:rsid w:val="00B16562"/>
    <w:rsid w:val="00B16A26"/>
    <w:rsid w:val="00B17288"/>
    <w:rsid w:val="00B20541"/>
    <w:rsid w:val="00B20856"/>
    <w:rsid w:val="00B20988"/>
    <w:rsid w:val="00B20D5E"/>
    <w:rsid w:val="00B21404"/>
    <w:rsid w:val="00B21923"/>
    <w:rsid w:val="00B21EB3"/>
    <w:rsid w:val="00B24034"/>
    <w:rsid w:val="00B2403F"/>
    <w:rsid w:val="00B240EA"/>
    <w:rsid w:val="00B2484B"/>
    <w:rsid w:val="00B2497F"/>
    <w:rsid w:val="00B2510D"/>
    <w:rsid w:val="00B25A9D"/>
    <w:rsid w:val="00B26417"/>
    <w:rsid w:val="00B271C0"/>
    <w:rsid w:val="00B27947"/>
    <w:rsid w:val="00B302AC"/>
    <w:rsid w:val="00B30403"/>
    <w:rsid w:val="00B30BEC"/>
    <w:rsid w:val="00B3121C"/>
    <w:rsid w:val="00B315F0"/>
    <w:rsid w:val="00B31A25"/>
    <w:rsid w:val="00B31BA1"/>
    <w:rsid w:val="00B32291"/>
    <w:rsid w:val="00B3261B"/>
    <w:rsid w:val="00B32CC7"/>
    <w:rsid w:val="00B336CD"/>
    <w:rsid w:val="00B33BA6"/>
    <w:rsid w:val="00B3459E"/>
    <w:rsid w:val="00B3462E"/>
    <w:rsid w:val="00B34CD5"/>
    <w:rsid w:val="00B34D52"/>
    <w:rsid w:val="00B34EE6"/>
    <w:rsid w:val="00B357A5"/>
    <w:rsid w:val="00B35FEC"/>
    <w:rsid w:val="00B37700"/>
    <w:rsid w:val="00B379E5"/>
    <w:rsid w:val="00B37C74"/>
    <w:rsid w:val="00B37FB3"/>
    <w:rsid w:val="00B408EE"/>
    <w:rsid w:val="00B40D82"/>
    <w:rsid w:val="00B40DE1"/>
    <w:rsid w:val="00B41283"/>
    <w:rsid w:val="00B41EFC"/>
    <w:rsid w:val="00B42223"/>
    <w:rsid w:val="00B4298B"/>
    <w:rsid w:val="00B429D3"/>
    <w:rsid w:val="00B42C5F"/>
    <w:rsid w:val="00B42E51"/>
    <w:rsid w:val="00B432E8"/>
    <w:rsid w:val="00B43785"/>
    <w:rsid w:val="00B43D31"/>
    <w:rsid w:val="00B446FF"/>
    <w:rsid w:val="00B45AFC"/>
    <w:rsid w:val="00B45B73"/>
    <w:rsid w:val="00B45F00"/>
    <w:rsid w:val="00B45FB1"/>
    <w:rsid w:val="00B461E1"/>
    <w:rsid w:val="00B46259"/>
    <w:rsid w:val="00B46857"/>
    <w:rsid w:val="00B47068"/>
    <w:rsid w:val="00B4742E"/>
    <w:rsid w:val="00B476A3"/>
    <w:rsid w:val="00B47D91"/>
    <w:rsid w:val="00B5018E"/>
    <w:rsid w:val="00B50241"/>
    <w:rsid w:val="00B504A8"/>
    <w:rsid w:val="00B505CD"/>
    <w:rsid w:val="00B506A0"/>
    <w:rsid w:val="00B50C91"/>
    <w:rsid w:val="00B50F8A"/>
    <w:rsid w:val="00B51029"/>
    <w:rsid w:val="00B517B0"/>
    <w:rsid w:val="00B51C5C"/>
    <w:rsid w:val="00B51E62"/>
    <w:rsid w:val="00B5226C"/>
    <w:rsid w:val="00B5246B"/>
    <w:rsid w:val="00B5350E"/>
    <w:rsid w:val="00B5360D"/>
    <w:rsid w:val="00B54174"/>
    <w:rsid w:val="00B54491"/>
    <w:rsid w:val="00B54904"/>
    <w:rsid w:val="00B550E3"/>
    <w:rsid w:val="00B55C2D"/>
    <w:rsid w:val="00B55FBB"/>
    <w:rsid w:val="00B56D0B"/>
    <w:rsid w:val="00B5712D"/>
    <w:rsid w:val="00B5766A"/>
    <w:rsid w:val="00B57976"/>
    <w:rsid w:val="00B57DC7"/>
    <w:rsid w:val="00B60990"/>
    <w:rsid w:val="00B61941"/>
    <w:rsid w:val="00B61DC4"/>
    <w:rsid w:val="00B632B8"/>
    <w:rsid w:val="00B63617"/>
    <w:rsid w:val="00B63772"/>
    <w:rsid w:val="00B6413B"/>
    <w:rsid w:val="00B6423D"/>
    <w:rsid w:val="00B645B3"/>
    <w:rsid w:val="00B648A2"/>
    <w:rsid w:val="00B654C1"/>
    <w:rsid w:val="00B659D3"/>
    <w:rsid w:val="00B65C2C"/>
    <w:rsid w:val="00B65F74"/>
    <w:rsid w:val="00B67038"/>
    <w:rsid w:val="00B670C4"/>
    <w:rsid w:val="00B67F4C"/>
    <w:rsid w:val="00B67FCE"/>
    <w:rsid w:val="00B67FFE"/>
    <w:rsid w:val="00B703F0"/>
    <w:rsid w:val="00B7068F"/>
    <w:rsid w:val="00B70C7F"/>
    <w:rsid w:val="00B70F12"/>
    <w:rsid w:val="00B70FBF"/>
    <w:rsid w:val="00B71866"/>
    <w:rsid w:val="00B71B11"/>
    <w:rsid w:val="00B7206B"/>
    <w:rsid w:val="00B725C2"/>
    <w:rsid w:val="00B726F6"/>
    <w:rsid w:val="00B728FF"/>
    <w:rsid w:val="00B72A16"/>
    <w:rsid w:val="00B72CF0"/>
    <w:rsid w:val="00B7324D"/>
    <w:rsid w:val="00B7331A"/>
    <w:rsid w:val="00B73485"/>
    <w:rsid w:val="00B734CF"/>
    <w:rsid w:val="00B74D9F"/>
    <w:rsid w:val="00B756CC"/>
    <w:rsid w:val="00B75CC1"/>
    <w:rsid w:val="00B7653B"/>
    <w:rsid w:val="00B7679B"/>
    <w:rsid w:val="00B76E91"/>
    <w:rsid w:val="00B771D7"/>
    <w:rsid w:val="00B77661"/>
    <w:rsid w:val="00B801B2"/>
    <w:rsid w:val="00B8225C"/>
    <w:rsid w:val="00B8277D"/>
    <w:rsid w:val="00B82897"/>
    <w:rsid w:val="00B82D3F"/>
    <w:rsid w:val="00B82E67"/>
    <w:rsid w:val="00B831A9"/>
    <w:rsid w:val="00B83857"/>
    <w:rsid w:val="00B84348"/>
    <w:rsid w:val="00B847D9"/>
    <w:rsid w:val="00B84B06"/>
    <w:rsid w:val="00B85251"/>
    <w:rsid w:val="00B8529D"/>
    <w:rsid w:val="00B853CC"/>
    <w:rsid w:val="00B85DD5"/>
    <w:rsid w:val="00B8653C"/>
    <w:rsid w:val="00B866EE"/>
    <w:rsid w:val="00B867BE"/>
    <w:rsid w:val="00B86E84"/>
    <w:rsid w:val="00B86E85"/>
    <w:rsid w:val="00B8751C"/>
    <w:rsid w:val="00B87F36"/>
    <w:rsid w:val="00B9048A"/>
    <w:rsid w:val="00B90835"/>
    <w:rsid w:val="00B90F18"/>
    <w:rsid w:val="00B912F2"/>
    <w:rsid w:val="00B917BF"/>
    <w:rsid w:val="00B91C11"/>
    <w:rsid w:val="00B91D2A"/>
    <w:rsid w:val="00B9250E"/>
    <w:rsid w:val="00B92C38"/>
    <w:rsid w:val="00B930FA"/>
    <w:rsid w:val="00B94815"/>
    <w:rsid w:val="00B954DC"/>
    <w:rsid w:val="00B9739D"/>
    <w:rsid w:val="00B97669"/>
    <w:rsid w:val="00BA0429"/>
    <w:rsid w:val="00BA04C0"/>
    <w:rsid w:val="00BA0A2B"/>
    <w:rsid w:val="00BA0C99"/>
    <w:rsid w:val="00BA0CEE"/>
    <w:rsid w:val="00BA0CFF"/>
    <w:rsid w:val="00BA1C32"/>
    <w:rsid w:val="00BA1C69"/>
    <w:rsid w:val="00BA2104"/>
    <w:rsid w:val="00BA24D5"/>
    <w:rsid w:val="00BA25C6"/>
    <w:rsid w:val="00BA27B0"/>
    <w:rsid w:val="00BA2D86"/>
    <w:rsid w:val="00BA3DBE"/>
    <w:rsid w:val="00BA4780"/>
    <w:rsid w:val="00BA480A"/>
    <w:rsid w:val="00BA4863"/>
    <w:rsid w:val="00BA5482"/>
    <w:rsid w:val="00BA55AE"/>
    <w:rsid w:val="00BA56C8"/>
    <w:rsid w:val="00BA576B"/>
    <w:rsid w:val="00BA57AA"/>
    <w:rsid w:val="00BA5DE9"/>
    <w:rsid w:val="00BA62DD"/>
    <w:rsid w:val="00BA663F"/>
    <w:rsid w:val="00BA66ED"/>
    <w:rsid w:val="00BA687C"/>
    <w:rsid w:val="00BA709E"/>
    <w:rsid w:val="00BA70F9"/>
    <w:rsid w:val="00BB0038"/>
    <w:rsid w:val="00BB05C2"/>
    <w:rsid w:val="00BB06EF"/>
    <w:rsid w:val="00BB07A1"/>
    <w:rsid w:val="00BB08CD"/>
    <w:rsid w:val="00BB0D13"/>
    <w:rsid w:val="00BB2745"/>
    <w:rsid w:val="00BB32F3"/>
    <w:rsid w:val="00BB377B"/>
    <w:rsid w:val="00BB3D2D"/>
    <w:rsid w:val="00BB3E12"/>
    <w:rsid w:val="00BB48E9"/>
    <w:rsid w:val="00BB4BB2"/>
    <w:rsid w:val="00BB4FD7"/>
    <w:rsid w:val="00BB504D"/>
    <w:rsid w:val="00BB5149"/>
    <w:rsid w:val="00BB56EB"/>
    <w:rsid w:val="00BB57F4"/>
    <w:rsid w:val="00BB5945"/>
    <w:rsid w:val="00BB6859"/>
    <w:rsid w:val="00BB6ABD"/>
    <w:rsid w:val="00BB76D3"/>
    <w:rsid w:val="00BB79DA"/>
    <w:rsid w:val="00BB7BC9"/>
    <w:rsid w:val="00BB7FC0"/>
    <w:rsid w:val="00BC060A"/>
    <w:rsid w:val="00BC0656"/>
    <w:rsid w:val="00BC0C42"/>
    <w:rsid w:val="00BC110E"/>
    <w:rsid w:val="00BC114A"/>
    <w:rsid w:val="00BC1CD9"/>
    <w:rsid w:val="00BC1EF1"/>
    <w:rsid w:val="00BC2850"/>
    <w:rsid w:val="00BC3AE3"/>
    <w:rsid w:val="00BC4159"/>
    <w:rsid w:val="00BC4655"/>
    <w:rsid w:val="00BC469C"/>
    <w:rsid w:val="00BC545C"/>
    <w:rsid w:val="00BC56ED"/>
    <w:rsid w:val="00BC5CA0"/>
    <w:rsid w:val="00BC62E7"/>
    <w:rsid w:val="00BC65B2"/>
    <w:rsid w:val="00BC6811"/>
    <w:rsid w:val="00BC682D"/>
    <w:rsid w:val="00BC6C8A"/>
    <w:rsid w:val="00BC6FE3"/>
    <w:rsid w:val="00BC727A"/>
    <w:rsid w:val="00BC72AD"/>
    <w:rsid w:val="00BC7C04"/>
    <w:rsid w:val="00BD0303"/>
    <w:rsid w:val="00BD0401"/>
    <w:rsid w:val="00BD08ED"/>
    <w:rsid w:val="00BD0977"/>
    <w:rsid w:val="00BD181F"/>
    <w:rsid w:val="00BD18C1"/>
    <w:rsid w:val="00BD1E3E"/>
    <w:rsid w:val="00BD1F7F"/>
    <w:rsid w:val="00BD26DC"/>
    <w:rsid w:val="00BD2861"/>
    <w:rsid w:val="00BD2E91"/>
    <w:rsid w:val="00BD32FB"/>
    <w:rsid w:val="00BD3654"/>
    <w:rsid w:val="00BD399A"/>
    <w:rsid w:val="00BD39CA"/>
    <w:rsid w:val="00BD39E7"/>
    <w:rsid w:val="00BD3B5B"/>
    <w:rsid w:val="00BD4C98"/>
    <w:rsid w:val="00BD4FA2"/>
    <w:rsid w:val="00BD516D"/>
    <w:rsid w:val="00BD528E"/>
    <w:rsid w:val="00BD5633"/>
    <w:rsid w:val="00BD6926"/>
    <w:rsid w:val="00BD712D"/>
    <w:rsid w:val="00BD7229"/>
    <w:rsid w:val="00BD7718"/>
    <w:rsid w:val="00BE002A"/>
    <w:rsid w:val="00BE00F4"/>
    <w:rsid w:val="00BE028C"/>
    <w:rsid w:val="00BE0EEF"/>
    <w:rsid w:val="00BE1439"/>
    <w:rsid w:val="00BE2255"/>
    <w:rsid w:val="00BE22A7"/>
    <w:rsid w:val="00BE23B1"/>
    <w:rsid w:val="00BE2F38"/>
    <w:rsid w:val="00BE3411"/>
    <w:rsid w:val="00BE38AA"/>
    <w:rsid w:val="00BE3901"/>
    <w:rsid w:val="00BE4067"/>
    <w:rsid w:val="00BE4D0D"/>
    <w:rsid w:val="00BE4D98"/>
    <w:rsid w:val="00BE57DD"/>
    <w:rsid w:val="00BE585F"/>
    <w:rsid w:val="00BE591B"/>
    <w:rsid w:val="00BE7103"/>
    <w:rsid w:val="00BE77D8"/>
    <w:rsid w:val="00BE7AF0"/>
    <w:rsid w:val="00BE7D2E"/>
    <w:rsid w:val="00BF006D"/>
    <w:rsid w:val="00BF04FB"/>
    <w:rsid w:val="00BF15D1"/>
    <w:rsid w:val="00BF1740"/>
    <w:rsid w:val="00BF1CCA"/>
    <w:rsid w:val="00BF232E"/>
    <w:rsid w:val="00BF2D9E"/>
    <w:rsid w:val="00BF2EE2"/>
    <w:rsid w:val="00BF313B"/>
    <w:rsid w:val="00BF340D"/>
    <w:rsid w:val="00BF3511"/>
    <w:rsid w:val="00BF3AC6"/>
    <w:rsid w:val="00BF3FFA"/>
    <w:rsid w:val="00BF45F7"/>
    <w:rsid w:val="00BF4673"/>
    <w:rsid w:val="00BF4690"/>
    <w:rsid w:val="00BF4699"/>
    <w:rsid w:val="00BF4838"/>
    <w:rsid w:val="00BF51E8"/>
    <w:rsid w:val="00BF5D5E"/>
    <w:rsid w:val="00BF5EAB"/>
    <w:rsid w:val="00BF661F"/>
    <w:rsid w:val="00BF6CBD"/>
    <w:rsid w:val="00BF7575"/>
    <w:rsid w:val="00C0025D"/>
    <w:rsid w:val="00C00BAC"/>
    <w:rsid w:val="00C01339"/>
    <w:rsid w:val="00C0191E"/>
    <w:rsid w:val="00C01C38"/>
    <w:rsid w:val="00C01DEB"/>
    <w:rsid w:val="00C01F99"/>
    <w:rsid w:val="00C02480"/>
    <w:rsid w:val="00C02692"/>
    <w:rsid w:val="00C029A3"/>
    <w:rsid w:val="00C02FF5"/>
    <w:rsid w:val="00C0340C"/>
    <w:rsid w:val="00C03650"/>
    <w:rsid w:val="00C03CB4"/>
    <w:rsid w:val="00C04118"/>
    <w:rsid w:val="00C041AB"/>
    <w:rsid w:val="00C04582"/>
    <w:rsid w:val="00C048FB"/>
    <w:rsid w:val="00C05F06"/>
    <w:rsid w:val="00C05FF0"/>
    <w:rsid w:val="00C069CB"/>
    <w:rsid w:val="00C06B8F"/>
    <w:rsid w:val="00C06D5A"/>
    <w:rsid w:val="00C071A4"/>
    <w:rsid w:val="00C07414"/>
    <w:rsid w:val="00C0787E"/>
    <w:rsid w:val="00C07BAA"/>
    <w:rsid w:val="00C10675"/>
    <w:rsid w:val="00C10980"/>
    <w:rsid w:val="00C10A6D"/>
    <w:rsid w:val="00C11A57"/>
    <w:rsid w:val="00C11E87"/>
    <w:rsid w:val="00C12079"/>
    <w:rsid w:val="00C12403"/>
    <w:rsid w:val="00C1263A"/>
    <w:rsid w:val="00C12AD6"/>
    <w:rsid w:val="00C12B69"/>
    <w:rsid w:val="00C13225"/>
    <w:rsid w:val="00C133FC"/>
    <w:rsid w:val="00C136D3"/>
    <w:rsid w:val="00C13A4D"/>
    <w:rsid w:val="00C13FB5"/>
    <w:rsid w:val="00C1411B"/>
    <w:rsid w:val="00C14200"/>
    <w:rsid w:val="00C144E3"/>
    <w:rsid w:val="00C144F3"/>
    <w:rsid w:val="00C146B3"/>
    <w:rsid w:val="00C149D9"/>
    <w:rsid w:val="00C14D48"/>
    <w:rsid w:val="00C15355"/>
    <w:rsid w:val="00C16040"/>
    <w:rsid w:val="00C163A8"/>
    <w:rsid w:val="00C1733F"/>
    <w:rsid w:val="00C17A08"/>
    <w:rsid w:val="00C17A3B"/>
    <w:rsid w:val="00C17DB1"/>
    <w:rsid w:val="00C203BC"/>
    <w:rsid w:val="00C20C52"/>
    <w:rsid w:val="00C20F76"/>
    <w:rsid w:val="00C21BFD"/>
    <w:rsid w:val="00C227BD"/>
    <w:rsid w:val="00C22B92"/>
    <w:rsid w:val="00C2395D"/>
    <w:rsid w:val="00C239D6"/>
    <w:rsid w:val="00C246CA"/>
    <w:rsid w:val="00C24A43"/>
    <w:rsid w:val="00C24E83"/>
    <w:rsid w:val="00C2539C"/>
    <w:rsid w:val="00C25623"/>
    <w:rsid w:val="00C259F9"/>
    <w:rsid w:val="00C25A87"/>
    <w:rsid w:val="00C25BF2"/>
    <w:rsid w:val="00C25D8B"/>
    <w:rsid w:val="00C25EE1"/>
    <w:rsid w:val="00C2635F"/>
    <w:rsid w:val="00C2729D"/>
    <w:rsid w:val="00C273B0"/>
    <w:rsid w:val="00C278DD"/>
    <w:rsid w:val="00C27EAE"/>
    <w:rsid w:val="00C27F80"/>
    <w:rsid w:val="00C300B2"/>
    <w:rsid w:val="00C317C5"/>
    <w:rsid w:val="00C3192D"/>
    <w:rsid w:val="00C31AE4"/>
    <w:rsid w:val="00C31FA0"/>
    <w:rsid w:val="00C325A5"/>
    <w:rsid w:val="00C33434"/>
    <w:rsid w:val="00C33ED6"/>
    <w:rsid w:val="00C3418C"/>
    <w:rsid w:val="00C34410"/>
    <w:rsid w:val="00C346FC"/>
    <w:rsid w:val="00C34B5F"/>
    <w:rsid w:val="00C34C0E"/>
    <w:rsid w:val="00C34F6D"/>
    <w:rsid w:val="00C3520A"/>
    <w:rsid w:val="00C35527"/>
    <w:rsid w:val="00C35777"/>
    <w:rsid w:val="00C35EDD"/>
    <w:rsid w:val="00C36045"/>
    <w:rsid w:val="00C362C0"/>
    <w:rsid w:val="00C36523"/>
    <w:rsid w:val="00C36625"/>
    <w:rsid w:val="00C36977"/>
    <w:rsid w:val="00C36C23"/>
    <w:rsid w:val="00C371F7"/>
    <w:rsid w:val="00C37CAE"/>
    <w:rsid w:val="00C408F8"/>
    <w:rsid w:val="00C40B77"/>
    <w:rsid w:val="00C40E4D"/>
    <w:rsid w:val="00C42020"/>
    <w:rsid w:val="00C426A6"/>
    <w:rsid w:val="00C42944"/>
    <w:rsid w:val="00C429D7"/>
    <w:rsid w:val="00C42ACB"/>
    <w:rsid w:val="00C43AB2"/>
    <w:rsid w:val="00C43AD8"/>
    <w:rsid w:val="00C43EA6"/>
    <w:rsid w:val="00C445F6"/>
    <w:rsid w:val="00C44A80"/>
    <w:rsid w:val="00C44DA9"/>
    <w:rsid w:val="00C44DF1"/>
    <w:rsid w:val="00C45510"/>
    <w:rsid w:val="00C46072"/>
    <w:rsid w:val="00C460B8"/>
    <w:rsid w:val="00C469A5"/>
    <w:rsid w:val="00C470E8"/>
    <w:rsid w:val="00C47BD1"/>
    <w:rsid w:val="00C47E1D"/>
    <w:rsid w:val="00C50290"/>
    <w:rsid w:val="00C50978"/>
    <w:rsid w:val="00C516D2"/>
    <w:rsid w:val="00C519FB"/>
    <w:rsid w:val="00C51C7C"/>
    <w:rsid w:val="00C51F60"/>
    <w:rsid w:val="00C5316F"/>
    <w:rsid w:val="00C5413F"/>
    <w:rsid w:val="00C5425C"/>
    <w:rsid w:val="00C55728"/>
    <w:rsid w:val="00C55A80"/>
    <w:rsid w:val="00C55B98"/>
    <w:rsid w:val="00C5692D"/>
    <w:rsid w:val="00C56D79"/>
    <w:rsid w:val="00C56E77"/>
    <w:rsid w:val="00C56EE8"/>
    <w:rsid w:val="00C5703A"/>
    <w:rsid w:val="00C570AA"/>
    <w:rsid w:val="00C570D2"/>
    <w:rsid w:val="00C57490"/>
    <w:rsid w:val="00C5757B"/>
    <w:rsid w:val="00C57696"/>
    <w:rsid w:val="00C579FF"/>
    <w:rsid w:val="00C613F4"/>
    <w:rsid w:val="00C615CF"/>
    <w:rsid w:val="00C61704"/>
    <w:rsid w:val="00C61B83"/>
    <w:rsid w:val="00C61C2E"/>
    <w:rsid w:val="00C62665"/>
    <w:rsid w:val="00C62A09"/>
    <w:rsid w:val="00C62E1E"/>
    <w:rsid w:val="00C63075"/>
    <w:rsid w:val="00C644F5"/>
    <w:rsid w:val="00C65512"/>
    <w:rsid w:val="00C65D57"/>
    <w:rsid w:val="00C66181"/>
    <w:rsid w:val="00C663C3"/>
    <w:rsid w:val="00C7010E"/>
    <w:rsid w:val="00C701BC"/>
    <w:rsid w:val="00C70716"/>
    <w:rsid w:val="00C71446"/>
    <w:rsid w:val="00C71BD8"/>
    <w:rsid w:val="00C71F0B"/>
    <w:rsid w:val="00C72024"/>
    <w:rsid w:val="00C723F9"/>
    <w:rsid w:val="00C72C4A"/>
    <w:rsid w:val="00C73A67"/>
    <w:rsid w:val="00C73A6F"/>
    <w:rsid w:val="00C73AC1"/>
    <w:rsid w:val="00C74568"/>
    <w:rsid w:val="00C74691"/>
    <w:rsid w:val="00C748B0"/>
    <w:rsid w:val="00C74928"/>
    <w:rsid w:val="00C74ADE"/>
    <w:rsid w:val="00C74DA6"/>
    <w:rsid w:val="00C74E3D"/>
    <w:rsid w:val="00C74EEA"/>
    <w:rsid w:val="00C75236"/>
    <w:rsid w:val="00C75449"/>
    <w:rsid w:val="00C75C3F"/>
    <w:rsid w:val="00C75DB4"/>
    <w:rsid w:val="00C766CC"/>
    <w:rsid w:val="00C76811"/>
    <w:rsid w:val="00C76E75"/>
    <w:rsid w:val="00C77356"/>
    <w:rsid w:val="00C773D6"/>
    <w:rsid w:val="00C773DB"/>
    <w:rsid w:val="00C7780C"/>
    <w:rsid w:val="00C77920"/>
    <w:rsid w:val="00C77D8E"/>
    <w:rsid w:val="00C8016F"/>
    <w:rsid w:val="00C80666"/>
    <w:rsid w:val="00C80794"/>
    <w:rsid w:val="00C80869"/>
    <w:rsid w:val="00C80CA6"/>
    <w:rsid w:val="00C814C0"/>
    <w:rsid w:val="00C81DA9"/>
    <w:rsid w:val="00C81FBD"/>
    <w:rsid w:val="00C82076"/>
    <w:rsid w:val="00C823B4"/>
    <w:rsid w:val="00C82955"/>
    <w:rsid w:val="00C82B08"/>
    <w:rsid w:val="00C83443"/>
    <w:rsid w:val="00C836AB"/>
    <w:rsid w:val="00C83769"/>
    <w:rsid w:val="00C84957"/>
    <w:rsid w:val="00C86149"/>
    <w:rsid w:val="00C86164"/>
    <w:rsid w:val="00C863C4"/>
    <w:rsid w:val="00C87801"/>
    <w:rsid w:val="00C87A1D"/>
    <w:rsid w:val="00C87B9E"/>
    <w:rsid w:val="00C90152"/>
    <w:rsid w:val="00C90F46"/>
    <w:rsid w:val="00C910BC"/>
    <w:rsid w:val="00C91B94"/>
    <w:rsid w:val="00C91C48"/>
    <w:rsid w:val="00C91F30"/>
    <w:rsid w:val="00C9207A"/>
    <w:rsid w:val="00C924C3"/>
    <w:rsid w:val="00C92B5B"/>
    <w:rsid w:val="00C92EE4"/>
    <w:rsid w:val="00C9360F"/>
    <w:rsid w:val="00C93BC7"/>
    <w:rsid w:val="00C94146"/>
    <w:rsid w:val="00C947E2"/>
    <w:rsid w:val="00C9488E"/>
    <w:rsid w:val="00C94EBD"/>
    <w:rsid w:val="00C94F56"/>
    <w:rsid w:val="00C95094"/>
    <w:rsid w:val="00C9549F"/>
    <w:rsid w:val="00C958EA"/>
    <w:rsid w:val="00C95C84"/>
    <w:rsid w:val="00C95D2E"/>
    <w:rsid w:val="00C960B4"/>
    <w:rsid w:val="00C96236"/>
    <w:rsid w:val="00C96339"/>
    <w:rsid w:val="00C96D4C"/>
    <w:rsid w:val="00C96D95"/>
    <w:rsid w:val="00C96E5D"/>
    <w:rsid w:val="00C96EFF"/>
    <w:rsid w:val="00C9712C"/>
    <w:rsid w:val="00C973D4"/>
    <w:rsid w:val="00CA0009"/>
    <w:rsid w:val="00CA0148"/>
    <w:rsid w:val="00CA0EFE"/>
    <w:rsid w:val="00CA1448"/>
    <w:rsid w:val="00CA14C2"/>
    <w:rsid w:val="00CA15B6"/>
    <w:rsid w:val="00CA1A8A"/>
    <w:rsid w:val="00CA1CD9"/>
    <w:rsid w:val="00CA1E5A"/>
    <w:rsid w:val="00CA26F4"/>
    <w:rsid w:val="00CA2834"/>
    <w:rsid w:val="00CA2A29"/>
    <w:rsid w:val="00CA32B2"/>
    <w:rsid w:val="00CA3B2F"/>
    <w:rsid w:val="00CA3C56"/>
    <w:rsid w:val="00CA41C7"/>
    <w:rsid w:val="00CA4E1D"/>
    <w:rsid w:val="00CA5009"/>
    <w:rsid w:val="00CA539F"/>
    <w:rsid w:val="00CA5B28"/>
    <w:rsid w:val="00CA5CDB"/>
    <w:rsid w:val="00CA62E8"/>
    <w:rsid w:val="00CA6448"/>
    <w:rsid w:val="00CA64BC"/>
    <w:rsid w:val="00CA6970"/>
    <w:rsid w:val="00CA6B0F"/>
    <w:rsid w:val="00CA7625"/>
    <w:rsid w:val="00CA787A"/>
    <w:rsid w:val="00CA7F35"/>
    <w:rsid w:val="00CB0A72"/>
    <w:rsid w:val="00CB0E6B"/>
    <w:rsid w:val="00CB13C6"/>
    <w:rsid w:val="00CB1813"/>
    <w:rsid w:val="00CB1D10"/>
    <w:rsid w:val="00CB1DB3"/>
    <w:rsid w:val="00CB2050"/>
    <w:rsid w:val="00CB20E5"/>
    <w:rsid w:val="00CB252D"/>
    <w:rsid w:val="00CB3489"/>
    <w:rsid w:val="00CB348D"/>
    <w:rsid w:val="00CB34A2"/>
    <w:rsid w:val="00CB39E0"/>
    <w:rsid w:val="00CB3A6E"/>
    <w:rsid w:val="00CB3E88"/>
    <w:rsid w:val="00CB419D"/>
    <w:rsid w:val="00CB482B"/>
    <w:rsid w:val="00CB48A5"/>
    <w:rsid w:val="00CB505C"/>
    <w:rsid w:val="00CB50DD"/>
    <w:rsid w:val="00CB5840"/>
    <w:rsid w:val="00CB6049"/>
    <w:rsid w:val="00CB69D6"/>
    <w:rsid w:val="00CB6E4F"/>
    <w:rsid w:val="00CB6E91"/>
    <w:rsid w:val="00CB76BB"/>
    <w:rsid w:val="00CB7DBA"/>
    <w:rsid w:val="00CC003C"/>
    <w:rsid w:val="00CC051E"/>
    <w:rsid w:val="00CC0BE8"/>
    <w:rsid w:val="00CC1061"/>
    <w:rsid w:val="00CC1276"/>
    <w:rsid w:val="00CC15AB"/>
    <w:rsid w:val="00CC190A"/>
    <w:rsid w:val="00CC1FBF"/>
    <w:rsid w:val="00CC2002"/>
    <w:rsid w:val="00CC2244"/>
    <w:rsid w:val="00CC2356"/>
    <w:rsid w:val="00CC2963"/>
    <w:rsid w:val="00CC2BC9"/>
    <w:rsid w:val="00CC3094"/>
    <w:rsid w:val="00CC30ED"/>
    <w:rsid w:val="00CC3582"/>
    <w:rsid w:val="00CC3891"/>
    <w:rsid w:val="00CC38B2"/>
    <w:rsid w:val="00CC3A85"/>
    <w:rsid w:val="00CC3C4A"/>
    <w:rsid w:val="00CC3DFD"/>
    <w:rsid w:val="00CC3F24"/>
    <w:rsid w:val="00CC407C"/>
    <w:rsid w:val="00CC415E"/>
    <w:rsid w:val="00CC42A7"/>
    <w:rsid w:val="00CC489E"/>
    <w:rsid w:val="00CC4BE1"/>
    <w:rsid w:val="00CC5450"/>
    <w:rsid w:val="00CC5489"/>
    <w:rsid w:val="00CC6131"/>
    <w:rsid w:val="00CC625A"/>
    <w:rsid w:val="00CC634E"/>
    <w:rsid w:val="00CC640E"/>
    <w:rsid w:val="00CC6FD4"/>
    <w:rsid w:val="00CC7263"/>
    <w:rsid w:val="00CC7D57"/>
    <w:rsid w:val="00CD0295"/>
    <w:rsid w:val="00CD061F"/>
    <w:rsid w:val="00CD1B50"/>
    <w:rsid w:val="00CD2518"/>
    <w:rsid w:val="00CD2DF5"/>
    <w:rsid w:val="00CD44AE"/>
    <w:rsid w:val="00CD472E"/>
    <w:rsid w:val="00CD47F9"/>
    <w:rsid w:val="00CD49D9"/>
    <w:rsid w:val="00CD4CD0"/>
    <w:rsid w:val="00CD511E"/>
    <w:rsid w:val="00CD5938"/>
    <w:rsid w:val="00CD5C7D"/>
    <w:rsid w:val="00CD5D37"/>
    <w:rsid w:val="00CD73D9"/>
    <w:rsid w:val="00CE0C40"/>
    <w:rsid w:val="00CE0C68"/>
    <w:rsid w:val="00CE0E64"/>
    <w:rsid w:val="00CE10DF"/>
    <w:rsid w:val="00CE11E6"/>
    <w:rsid w:val="00CE1AE0"/>
    <w:rsid w:val="00CE1CE8"/>
    <w:rsid w:val="00CE230E"/>
    <w:rsid w:val="00CE23A6"/>
    <w:rsid w:val="00CE2572"/>
    <w:rsid w:val="00CE25F8"/>
    <w:rsid w:val="00CE2D39"/>
    <w:rsid w:val="00CE4265"/>
    <w:rsid w:val="00CE5122"/>
    <w:rsid w:val="00CE5723"/>
    <w:rsid w:val="00CE5826"/>
    <w:rsid w:val="00CE585C"/>
    <w:rsid w:val="00CE59CE"/>
    <w:rsid w:val="00CE5A76"/>
    <w:rsid w:val="00CE5AB0"/>
    <w:rsid w:val="00CE60B4"/>
    <w:rsid w:val="00CE6132"/>
    <w:rsid w:val="00CE61F3"/>
    <w:rsid w:val="00CE6207"/>
    <w:rsid w:val="00CE625C"/>
    <w:rsid w:val="00CE6EB0"/>
    <w:rsid w:val="00CE6EF5"/>
    <w:rsid w:val="00CE7596"/>
    <w:rsid w:val="00CE7DAF"/>
    <w:rsid w:val="00CE7EB2"/>
    <w:rsid w:val="00CF090D"/>
    <w:rsid w:val="00CF0910"/>
    <w:rsid w:val="00CF0A73"/>
    <w:rsid w:val="00CF0A94"/>
    <w:rsid w:val="00CF0AF1"/>
    <w:rsid w:val="00CF103B"/>
    <w:rsid w:val="00CF24A4"/>
    <w:rsid w:val="00CF25EE"/>
    <w:rsid w:val="00CF2696"/>
    <w:rsid w:val="00CF26EB"/>
    <w:rsid w:val="00CF281D"/>
    <w:rsid w:val="00CF2823"/>
    <w:rsid w:val="00CF289A"/>
    <w:rsid w:val="00CF3BA8"/>
    <w:rsid w:val="00CF431A"/>
    <w:rsid w:val="00CF4807"/>
    <w:rsid w:val="00CF57A2"/>
    <w:rsid w:val="00CF5901"/>
    <w:rsid w:val="00CF6742"/>
    <w:rsid w:val="00CF723B"/>
    <w:rsid w:val="00CF7466"/>
    <w:rsid w:val="00CF78D5"/>
    <w:rsid w:val="00CF7D45"/>
    <w:rsid w:val="00D001D3"/>
    <w:rsid w:val="00D002E6"/>
    <w:rsid w:val="00D00430"/>
    <w:rsid w:val="00D00537"/>
    <w:rsid w:val="00D00A45"/>
    <w:rsid w:val="00D0106A"/>
    <w:rsid w:val="00D01281"/>
    <w:rsid w:val="00D01C0F"/>
    <w:rsid w:val="00D020C1"/>
    <w:rsid w:val="00D021B8"/>
    <w:rsid w:val="00D03701"/>
    <w:rsid w:val="00D03A42"/>
    <w:rsid w:val="00D03ABE"/>
    <w:rsid w:val="00D03B1F"/>
    <w:rsid w:val="00D04044"/>
    <w:rsid w:val="00D04150"/>
    <w:rsid w:val="00D0432D"/>
    <w:rsid w:val="00D0481B"/>
    <w:rsid w:val="00D048BC"/>
    <w:rsid w:val="00D04B1F"/>
    <w:rsid w:val="00D05754"/>
    <w:rsid w:val="00D05925"/>
    <w:rsid w:val="00D05A64"/>
    <w:rsid w:val="00D06420"/>
    <w:rsid w:val="00D067E6"/>
    <w:rsid w:val="00D068BA"/>
    <w:rsid w:val="00D0701F"/>
    <w:rsid w:val="00D07038"/>
    <w:rsid w:val="00D07185"/>
    <w:rsid w:val="00D0754F"/>
    <w:rsid w:val="00D0796B"/>
    <w:rsid w:val="00D07A59"/>
    <w:rsid w:val="00D07B24"/>
    <w:rsid w:val="00D07E18"/>
    <w:rsid w:val="00D113C6"/>
    <w:rsid w:val="00D11478"/>
    <w:rsid w:val="00D11730"/>
    <w:rsid w:val="00D11A66"/>
    <w:rsid w:val="00D11AB4"/>
    <w:rsid w:val="00D1210D"/>
    <w:rsid w:val="00D124AA"/>
    <w:rsid w:val="00D12506"/>
    <w:rsid w:val="00D13592"/>
    <w:rsid w:val="00D1413B"/>
    <w:rsid w:val="00D147BB"/>
    <w:rsid w:val="00D14A03"/>
    <w:rsid w:val="00D14A1B"/>
    <w:rsid w:val="00D15531"/>
    <w:rsid w:val="00D1596B"/>
    <w:rsid w:val="00D159BF"/>
    <w:rsid w:val="00D15AA1"/>
    <w:rsid w:val="00D15CCA"/>
    <w:rsid w:val="00D15D44"/>
    <w:rsid w:val="00D1639C"/>
    <w:rsid w:val="00D16519"/>
    <w:rsid w:val="00D16730"/>
    <w:rsid w:val="00D16B97"/>
    <w:rsid w:val="00D16DD8"/>
    <w:rsid w:val="00D20CBF"/>
    <w:rsid w:val="00D2159F"/>
    <w:rsid w:val="00D215D5"/>
    <w:rsid w:val="00D21EAA"/>
    <w:rsid w:val="00D22450"/>
    <w:rsid w:val="00D22496"/>
    <w:rsid w:val="00D224A3"/>
    <w:rsid w:val="00D225AB"/>
    <w:rsid w:val="00D22710"/>
    <w:rsid w:val="00D23004"/>
    <w:rsid w:val="00D23128"/>
    <w:rsid w:val="00D2417D"/>
    <w:rsid w:val="00D244B8"/>
    <w:rsid w:val="00D25038"/>
    <w:rsid w:val="00D259F9"/>
    <w:rsid w:val="00D25CBC"/>
    <w:rsid w:val="00D25D65"/>
    <w:rsid w:val="00D261D9"/>
    <w:rsid w:val="00D2643C"/>
    <w:rsid w:val="00D2679D"/>
    <w:rsid w:val="00D26AFC"/>
    <w:rsid w:val="00D26E13"/>
    <w:rsid w:val="00D27663"/>
    <w:rsid w:val="00D2768C"/>
    <w:rsid w:val="00D27EF9"/>
    <w:rsid w:val="00D300B3"/>
    <w:rsid w:val="00D31507"/>
    <w:rsid w:val="00D318C8"/>
    <w:rsid w:val="00D31CB1"/>
    <w:rsid w:val="00D31E59"/>
    <w:rsid w:val="00D32975"/>
    <w:rsid w:val="00D33675"/>
    <w:rsid w:val="00D33B36"/>
    <w:rsid w:val="00D342B0"/>
    <w:rsid w:val="00D34C54"/>
    <w:rsid w:val="00D34C6B"/>
    <w:rsid w:val="00D35A49"/>
    <w:rsid w:val="00D35C1B"/>
    <w:rsid w:val="00D362C5"/>
    <w:rsid w:val="00D36D95"/>
    <w:rsid w:val="00D372DD"/>
    <w:rsid w:val="00D373E5"/>
    <w:rsid w:val="00D37503"/>
    <w:rsid w:val="00D37BF0"/>
    <w:rsid w:val="00D37CB4"/>
    <w:rsid w:val="00D40505"/>
    <w:rsid w:val="00D4073E"/>
    <w:rsid w:val="00D40767"/>
    <w:rsid w:val="00D40CCF"/>
    <w:rsid w:val="00D412A0"/>
    <w:rsid w:val="00D413B3"/>
    <w:rsid w:val="00D41665"/>
    <w:rsid w:val="00D42114"/>
    <w:rsid w:val="00D42148"/>
    <w:rsid w:val="00D427E8"/>
    <w:rsid w:val="00D43287"/>
    <w:rsid w:val="00D43659"/>
    <w:rsid w:val="00D43B22"/>
    <w:rsid w:val="00D43C4D"/>
    <w:rsid w:val="00D43D13"/>
    <w:rsid w:val="00D43DCF"/>
    <w:rsid w:val="00D44007"/>
    <w:rsid w:val="00D44A9B"/>
    <w:rsid w:val="00D44E98"/>
    <w:rsid w:val="00D4744F"/>
    <w:rsid w:val="00D475B5"/>
    <w:rsid w:val="00D47756"/>
    <w:rsid w:val="00D47EAB"/>
    <w:rsid w:val="00D5021D"/>
    <w:rsid w:val="00D5024B"/>
    <w:rsid w:val="00D505B7"/>
    <w:rsid w:val="00D50738"/>
    <w:rsid w:val="00D50AC2"/>
    <w:rsid w:val="00D50DBC"/>
    <w:rsid w:val="00D5103B"/>
    <w:rsid w:val="00D51519"/>
    <w:rsid w:val="00D5193F"/>
    <w:rsid w:val="00D52478"/>
    <w:rsid w:val="00D52F8B"/>
    <w:rsid w:val="00D533A5"/>
    <w:rsid w:val="00D534B7"/>
    <w:rsid w:val="00D5404B"/>
    <w:rsid w:val="00D54096"/>
    <w:rsid w:val="00D558DA"/>
    <w:rsid w:val="00D5642C"/>
    <w:rsid w:val="00D56EC4"/>
    <w:rsid w:val="00D57811"/>
    <w:rsid w:val="00D57BA5"/>
    <w:rsid w:val="00D60066"/>
    <w:rsid w:val="00D600A7"/>
    <w:rsid w:val="00D60294"/>
    <w:rsid w:val="00D60B20"/>
    <w:rsid w:val="00D60B5F"/>
    <w:rsid w:val="00D60C6A"/>
    <w:rsid w:val="00D60F2F"/>
    <w:rsid w:val="00D60FB3"/>
    <w:rsid w:val="00D61A9B"/>
    <w:rsid w:val="00D62058"/>
    <w:rsid w:val="00D632C7"/>
    <w:rsid w:val="00D63489"/>
    <w:rsid w:val="00D63BC8"/>
    <w:rsid w:val="00D6417A"/>
    <w:rsid w:val="00D64954"/>
    <w:rsid w:val="00D6512E"/>
    <w:rsid w:val="00D65D0A"/>
    <w:rsid w:val="00D6602F"/>
    <w:rsid w:val="00D6658E"/>
    <w:rsid w:val="00D66C6D"/>
    <w:rsid w:val="00D6748C"/>
    <w:rsid w:val="00D708DA"/>
    <w:rsid w:val="00D70BA4"/>
    <w:rsid w:val="00D7112A"/>
    <w:rsid w:val="00D718AE"/>
    <w:rsid w:val="00D719BF"/>
    <w:rsid w:val="00D72031"/>
    <w:rsid w:val="00D7220A"/>
    <w:rsid w:val="00D72986"/>
    <w:rsid w:val="00D733C3"/>
    <w:rsid w:val="00D74080"/>
    <w:rsid w:val="00D740F0"/>
    <w:rsid w:val="00D74CAD"/>
    <w:rsid w:val="00D751F6"/>
    <w:rsid w:val="00D752A3"/>
    <w:rsid w:val="00D75351"/>
    <w:rsid w:val="00D75CFE"/>
    <w:rsid w:val="00D76A05"/>
    <w:rsid w:val="00D76EC9"/>
    <w:rsid w:val="00D77305"/>
    <w:rsid w:val="00D775C5"/>
    <w:rsid w:val="00D77DD2"/>
    <w:rsid w:val="00D80AB4"/>
    <w:rsid w:val="00D8117D"/>
    <w:rsid w:val="00D81639"/>
    <w:rsid w:val="00D821D3"/>
    <w:rsid w:val="00D82204"/>
    <w:rsid w:val="00D825E5"/>
    <w:rsid w:val="00D827BA"/>
    <w:rsid w:val="00D82883"/>
    <w:rsid w:val="00D82CD4"/>
    <w:rsid w:val="00D82CF3"/>
    <w:rsid w:val="00D8338E"/>
    <w:rsid w:val="00D83829"/>
    <w:rsid w:val="00D8388A"/>
    <w:rsid w:val="00D8398D"/>
    <w:rsid w:val="00D83B2D"/>
    <w:rsid w:val="00D84540"/>
    <w:rsid w:val="00D84A0A"/>
    <w:rsid w:val="00D84F8A"/>
    <w:rsid w:val="00D853AE"/>
    <w:rsid w:val="00D85879"/>
    <w:rsid w:val="00D85F7F"/>
    <w:rsid w:val="00D8608C"/>
    <w:rsid w:val="00D867D0"/>
    <w:rsid w:val="00D86855"/>
    <w:rsid w:val="00D86ED8"/>
    <w:rsid w:val="00D8749C"/>
    <w:rsid w:val="00D879FC"/>
    <w:rsid w:val="00D87B4B"/>
    <w:rsid w:val="00D90B7C"/>
    <w:rsid w:val="00D91F0C"/>
    <w:rsid w:val="00D92169"/>
    <w:rsid w:val="00D92237"/>
    <w:rsid w:val="00D92356"/>
    <w:rsid w:val="00D92399"/>
    <w:rsid w:val="00D93381"/>
    <w:rsid w:val="00D93415"/>
    <w:rsid w:val="00D9421D"/>
    <w:rsid w:val="00D9422C"/>
    <w:rsid w:val="00D95BF2"/>
    <w:rsid w:val="00D95C14"/>
    <w:rsid w:val="00D96393"/>
    <w:rsid w:val="00D96E31"/>
    <w:rsid w:val="00D97289"/>
    <w:rsid w:val="00D97A9A"/>
    <w:rsid w:val="00D97ACF"/>
    <w:rsid w:val="00D97DC1"/>
    <w:rsid w:val="00D97E60"/>
    <w:rsid w:val="00DA0126"/>
    <w:rsid w:val="00DA052D"/>
    <w:rsid w:val="00DA0B69"/>
    <w:rsid w:val="00DA0D8C"/>
    <w:rsid w:val="00DA173C"/>
    <w:rsid w:val="00DA1829"/>
    <w:rsid w:val="00DA2081"/>
    <w:rsid w:val="00DA2679"/>
    <w:rsid w:val="00DA2B33"/>
    <w:rsid w:val="00DA3157"/>
    <w:rsid w:val="00DA3835"/>
    <w:rsid w:val="00DA3C7A"/>
    <w:rsid w:val="00DA4C4C"/>
    <w:rsid w:val="00DA541B"/>
    <w:rsid w:val="00DA561D"/>
    <w:rsid w:val="00DA5BC6"/>
    <w:rsid w:val="00DA5E82"/>
    <w:rsid w:val="00DA65FF"/>
    <w:rsid w:val="00DA71BF"/>
    <w:rsid w:val="00DA79C9"/>
    <w:rsid w:val="00DA7FAE"/>
    <w:rsid w:val="00DB05D9"/>
    <w:rsid w:val="00DB0A73"/>
    <w:rsid w:val="00DB1150"/>
    <w:rsid w:val="00DB129D"/>
    <w:rsid w:val="00DB1363"/>
    <w:rsid w:val="00DB1776"/>
    <w:rsid w:val="00DB19F9"/>
    <w:rsid w:val="00DB20BC"/>
    <w:rsid w:val="00DB2393"/>
    <w:rsid w:val="00DB2B16"/>
    <w:rsid w:val="00DB2E4E"/>
    <w:rsid w:val="00DB3324"/>
    <w:rsid w:val="00DB3B9E"/>
    <w:rsid w:val="00DB3EC5"/>
    <w:rsid w:val="00DB457F"/>
    <w:rsid w:val="00DB497E"/>
    <w:rsid w:val="00DB4B81"/>
    <w:rsid w:val="00DB4C39"/>
    <w:rsid w:val="00DB5FF7"/>
    <w:rsid w:val="00DB62B8"/>
    <w:rsid w:val="00DB635A"/>
    <w:rsid w:val="00DB6F36"/>
    <w:rsid w:val="00DB7205"/>
    <w:rsid w:val="00DB7BA1"/>
    <w:rsid w:val="00DB7C8F"/>
    <w:rsid w:val="00DC09CA"/>
    <w:rsid w:val="00DC263A"/>
    <w:rsid w:val="00DC27BE"/>
    <w:rsid w:val="00DC2AF4"/>
    <w:rsid w:val="00DC2CB5"/>
    <w:rsid w:val="00DC4B6C"/>
    <w:rsid w:val="00DC4D0F"/>
    <w:rsid w:val="00DC52E1"/>
    <w:rsid w:val="00DC5500"/>
    <w:rsid w:val="00DC5AC2"/>
    <w:rsid w:val="00DC5C6F"/>
    <w:rsid w:val="00DC66BA"/>
    <w:rsid w:val="00DC67BC"/>
    <w:rsid w:val="00DC7262"/>
    <w:rsid w:val="00DC7E05"/>
    <w:rsid w:val="00DD051F"/>
    <w:rsid w:val="00DD0974"/>
    <w:rsid w:val="00DD0D7F"/>
    <w:rsid w:val="00DD0DB1"/>
    <w:rsid w:val="00DD108F"/>
    <w:rsid w:val="00DD1157"/>
    <w:rsid w:val="00DD1311"/>
    <w:rsid w:val="00DD1346"/>
    <w:rsid w:val="00DD1483"/>
    <w:rsid w:val="00DD1B01"/>
    <w:rsid w:val="00DD1D55"/>
    <w:rsid w:val="00DD2023"/>
    <w:rsid w:val="00DD20DA"/>
    <w:rsid w:val="00DD2119"/>
    <w:rsid w:val="00DD2761"/>
    <w:rsid w:val="00DD2A90"/>
    <w:rsid w:val="00DD2A9F"/>
    <w:rsid w:val="00DD2D16"/>
    <w:rsid w:val="00DD32CC"/>
    <w:rsid w:val="00DD3719"/>
    <w:rsid w:val="00DD3830"/>
    <w:rsid w:val="00DD397E"/>
    <w:rsid w:val="00DD4294"/>
    <w:rsid w:val="00DD4E25"/>
    <w:rsid w:val="00DD5B7A"/>
    <w:rsid w:val="00DD5DC6"/>
    <w:rsid w:val="00DD6165"/>
    <w:rsid w:val="00DD62B9"/>
    <w:rsid w:val="00DD65BB"/>
    <w:rsid w:val="00DD6816"/>
    <w:rsid w:val="00DD6B4A"/>
    <w:rsid w:val="00DD6BA8"/>
    <w:rsid w:val="00DD6D47"/>
    <w:rsid w:val="00DD7917"/>
    <w:rsid w:val="00DD7CEF"/>
    <w:rsid w:val="00DE01CB"/>
    <w:rsid w:val="00DE0E25"/>
    <w:rsid w:val="00DE0FC6"/>
    <w:rsid w:val="00DE189A"/>
    <w:rsid w:val="00DE1E11"/>
    <w:rsid w:val="00DE26B3"/>
    <w:rsid w:val="00DE2E22"/>
    <w:rsid w:val="00DE39DE"/>
    <w:rsid w:val="00DE3B9C"/>
    <w:rsid w:val="00DE3EF3"/>
    <w:rsid w:val="00DE45A5"/>
    <w:rsid w:val="00DE45AB"/>
    <w:rsid w:val="00DE4615"/>
    <w:rsid w:val="00DE4B04"/>
    <w:rsid w:val="00DE5045"/>
    <w:rsid w:val="00DE50D6"/>
    <w:rsid w:val="00DE5141"/>
    <w:rsid w:val="00DE5527"/>
    <w:rsid w:val="00DE58A0"/>
    <w:rsid w:val="00DE58DB"/>
    <w:rsid w:val="00DE5B71"/>
    <w:rsid w:val="00DE6F62"/>
    <w:rsid w:val="00DE73FB"/>
    <w:rsid w:val="00DE7CB8"/>
    <w:rsid w:val="00DF14E7"/>
    <w:rsid w:val="00DF14F8"/>
    <w:rsid w:val="00DF1529"/>
    <w:rsid w:val="00DF2103"/>
    <w:rsid w:val="00DF232D"/>
    <w:rsid w:val="00DF29F7"/>
    <w:rsid w:val="00DF2D3A"/>
    <w:rsid w:val="00DF30F0"/>
    <w:rsid w:val="00DF34E4"/>
    <w:rsid w:val="00DF3AD9"/>
    <w:rsid w:val="00DF3D72"/>
    <w:rsid w:val="00DF3F83"/>
    <w:rsid w:val="00DF4C35"/>
    <w:rsid w:val="00DF570E"/>
    <w:rsid w:val="00DF5951"/>
    <w:rsid w:val="00DF5DC9"/>
    <w:rsid w:val="00DF60AA"/>
    <w:rsid w:val="00DF6198"/>
    <w:rsid w:val="00DF63A7"/>
    <w:rsid w:val="00DF64AF"/>
    <w:rsid w:val="00DF64D2"/>
    <w:rsid w:val="00DF6698"/>
    <w:rsid w:val="00DF6A61"/>
    <w:rsid w:val="00DF6E30"/>
    <w:rsid w:val="00DF7022"/>
    <w:rsid w:val="00DF719B"/>
    <w:rsid w:val="00DF7992"/>
    <w:rsid w:val="00DF79E4"/>
    <w:rsid w:val="00E00A9A"/>
    <w:rsid w:val="00E0207A"/>
    <w:rsid w:val="00E023E6"/>
    <w:rsid w:val="00E02C35"/>
    <w:rsid w:val="00E02FFE"/>
    <w:rsid w:val="00E0321D"/>
    <w:rsid w:val="00E039A5"/>
    <w:rsid w:val="00E04958"/>
    <w:rsid w:val="00E049BD"/>
    <w:rsid w:val="00E05956"/>
    <w:rsid w:val="00E06916"/>
    <w:rsid w:val="00E06991"/>
    <w:rsid w:val="00E06BC3"/>
    <w:rsid w:val="00E06D3C"/>
    <w:rsid w:val="00E075CA"/>
    <w:rsid w:val="00E101A7"/>
    <w:rsid w:val="00E104F3"/>
    <w:rsid w:val="00E10C16"/>
    <w:rsid w:val="00E1124C"/>
    <w:rsid w:val="00E119B0"/>
    <w:rsid w:val="00E11B8F"/>
    <w:rsid w:val="00E11BB1"/>
    <w:rsid w:val="00E122C9"/>
    <w:rsid w:val="00E1239A"/>
    <w:rsid w:val="00E1259A"/>
    <w:rsid w:val="00E13243"/>
    <w:rsid w:val="00E1330D"/>
    <w:rsid w:val="00E13B95"/>
    <w:rsid w:val="00E14CF0"/>
    <w:rsid w:val="00E14E09"/>
    <w:rsid w:val="00E14EEE"/>
    <w:rsid w:val="00E16198"/>
    <w:rsid w:val="00E16243"/>
    <w:rsid w:val="00E1624B"/>
    <w:rsid w:val="00E168EE"/>
    <w:rsid w:val="00E16C42"/>
    <w:rsid w:val="00E1723E"/>
    <w:rsid w:val="00E17289"/>
    <w:rsid w:val="00E17503"/>
    <w:rsid w:val="00E17EA4"/>
    <w:rsid w:val="00E17F49"/>
    <w:rsid w:val="00E2006D"/>
    <w:rsid w:val="00E20418"/>
    <w:rsid w:val="00E2096F"/>
    <w:rsid w:val="00E20E93"/>
    <w:rsid w:val="00E21107"/>
    <w:rsid w:val="00E211BF"/>
    <w:rsid w:val="00E21412"/>
    <w:rsid w:val="00E21598"/>
    <w:rsid w:val="00E22104"/>
    <w:rsid w:val="00E22454"/>
    <w:rsid w:val="00E22486"/>
    <w:rsid w:val="00E22739"/>
    <w:rsid w:val="00E227F0"/>
    <w:rsid w:val="00E22993"/>
    <w:rsid w:val="00E229A0"/>
    <w:rsid w:val="00E230CB"/>
    <w:rsid w:val="00E236E4"/>
    <w:rsid w:val="00E23B95"/>
    <w:rsid w:val="00E23E25"/>
    <w:rsid w:val="00E23F69"/>
    <w:rsid w:val="00E244B9"/>
    <w:rsid w:val="00E2469C"/>
    <w:rsid w:val="00E24CF9"/>
    <w:rsid w:val="00E24FDD"/>
    <w:rsid w:val="00E25159"/>
    <w:rsid w:val="00E253F1"/>
    <w:rsid w:val="00E25577"/>
    <w:rsid w:val="00E2583D"/>
    <w:rsid w:val="00E258AA"/>
    <w:rsid w:val="00E25AC1"/>
    <w:rsid w:val="00E26040"/>
    <w:rsid w:val="00E260AB"/>
    <w:rsid w:val="00E26398"/>
    <w:rsid w:val="00E26466"/>
    <w:rsid w:val="00E27116"/>
    <w:rsid w:val="00E27408"/>
    <w:rsid w:val="00E27FCF"/>
    <w:rsid w:val="00E30487"/>
    <w:rsid w:val="00E31319"/>
    <w:rsid w:val="00E3160B"/>
    <w:rsid w:val="00E31D6F"/>
    <w:rsid w:val="00E31E0B"/>
    <w:rsid w:val="00E31E29"/>
    <w:rsid w:val="00E32882"/>
    <w:rsid w:val="00E32B9B"/>
    <w:rsid w:val="00E3369B"/>
    <w:rsid w:val="00E34AB7"/>
    <w:rsid w:val="00E34CDC"/>
    <w:rsid w:val="00E361E1"/>
    <w:rsid w:val="00E366C8"/>
    <w:rsid w:val="00E368B4"/>
    <w:rsid w:val="00E36EAB"/>
    <w:rsid w:val="00E37144"/>
    <w:rsid w:val="00E37375"/>
    <w:rsid w:val="00E37592"/>
    <w:rsid w:val="00E37CE6"/>
    <w:rsid w:val="00E37FDF"/>
    <w:rsid w:val="00E4039F"/>
    <w:rsid w:val="00E4112E"/>
    <w:rsid w:val="00E414DC"/>
    <w:rsid w:val="00E418E6"/>
    <w:rsid w:val="00E42707"/>
    <w:rsid w:val="00E428BD"/>
    <w:rsid w:val="00E43292"/>
    <w:rsid w:val="00E4333D"/>
    <w:rsid w:val="00E4371F"/>
    <w:rsid w:val="00E444AA"/>
    <w:rsid w:val="00E44845"/>
    <w:rsid w:val="00E448E9"/>
    <w:rsid w:val="00E44FC4"/>
    <w:rsid w:val="00E46206"/>
    <w:rsid w:val="00E46F61"/>
    <w:rsid w:val="00E47413"/>
    <w:rsid w:val="00E47C30"/>
    <w:rsid w:val="00E507CD"/>
    <w:rsid w:val="00E50C0E"/>
    <w:rsid w:val="00E5168B"/>
    <w:rsid w:val="00E5212B"/>
    <w:rsid w:val="00E52466"/>
    <w:rsid w:val="00E52597"/>
    <w:rsid w:val="00E526FC"/>
    <w:rsid w:val="00E52C16"/>
    <w:rsid w:val="00E52CF6"/>
    <w:rsid w:val="00E53761"/>
    <w:rsid w:val="00E53870"/>
    <w:rsid w:val="00E538FF"/>
    <w:rsid w:val="00E539AB"/>
    <w:rsid w:val="00E54407"/>
    <w:rsid w:val="00E54DDA"/>
    <w:rsid w:val="00E54F53"/>
    <w:rsid w:val="00E55491"/>
    <w:rsid w:val="00E5628F"/>
    <w:rsid w:val="00E56DE3"/>
    <w:rsid w:val="00E57771"/>
    <w:rsid w:val="00E57C92"/>
    <w:rsid w:val="00E60622"/>
    <w:rsid w:val="00E6079D"/>
    <w:rsid w:val="00E614E8"/>
    <w:rsid w:val="00E6158C"/>
    <w:rsid w:val="00E619AC"/>
    <w:rsid w:val="00E6260F"/>
    <w:rsid w:val="00E626FE"/>
    <w:rsid w:val="00E62C82"/>
    <w:rsid w:val="00E63DBA"/>
    <w:rsid w:val="00E6417D"/>
    <w:rsid w:val="00E64BF3"/>
    <w:rsid w:val="00E64F80"/>
    <w:rsid w:val="00E65277"/>
    <w:rsid w:val="00E65E32"/>
    <w:rsid w:val="00E65E64"/>
    <w:rsid w:val="00E66E30"/>
    <w:rsid w:val="00E67379"/>
    <w:rsid w:val="00E67387"/>
    <w:rsid w:val="00E67A05"/>
    <w:rsid w:val="00E67B35"/>
    <w:rsid w:val="00E67D7E"/>
    <w:rsid w:val="00E700A7"/>
    <w:rsid w:val="00E70266"/>
    <w:rsid w:val="00E702C2"/>
    <w:rsid w:val="00E706BB"/>
    <w:rsid w:val="00E70AFA"/>
    <w:rsid w:val="00E7109D"/>
    <w:rsid w:val="00E71179"/>
    <w:rsid w:val="00E718ED"/>
    <w:rsid w:val="00E71B5C"/>
    <w:rsid w:val="00E72044"/>
    <w:rsid w:val="00E722D0"/>
    <w:rsid w:val="00E726E2"/>
    <w:rsid w:val="00E7292D"/>
    <w:rsid w:val="00E73720"/>
    <w:rsid w:val="00E73CA5"/>
    <w:rsid w:val="00E73FDD"/>
    <w:rsid w:val="00E743A4"/>
    <w:rsid w:val="00E74AAB"/>
    <w:rsid w:val="00E75248"/>
    <w:rsid w:val="00E759E6"/>
    <w:rsid w:val="00E75EC1"/>
    <w:rsid w:val="00E7608E"/>
    <w:rsid w:val="00E76192"/>
    <w:rsid w:val="00E76B1A"/>
    <w:rsid w:val="00E778FF"/>
    <w:rsid w:val="00E804F0"/>
    <w:rsid w:val="00E8090F"/>
    <w:rsid w:val="00E80C37"/>
    <w:rsid w:val="00E80C6A"/>
    <w:rsid w:val="00E80EF8"/>
    <w:rsid w:val="00E81362"/>
    <w:rsid w:val="00E81485"/>
    <w:rsid w:val="00E8170D"/>
    <w:rsid w:val="00E81924"/>
    <w:rsid w:val="00E81A23"/>
    <w:rsid w:val="00E827E9"/>
    <w:rsid w:val="00E82857"/>
    <w:rsid w:val="00E82D58"/>
    <w:rsid w:val="00E8357D"/>
    <w:rsid w:val="00E84077"/>
    <w:rsid w:val="00E841F1"/>
    <w:rsid w:val="00E8430B"/>
    <w:rsid w:val="00E84BDF"/>
    <w:rsid w:val="00E850C3"/>
    <w:rsid w:val="00E8514E"/>
    <w:rsid w:val="00E86165"/>
    <w:rsid w:val="00E8627A"/>
    <w:rsid w:val="00E866D0"/>
    <w:rsid w:val="00E870F7"/>
    <w:rsid w:val="00E8722F"/>
    <w:rsid w:val="00E8739D"/>
    <w:rsid w:val="00E874CD"/>
    <w:rsid w:val="00E877AC"/>
    <w:rsid w:val="00E87854"/>
    <w:rsid w:val="00E878D3"/>
    <w:rsid w:val="00E87D62"/>
    <w:rsid w:val="00E90DE9"/>
    <w:rsid w:val="00E9110B"/>
    <w:rsid w:val="00E91363"/>
    <w:rsid w:val="00E91570"/>
    <w:rsid w:val="00E918B0"/>
    <w:rsid w:val="00E91F8B"/>
    <w:rsid w:val="00E92143"/>
    <w:rsid w:val="00E9278F"/>
    <w:rsid w:val="00E928DD"/>
    <w:rsid w:val="00E92EFB"/>
    <w:rsid w:val="00E93DFE"/>
    <w:rsid w:val="00E946D9"/>
    <w:rsid w:val="00E956A8"/>
    <w:rsid w:val="00E959A2"/>
    <w:rsid w:val="00E95FA9"/>
    <w:rsid w:val="00E95FBF"/>
    <w:rsid w:val="00E9635A"/>
    <w:rsid w:val="00E97863"/>
    <w:rsid w:val="00E978E5"/>
    <w:rsid w:val="00E97CD6"/>
    <w:rsid w:val="00EA0264"/>
    <w:rsid w:val="00EA0390"/>
    <w:rsid w:val="00EA0E37"/>
    <w:rsid w:val="00EA1474"/>
    <w:rsid w:val="00EA2918"/>
    <w:rsid w:val="00EA2C74"/>
    <w:rsid w:val="00EA355A"/>
    <w:rsid w:val="00EA3E3C"/>
    <w:rsid w:val="00EA3E48"/>
    <w:rsid w:val="00EA41B8"/>
    <w:rsid w:val="00EA4406"/>
    <w:rsid w:val="00EA4DAA"/>
    <w:rsid w:val="00EA5A14"/>
    <w:rsid w:val="00EA5BA9"/>
    <w:rsid w:val="00EA5D59"/>
    <w:rsid w:val="00EA5D5C"/>
    <w:rsid w:val="00EA656F"/>
    <w:rsid w:val="00EA65BC"/>
    <w:rsid w:val="00EA66BB"/>
    <w:rsid w:val="00EA6A17"/>
    <w:rsid w:val="00EA71C0"/>
    <w:rsid w:val="00EA72EC"/>
    <w:rsid w:val="00EA782C"/>
    <w:rsid w:val="00EA78D0"/>
    <w:rsid w:val="00EB0146"/>
    <w:rsid w:val="00EB057F"/>
    <w:rsid w:val="00EB0885"/>
    <w:rsid w:val="00EB08BC"/>
    <w:rsid w:val="00EB12DE"/>
    <w:rsid w:val="00EB159A"/>
    <w:rsid w:val="00EB16F4"/>
    <w:rsid w:val="00EB1855"/>
    <w:rsid w:val="00EB1A49"/>
    <w:rsid w:val="00EB1E77"/>
    <w:rsid w:val="00EB2405"/>
    <w:rsid w:val="00EB2BB1"/>
    <w:rsid w:val="00EB2CCE"/>
    <w:rsid w:val="00EB351D"/>
    <w:rsid w:val="00EB381C"/>
    <w:rsid w:val="00EB3A29"/>
    <w:rsid w:val="00EB4DCB"/>
    <w:rsid w:val="00EB5120"/>
    <w:rsid w:val="00EB5483"/>
    <w:rsid w:val="00EB6900"/>
    <w:rsid w:val="00EB6BAA"/>
    <w:rsid w:val="00EB6C1F"/>
    <w:rsid w:val="00EB6D2B"/>
    <w:rsid w:val="00EB70E3"/>
    <w:rsid w:val="00EB73B5"/>
    <w:rsid w:val="00EB7555"/>
    <w:rsid w:val="00EB7CAF"/>
    <w:rsid w:val="00EC00A5"/>
    <w:rsid w:val="00EC02B8"/>
    <w:rsid w:val="00EC0636"/>
    <w:rsid w:val="00EC083A"/>
    <w:rsid w:val="00EC0A63"/>
    <w:rsid w:val="00EC0BBB"/>
    <w:rsid w:val="00EC0EDB"/>
    <w:rsid w:val="00EC0F6D"/>
    <w:rsid w:val="00EC1064"/>
    <w:rsid w:val="00EC14BE"/>
    <w:rsid w:val="00EC1707"/>
    <w:rsid w:val="00EC174C"/>
    <w:rsid w:val="00EC1B27"/>
    <w:rsid w:val="00EC1ED8"/>
    <w:rsid w:val="00EC2237"/>
    <w:rsid w:val="00EC2977"/>
    <w:rsid w:val="00EC2CA3"/>
    <w:rsid w:val="00EC3176"/>
    <w:rsid w:val="00EC3DD9"/>
    <w:rsid w:val="00EC3EF4"/>
    <w:rsid w:val="00EC46E4"/>
    <w:rsid w:val="00EC4AD3"/>
    <w:rsid w:val="00EC5039"/>
    <w:rsid w:val="00EC5281"/>
    <w:rsid w:val="00EC5920"/>
    <w:rsid w:val="00EC5A65"/>
    <w:rsid w:val="00EC5F63"/>
    <w:rsid w:val="00EC61AC"/>
    <w:rsid w:val="00EC63A2"/>
    <w:rsid w:val="00ED0065"/>
    <w:rsid w:val="00ED08F3"/>
    <w:rsid w:val="00ED0C6A"/>
    <w:rsid w:val="00ED0DDE"/>
    <w:rsid w:val="00ED152D"/>
    <w:rsid w:val="00ED1949"/>
    <w:rsid w:val="00ED197C"/>
    <w:rsid w:val="00ED1EF7"/>
    <w:rsid w:val="00ED20A8"/>
    <w:rsid w:val="00ED2552"/>
    <w:rsid w:val="00ED272C"/>
    <w:rsid w:val="00ED2DDD"/>
    <w:rsid w:val="00ED38E3"/>
    <w:rsid w:val="00ED485F"/>
    <w:rsid w:val="00ED4930"/>
    <w:rsid w:val="00ED4A3A"/>
    <w:rsid w:val="00ED4CBB"/>
    <w:rsid w:val="00ED5509"/>
    <w:rsid w:val="00ED55AA"/>
    <w:rsid w:val="00ED55B7"/>
    <w:rsid w:val="00ED5FCE"/>
    <w:rsid w:val="00ED6450"/>
    <w:rsid w:val="00ED64DE"/>
    <w:rsid w:val="00ED6638"/>
    <w:rsid w:val="00ED6E79"/>
    <w:rsid w:val="00ED6ED7"/>
    <w:rsid w:val="00ED712A"/>
    <w:rsid w:val="00ED71A6"/>
    <w:rsid w:val="00ED7F00"/>
    <w:rsid w:val="00EE0028"/>
    <w:rsid w:val="00EE0221"/>
    <w:rsid w:val="00EE03CC"/>
    <w:rsid w:val="00EE051F"/>
    <w:rsid w:val="00EE05B7"/>
    <w:rsid w:val="00EE0C65"/>
    <w:rsid w:val="00EE0EC5"/>
    <w:rsid w:val="00EE1282"/>
    <w:rsid w:val="00EE1817"/>
    <w:rsid w:val="00EE1BB8"/>
    <w:rsid w:val="00EE1DD1"/>
    <w:rsid w:val="00EE1FC9"/>
    <w:rsid w:val="00EE2245"/>
    <w:rsid w:val="00EE25F9"/>
    <w:rsid w:val="00EE29AF"/>
    <w:rsid w:val="00EE2E01"/>
    <w:rsid w:val="00EE3463"/>
    <w:rsid w:val="00EE37EE"/>
    <w:rsid w:val="00EE39A4"/>
    <w:rsid w:val="00EE4B59"/>
    <w:rsid w:val="00EE50A8"/>
    <w:rsid w:val="00EE53B9"/>
    <w:rsid w:val="00EE6372"/>
    <w:rsid w:val="00EE6783"/>
    <w:rsid w:val="00EE6889"/>
    <w:rsid w:val="00EE7829"/>
    <w:rsid w:val="00EF0279"/>
    <w:rsid w:val="00EF0629"/>
    <w:rsid w:val="00EF09DF"/>
    <w:rsid w:val="00EF0D49"/>
    <w:rsid w:val="00EF1594"/>
    <w:rsid w:val="00EF1C23"/>
    <w:rsid w:val="00EF269C"/>
    <w:rsid w:val="00EF29C7"/>
    <w:rsid w:val="00EF3463"/>
    <w:rsid w:val="00EF36A1"/>
    <w:rsid w:val="00EF389F"/>
    <w:rsid w:val="00EF3DE4"/>
    <w:rsid w:val="00EF40A9"/>
    <w:rsid w:val="00EF4251"/>
    <w:rsid w:val="00EF4841"/>
    <w:rsid w:val="00EF4A6B"/>
    <w:rsid w:val="00EF4CAF"/>
    <w:rsid w:val="00EF4E00"/>
    <w:rsid w:val="00EF540A"/>
    <w:rsid w:val="00EF56AD"/>
    <w:rsid w:val="00EF6405"/>
    <w:rsid w:val="00EF719E"/>
    <w:rsid w:val="00EF76FE"/>
    <w:rsid w:val="00F0064D"/>
    <w:rsid w:val="00F006BC"/>
    <w:rsid w:val="00F0087F"/>
    <w:rsid w:val="00F00C37"/>
    <w:rsid w:val="00F00C86"/>
    <w:rsid w:val="00F00D52"/>
    <w:rsid w:val="00F01005"/>
    <w:rsid w:val="00F01129"/>
    <w:rsid w:val="00F0119D"/>
    <w:rsid w:val="00F01A5B"/>
    <w:rsid w:val="00F020B0"/>
    <w:rsid w:val="00F02F41"/>
    <w:rsid w:val="00F0304D"/>
    <w:rsid w:val="00F03088"/>
    <w:rsid w:val="00F0433A"/>
    <w:rsid w:val="00F044BF"/>
    <w:rsid w:val="00F04643"/>
    <w:rsid w:val="00F047EF"/>
    <w:rsid w:val="00F04CE5"/>
    <w:rsid w:val="00F0577A"/>
    <w:rsid w:val="00F0619B"/>
    <w:rsid w:val="00F062E1"/>
    <w:rsid w:val="00F06B73"/>
    <w:rsid w:val="00F06EF8"/>
    <w:rsid w:val="00F07728"/>
    <w:rsid w:val="00F10A73"/>
    <w:rsid w:val="00F11145"/>
    <w:rsid w:val="00F11700"/>
    <w:rsid w:val="00F118CF"/>
    <w:rsid w:val="00F11F45"/>
    <w:rsid w:val="00F120EC"/>
    <w:rsid w:val="00F12445"/>
    <w:rsid w:val="00F12496"/>
    <w:rsid w:val="00F12666"/>
    <w:rsid w:val="00F12DC0"/>
    <w:rsid w:val="00F139BE"/>
    <w:rsid w:val="00F1472B"/>
    <w:rsid w:val="00F147FA"/>
    <w:rsid w:val="00F1486B"/>
    <w:rsid w:val="00F14D0B"/>
    <w:rsid w:val="00F14E3D"/>
    <w:rsid w:val="00F14FC6"/>
    <w:rsid w:val="00F152C9"/>
    <w:rsid w:val="00F159F8"/>
    <w:rsid w:val="00F15AA8"/>
    <w:rsid w:val="00F15D77"/>
    <w:rsid w:val="00F15F58"/>
    <w:rsid w:val="00F17663"/>
    <w:rsid w:val="00F17D5E"/>
    <w:rsid w:val="00F20369"/>
    <w:rsid w:val="00F20899"/>
    <w:rsid w:val="00F20E57"/>
    <w:rsid w:val="00F21273"/>
    <w:rsid w:val="00F217F9"/>
    <w:rsid w:val="00F21D64"/>
    <w:rsid w:val="00F21EFC"/>
    <w:rsid w:val="00F2262B"/>
    <w:rsid w:val="00F22C4F"/>
    <w:rsid w:val="00F23BFE"/>
    <w:rsid w:val="00F2456C"/>
    <w:rsid w:val="00F24C95"/>
    <w:rsid w:val="00F25138"/>
    <w:rsid w:val="00F2548E"/>
    <w:rsid w:val="00F25965"/>
    <w:rsid w:val="00F2704B"/>
    <w:rsid w:val="00F27659"/>
    <w:rsid w:val="00F302A0"/>
    <w:rsid w:val="00F3080C"/>
    <w:rsid w:val="00F31AD8"/>
    <w:rsid w:val="00F325C9"/>
    <w:rsid w:val="00F32751"/>
    <w:rsid w:val="00F3365B"/>
    <w:rsid w:val="00F339CE"/>
    <w:rsid w:val="00F33E76"/>
    <w:rsid w:val="00F342F9"/>
    <w:rsid w:val="00F345C3"/>
    <w:rsid w:val="00F3469B"/>
    <w:rsid w:val="00F348B2"/>
    <w:rsid w:val="00F35094"/>
    <w:rsid w:val="00F35125"/>
    <w:rsid w:val="00F3516E"/>
    <w:rsid w:val="00F35FBD"/>
    <w:rsid w:val="00F366A6"/>
    <w:rsid w:val="00F37764"/>
    <w:rsid w:val="00F37F91"/>
    <w:rsid w:val="00F4021E"/>
    <w:rsid w:val="00F40692"/>
    <w:rsid w:val="00F4071F"/>
    <w:rsid w:val="00F40C9F"/>
    <w:rsid w:val="00F4118B"/>
    <w:rsid w:val="00F4192A"/>
    <w:rsid w:val="00F41DFF"/>
    <w:rsid w:val="00F42179"/>
    <w:rsid w:val="00F42995"/>
    <w:rsid w:val="00F42D1A"/>
    <w:rsid w:val="00F42F4E"/>
    <w:rsid w:val="00F44379"/>
    <w:rsid w:val="00F44601"/>
    <w:rsid w:val="00F45348"/>
    <w:rsid w:val="00F45CB7"/>
    <w:rsid w:val="00F46B76"/>
    <w:rsid w:val="00F46CC4"/>
    <w:rsid w:val="00F46EFD"/>
    <w:rsid w:val="00F46F21"/>
    <w:rsid w:val="00F47996"/>
    <w:rsid w:val="00F47E58"/>
    <w:rsid w:val="00F50527"/>
    <w:rsid w:val="00F507BE"/>
    <w:rsid w:val="00F50C82"/>
    <w:rsid w:val="00F50F62"/>
    <w:rsid w:val="00F51011"/>
    <w:rsid w:val="00F5126C"/>
    <w:rsid w:val="00F518E5"/>
    <w:rsid w:val="00F52ED5"/>
    <w:rsid w:val="00F5303D"/>
    <w:rsid w:val="00F5382A"/>
    <w:rsid w:val="00F5391D"/>
    <w:rsid w:val="00F5435D"/>
    <w:rsid w:val="00F5473B"/>
    <w:rsid w:val="00F54A50"/>
    <w:rsid w:val="00F54A67"/>
    <w:rsid w:val="00F54F47"/>
    <w:rsid w:val="00F54FAA"/>
    <w:rsid w:val="00F55079"/>
    <w:rsid w:val="00F55896"/>
    <w:rsid w:val="00F55CF9"/>
    <w:rsid w:val="00F56834"/>
    <w:rsid w:val="00F56A8F"/>
    <w:rsid w:val="00F56C00"/>
    <w:rsid w:val="00F571EB"/>
    <w:rsid w:val="00F57673"/>
    <w:rsid w:val="00F579EC"/>
    <w:rsid w:val="00F617DC"/>
    <w:rsid w:val="00F61AAD"/>
    <w:rsid w:val="00F61BCF"/>
    <w:rsid w:val="00F621BD"/>
    <w:rsid w:val="00F627C0"/>
    <w:rsid w:val="00F6348D"/>
    <w:rsid w:val="00F638C4"/>
    <w:rsid w:val="00F63955"/>
    <w:rsid w:val="00F63A75"/>
    <w:rsid w:val="00F640BF"/>
    <w:rsid w:val="00F6415A"/>
    <w:rsid w:val="00F64753"/>
    <w:rsid w:val="00F64FB0"/>
    <w:rsid w:val="00F651BC"/>
    <w:rsid w:val="00F6522A"/>
    <w:rsid w:val="00F65586"/>
    <w:rsid w:val="00F67165"/>
    <w:rsid w:val="00F672DF"/>
    <w:rsid w:val="00F67894"/>
    <w:rsid w:val="00F67CCA"/>
    <w:rsid w:val="00F67FA4"/>
    <w:rsid w:val="00F70490"/>
    <w:rsid w:val="00F7071C"/>
    <w:rsid w:val="00F70B2D"/>
    <w:rsid w:val="00F70B9C"/>
    <w:rsid w:val="00F719E6"/>
    <w:rsid w:val="00F71C45"/>
    <w:rsid w:val="00F72908"/>
    <w:rsid w:val="00F72E24"/>
    <w:rsid w:val="00F74CF3"/>
    <w:rsid w:val="00F74E2A"/>
    <w:rsid w:val="00F7539A"/>
    <w:rsid w:val="00F754D5"/>
    <w:rsid w:val="00F75864"/>
    <w:rsid w:val="00F760F3"/>
    <w:rsid w:val="00F76251"/>
    <w:rsid w:val="00F7673F"/>
    <w:rsid w:val="00F76DDA"/>
    <w:rsid w:val="00F76FE8"/>
    <w:rsid w:val="00F8015F"/>
    <w:rsid w:val="00F80505"/>
    <w:rsid w:val="00F807FB"/>
    <w:rsid w:val="00F80C71"/>
    <w:rsid w:val="00F812BA"/>
    <w:rsid w:val="00F82595"/>
    <w:rsid w:val="00F829C9"/>
    <w:rsid w:val="00F8304E"/>
    <w:rsid w:val="00F83228"/>
    <w:rsid w:val="00F833A2"/>
    <w:rsid w:val="00F834C1"/>
    <w:rsid w:val="00F83727"/>
    <w:rsid w:val="00F84A82"/>
    <w:rsid w:val="00F84DDE"/>
    <w:rsid w:val="00F85593"/>
    <w:rsid w:val="00F857BB"/>
    <w:rsid w:val="00F858FA"/>
    <w:rsid w:val="00F85F5C"/>
    <w:rsid w:val="00F8685E"/>
    <w:rsid w:val="00F86861"/>
    <w:rsid w:val="00F869D6"/>
    <w:rsid w:val="00F86C32"/>
    <w:rsid w:val="00F872DC"/>
    <w:rsid w:val="00F8799A"/>
    <w:rsid w:val="00F87EA4"/>
    <w:rsid w:val="00F9062E"/>
    <w:rsid w:val="00F90636"/>
    <w:rsid w:val="00F908BE"/>
    <w:rsid w:val="00F90DEE"/>
    <w:rsid w:val="00F910B8"/>
    <w:rsid w:val="00F914B4"/>
    <w:rsid w:val="00F91D32"/>
    <w:rsid w:val="00F92785"/>
    <w:rsid w:val="00F93985"/>
    <w:rsid w:val="00F94783"/>
    <w:rsid w:val="00F949CB"/>
    <w:rsid w:val="00F9524E"/>
    <w:rsid w:val="00F95AA3"/>
    <w:rsid w:val="00F95B43"/>
    <w:rsid w:val="00F95BD7"/>
    <w:rsid w:val="00F95FEA"/>
    <w:rsid w:val="00F960AD"/>
    <w:rsid w:val="00F96489"/>
    <w:rsid w:val="00F964E8"/>
    <w:rsid w:val="00F968CB"/>
    <w:rsid w:val="00F970BA"/>
    <w:rsid w:val="00F97124"/>
    <w:rsid w:val="00F9713C"/>
    <w:rsid w:val="00F971CE"/>
    <w:rsid w:val="00F97C17"/>
    <w:rsid w:val="00F97FAF"/>
    <w:rsid w:val="00FA002A"/>
    <w:rsid w:val="00FA0056"/>
    <w:rsid w:val="00FA1420"/>
    <w:rsid w:val="00FA2553"/>
    <w:rsid w:val="00FA318E"/>
    <w:rsid w:val="00FA3375"/>
    <w:rsid w:val="00FA33C9"/>
    <w:rsid w:val="00FA3AFB"/>
    <w:rsid w:val="00FA45A1"/>
    <w:rsid w:val="00FA4AAF"/>
    <w:rsid w:val="00FA591E"/>
    <w:rsid w:val="00FA5955"/>
    <w:rsid w:val="00FA5E02"/>
    <w:rsid w:val="00FA5F04"/>
    <w:rsid w:val="00FA62A2"/>
    <w:rsid w:val="00FA69B8"/>
    <w:rsid w:val="00FA6C7B"/>
    <w:rsid w:val="00FA6CA0"/>
    <w:rsid w:val="00FA72A0"/>
    <w:rsid w:val="00FA7580"/>
    <w:rsid w:val="00FB0D0A"/>
    <w:rsid w:val="00FB1048"/>
    <w:rsid w:val="00FB146D"/>
    <w:rsid w:val="00FB1F1C"/>
    <w:rsid w:val="00FB221D"/>
    <w:rsid w:val="00FB2D29"/>
    <w:rsid w:val="00FB30A1"/>
    <w:rsid w:val="00FB31DD"/>
    <w:rsid w:val="00FB32A4"/>
    <w:rsid w:val="00FB3CF2"/>
    <w:rsid w:val="00FB3F34"/>
    <w:rsid w:val="00FB4692"/>
    <w:rsid w:val="00FB47B4"/>
    <w:rsid w:val="00FB4B8E"/>
    <w:rsid w:val="00FB4E79"/>
    <w:rsid w:val="00FB515C"/>
    <w:rsid w:val="00FB51A3"/>
    <w:rsid w:val="00FB520B"/>
    <w:rsid w:val="00FB52E0"/>
    <w:rsid w:val="00FB5342"/>
    <w:rsid w:val="00FB6462"/>
    <w:rsid w:val="00FB6BFE"/>
    <w:rsid w:val="00FB6E80"/>
    <w:rsid w:val="00FB785D"/>
    <w:rsid w:val="00FC001D"/>
    <w:rsid w:val="00FC0108"/>
    <w:rsid w:val="00FC034D"/>
    <w:rsid w:val="00FC0549"/>
    <w:rsid w:val="00FC083E"/>
    <w:rsid w:val="00FC08A3"/>
    <w:rsid w:val="00FC0AC7"/>
    <w:rsid w:val="00FC11C1"/>
    <w:rsid w:val="00FC1251"/>
    <w:rsid w:val="00FC15D4"/>
    <w:rsid w:val="00FC1AA8"/>
    <w:rsid w:val="00FC1ADC"/>
    <w:rsid w:val="00FC1D83"/>
    <w:rsid w:val="00FC2B12"/>
    <w:rsid w:val="00FC35B5"/>
    <w:rsid w:val="00FC42B7"/>
    <w:rsid w:val="00FC4B93"/>
    <w:rsid w:val="00FC5451"/>
    <w:rsid w:val="00FC5650"/>
    <w:rsid w:val="00FC5979"/>
    <w:rsid w:val="00FC69E3"/>
    <w:rsid w:val="00FC74CA"/>
    <w:rsid w:val="00FC75A5"/>
    <w:rsid w:val="00FC769C"/>
    <w:rsid w:val="00FC7899"/>
    <w:rsid w:val="00FC7D76"/>
    <w:rsid w:val="00FC7E3A"/>
    <w:rsid w:val="00FD03DA"/>
    <w:rsid w:val="00FD059E"/>
    <w:rsid w:val="00FD0CE4"/>
    <w:rsid w:val="00FD17E9"/>
    <w:rsid w:val="00FD2125"/>
    <w:rsid w:val="00FD2AC4"/>
    <w:rsid w:val="00FD46EE"/>
    <w:rsid w:val="00FD4802"/>
    <w:rsid w:val="00FD4A6F"/>
    <w:rsid w:val="00FD4B29"/>
    <w:rsid w:val="00FD4FDD"/>
    <w:rsid w:val="00FD5357"/>
    <w:rsid w:val="00FD5602"/>
    <w:rsid w:val="00FD5C75"/>
    <w:rsid w:val="00FD6C9B"/>
    <w:rsid w:val="00FD7A8D"/>
    <w:rsid w:val="00FD7DD8"/>
    <w:rsid w:val="00FD7F65"/>
    <w:rsid w:val="00FE02B2"/>
    <w:rsid w:val="00FE0565"/>
    <w:rsid w:val="00FE0F05"/>
    <w:rsid w:val="00FE1118"/>
    <w:rsid w:val="00FE122D"/>
    <w:rsid w:val="00FE1B3A"/>
    <w:rsid w:val="00FE2056"/>
    <w:rsid w:val="00FE2066"/>
    <w:rsid w:val="00FE27FA"/>
    <w:rsid w:val="00FE4015"/>
    <w:rsid w:val="00FE4611"/>
    <w:rsid w:val="00FE4661"/>
    <w:rsid w:val="00FE4AEB"/>
    <w:rsid w:val="00FE51E3"/>
    <w:rsid w:val="00FE5C1F"/>
    <w:rsid w:val="00FE6398"/>
    <w:rsid w:val="00FE661F"/>
    <w:rsid w:val="00FE68B6"/>
    <w:rsid w:val="00FE6F1B"/>
    <w:rsid w:val="00FE7611"/>
    <w:rsid w:val="00FE783A"/>
    <w:rsid w:val="00FE7D29"/>
    <w:rsid w:val="00FF026D"/>
    <w:rsid w:val="00FF0DB8"/>
    <w:rsid w:val="00FF10AB"/>
    <w:rsid w:val="00FF1111"/>
    <w:rsid w:val="00FF155B"/>
    <w:rsid w:val="00FF2166"/>
    <w:rsid w:val="00FF244B"/>
    <w:rsid w:val="00FF25CA"/>
    <w:rsid w:val="00FF260A"/>
    <w:rsid w:val="00FF3F3A"/>
    <w:rsid w:val="00FF43C9"/>
    <w:rsid w:val="00FF46E3"/>
    <w:rsid w:val="00FF5474"/>
    <w:rsid w:val="00FF54D0"/>
    <w:rsid w:val="00FF5FFF"/>
    <w:rsid w:val="00FF6FF6"/>
    <w:rsid w:val="00FF7204"/>
    <w:rsid w:val="00FF7959"/>
    <w:rsid w:val="041B1F30"/>
    <w:rsid w:val="0BF92D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B8CB4"/>
  <w15:docId w15:val="{C6AA187E-FC41-4B79-A111-CB502AAC0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75A"/>
    <w:pPr>
      <w:spacing w:before="60" w:after="60" w:line="240" w:lineRule="auto"/>
    </w:pPr>
    <w:rPr>
      <w:rFonts w:ascii="Arial" w:hAnsi="Arial"/>
      <w:sz w:val="16"/>
    </w:rPr>
  </w:style>
  <w:style w:type="paragraph" w:styleId="Heading1">
    <w:name w:val="heading 1"/>
    <w:basedOn w:val="Normal"/>
    <w:next w:val="Normal"/>
    <w:link w:val="Heading1Char"/>
    <w:uiPriority w:val="9"/>
    <w:qFormat/>
    <w:rsid w:val="00D01281"/>
    <w:pPr>
      <w:keepNext/>
      <w:keepLines/>
      <w:spacing w:before="240" w:after="0"/>
      <w:outlineLvl w:val="0"/>
    </w:pPr>
    <w:rPr>
      <w:rFonts w:eastAsiaTheme="majorEastAsia" w:cstheme="majorBidi"/>
      <w:b/>
      <w:bCs/>
      <w:sz w:val="20"/>
      <w:szCs w:val="28"/>
    </w:rPr>
  </w:style>
  <w:style w:type="paragraph" w:styleId="Heading2">
    <w:name w:val="heading 2"/>
    <w:basedOn w:val="Normal"/>
    <w:next w:val="Normal"/>
    <w:link w:val="Heading2Char"/>
    <w:uiPriority w:val="9"/>
    <w:unhideWhenUsed/>
    <w:qFormat/>
    <w:rsid w:val="008645AD"/>
    <w:pPr>
      <w:keepNext/>
      <w:keepLines/>
      <w:spacing w:before="24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371FAA"/>
    <w:pPr>
      <w:keepNext/>
      <w:keepLines/>
      <w:spacing w:before="240" w:after="0"/>
      <w:outlineLvl w:val="2"/>
    </w:pPr>
    <w:rPr>
      <w:rFonts w:eastAsiaTheme="majorEastAsia" w:cstheme="majorBidi"/>
      <w:b/>
      <w:bCs/>
      <w:sz w:val="20"/>
    </w:rPr>
  </w:style>
  <w:style w:type="paragraph" w:styleId="Heading4">
    <w:name w:val="heading 4"/>
    <w:basedOn w:val="Normal"/>
    <w:next w:val="Normal"/>
    <w:link w:val="Heading4Char"/>
    <w:uiPriority w:val="9"/>
    <w:unhideWhenUsed/>
    <w:qFormat/>
    <w:rsid w:val="00371FAA"/>
    <w:pPr>
      <w:keepNext/>
      <w:keepLines/>
      <w:spacing w:before="40" w:after="0"/>
      <w:outlineLvl w:val="3"/>
    </w:pPr>
    <w:rPr>
      <w:rFonts w:eastAsiaTheme="majorEastAsia" w:cstheme="majorBidi"/>
      <w:b/>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281"/>
    <w:rPr>
      <w:rFonts w:ascii="Arial" w:eastAsiaTheme="majorEastAsia" w:hAnsi="Arial" w:cstheme="majorBidi"/>
      <w:b/>
      <w:bCs/>
      <w:sz w:val="20"/>
      <w:szCs w:val="28"/>
    </w:rPr>
  </w:style>
  <w:style w:type="character" w:customStyle="1" w:styleId="Heading2Char">
    <w:name w:val="Heading 2 Char"/>
    <w:basedOn w:val="DefaultParagraphFont"/>
    <w:link w:val="Heading2"/>
    <w:uiPriority w:val="9"/>
    <w:rsid w:val="008645AD"/>
    <w:rPr>
      <w:rFonts w:ascii="Arial" w:eastAsiaTheme="majorEastAsia" w:hAnsi="Arial" w:cstheme="majorBidi"/>
      <w:b/>
      <w:bCs/>
      <w:sz w:val="20"/>
      <w:szCs w:val="26"/>
    </w:rPr>
  </w:style>
  <w:style w:type="character" w:customStyle="1" w:styleId="Heading3Char">
    <w:name w:val="Heading 3 Char"/>
    <w:basedOn w:val="DefaultParagraphFont"/>
    <w:link w:val="Heading3"/>
    <w:uiPriority w:val="9"/>
    <w:rsid w:val="00371FAA"/>
    <w:rPr>
      <w:rFonts w:ascii="Arial" w:eastAsiaTheme="majorEastAsia" w:hAnsi="Arial" w:cstheme="majorBidi"/>
      <w:b/>
      <w:bCs/>
      <w:sz w:val="20"/>
    </w:rPr>
  </w:style>
  <w:style w:type="table" w:styleId="TableGrid">
    <w:name w:val="Table Grid"/>
    <w:basedOn w:val="TableNormal"/>
    <w:uiPriority w:val="59"/>
    <w:rsid w:val="00B97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7669"/>
    <w:pPr>
      <w:spacing w:after="0"/>
    </w:pPr>
    <w:rPr>
      <w:rFonts w:ascii="Tahoma" w:hAnsi="Tahoma" w:cs="Tahoma"/>
      <w:szCs w:val="16"/>
    </w:rPr>
  </w:style>
  <w:style w:type="character" w:customStyle="1" w:styleId="BalloonTextChar">
    <w:name w:val="Balloon Text Char"/>
    <w:basedOn w:val="DefaultParagraphFont"/>
    <w:link w:val="BalloonText"/>
    <w:uiPriority w:val="99"/>
    <w:semiHidden/>
    <w:rsid w:val="00B97669"/>
    <w:rPr>
      <w:rFonts w:ascii="Tahoma" w:hAnsi="Tahoma" w:cs="Tahoma"/>
      <w:sz w:val="16"/>
      <w:szCs w:val="16"/>
    </w:rPr>
  </w:style>
  <w:style w:type="paragraph" w:styleId="Header">
    <w:name w:val="header"/>
    <w:basedOn w:val="Normal"/>
    <w:link w:val="HeaderChar"/>
    <w:uiPriority w:val="99"/>
    <w:rsid w:val="00E02FFE"/>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02FFE"/>
    <w:rPr>
      <w:rFonts w:ascii="Times New Roman" w:eastAsia="Times New Roman" w:hAnsi="Times New Roman" w:cs="Times New Roman"/>
      <w:sz w:val="24"/>
      <w:szCs w:val="24"/>
    </w:rPr>
  </w:style>
  <w:style w:type="paragraph" w:customStyle="1" w:styleId="Default">
    <w:name w:val="Default"/>
    <w:rsid w:val="00E02FFE"/>
    <w:pPr>
      <w:autoSpaceDE w:val="0"/>
      <w:autoSpaceDN w:val="0"/>
      <w:adjustRightInd w:val="0"/>
      <w:spacing w:after="0" w:line="240" w:lineRule="auto"/>
    </w:pPr>
    <w:rPr>
      <w:rFonts w:ascii="Arial" w:eastAsia="Times New Roman" w:hAnsi="Arial" w:cs="Arial"/>
      <w:color w:val="000000"/>
      <w:sz w:val="24"/>
      <w:szCs w:val="24"/>
    </w:rPr>
  </w:style>
  <w:style w:type="paragraph" w:styleId="Title">
    <w:name w:val="Title"/>
    <w:basedOn w:val="Normal"/>
    <w:next w:val="Normal"/>
    <w:link w:val="TitleChar"/>
    <w:uiPriority w:val="10"/>
    <w:qFormat/>
    <w:rsid w:val="00690AC9"/>
    <w:pPr>
      <w:pBdr>
        <w:top w:val="single" w:sz="8" w:space="1" w:color="4F81BD" w:themeColor="accent1"/>
        <w:bottom w:val="single" w:sz="8" w:space="4" w:color="4F81BD" w:themeColor="accent1"/>
      </w:pBdr>
      <w:spacing w:before="360" w:after="120"/>
      <w:contextualSpacing/>
    </w:pPr>
    <w:rPr>
      <w:rFonts w:asciiTheme="majorHAnsi" w:eastAsiaTheme="majorEastAsia" w:hAnsiTheme="majorHAnsi"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690AC9"/>
    <w:rPr>
      <w:rFonts w:asciiTheme="majorHAnsi" w:eastAsiaTheme="majorEastAsia" w:hAnsiTheme="majorHAnsi" w:cstheme="majorBidi"/>
      <w:color w:val="17365D" w:themeColor="text2" w:themeShade="BF"/>
      <w:spacing w:val="5"/>
      <w:kern w:val="28"/>
      <w:sz w:val="32"/>
      <w:szCs w:val="52"/>
    </w:rPr>
  </w:style>
  <w:style w:type="paragraph" w:styleId="Subtitle">
    <w:name w:val="Subtitle"/>
    <w:basedOn w:val="Normal"/>
    <w:next w:val="Normal"/>
    <w:link w:val="SubtitleChar"/>
    <w:uiPriority w:val="11"/>
    <w:qFormat/>
    <w:rsid w:val="00E02F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02FFE"/>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41365C"/>
    <w:pPr>
      <w:ind w:left="720"/>
      <w:contextualSpacing/>
    </w:pPr>
  </w:style>
  <w:style w:type="paragraph" w:styleId="Footer">
    <w:name w:val="footer"/>
    <w:basedOn w:val="Normal"/>
    <w:link w:val="FooterChar"/>
    <w:uiPriority w:val="99"/>
    <w:unhideWhenUsed/>
    <w:rsid w:val="000802F7"/>
    <w:pPr>
      <w:tabs>
        <w:tab w:val="center" w:pos="4680"/>
        <w:tab w:val="right" w:pos="9360"/>
      </w:tabs>
      <w:spacing w:before="0" w:after="0"/>
    </w:pPr>
  </w:style>
  <w:style w:type="character" w:customStyle="1" w:styleId="FooterChar">
    <w:name w:val="Footer Char"/>
    <w:basedOn w:val="DefaultParagraphFont"/>
    <w:link w:val="Footer"/>
    <w:uiPriority w:val="99"/>
    <w:rsid w:val="000802F7"/>
  </w:style>
  <w:style w:type="character" w:styleId="CommentReference">
    <w:name w:val="annotation reference"/>
    <w:basedOn w:val="DefaultParagraphFont"/>
    <w:uiPriority w:val="99"/>
    <w:unhideWhenUsed/>
    <w:rsid w:val="001D7011"/>
    <w:rPr>
      <w:sz w:val="16"/>
      <w:szCs w:val="16"/>
    </w:rPr>
  </w:style>
  <w:style w:type="paragraph" w:styleId="CommentText">
    <w:name w:val="annotation text"/>
    <w:basedOn w:val="Normal"/>
    <w:link w:val="CommentTextChar"/>
    <w:uiPriority w:val="99"/>
    <w:unhideWhenUsed/>
    <w:rsid w:val="001D7011"/>
    <w:rPr>
      <w:sz w:val="20"/>
      <w:szCs w:val="20"/>
    </w:rPr>
  </w:style>
  <w:style w:type="character" w:customStyle="1" w:styleId="CommentTextChar">
    <w:name w:val="Comment Text Char"/>
    <w:basedOn w:val="DefaultParagraphFont"/>
    <w:link w:val="CommentText"/>
    <w:uiPriority w:val="99"/>
    <w:rsid w:val="001D7011"/>
    <w:rPr>
      <w:sz w:val="20"/>
      <w:szCs w:val="20"/>
    </w:rPr>
  </w:style>
  <w:style w:type="paragraph" w:styleId="CommentSubject">
    <w:name w:val="annotation subject"/>
    <w:basedOn w:val="CommentText"/>
    <w:next w:val="CommentText"/>
    <w:link w:val="CommentSubjectChar"/>
    <w:uiPriority w:val="99"/>
    <w:semiHidden/>
    <w:unhideWhenUsed/>
    <w:rsid w:val="001D7011"/>
    <w:rPr>
      <w:b/>
      <w:bCs/>
    </w:rPr>
  </w:style>
  <w:style w:type="character" w:customStyle="1" w:styleId="CommentSubjectChar">
    <w:name w:val="Comment Subject Char"/>
    <w:basedOn w:val="CommentTextChar"/>
    <w:link w:val="CommentSubject"/>
    <w:uiPriority w:val="99"/>
    <w:semiHidden/>
    <w:rsid w:val="001D7011"/>
    <w:rPr>
      <w:b/>
      <w:bCs/>
      <w:sz w:val="20"/>
      <w:szCs w:val="20"/>
    </w:rPr>
  </w:style>
  <w:style w:type="character" w:styleId="Hyperlink">
    <w:name w:val="Hyperlink"/>
    <w:basedOn w:val="DefaultParagraphFont"/>
    <w:uiPriority w:val="99"/>
    <w:unhideWhenUsed/>
    <w:rsid w:val="00CC2356"/>
    <w:rPr>
      <w:color w:val="0000FF" w:themeColor="hyperlink"/>
      <w:u w:val="single"/>
    </w:rPr>
  </w:style>
  <w:style w:type="paragraph" w:styleId="FootnoteText">
    <w:name w:val="footnote text"/>
    <w:basedOn w:val="Normal"/>
    <w:link w:val="FootnoteTextChar"/>
    <w:uiPriority w:val="99"/>
    <w:semiHidden/>
    <w:unhideWhenUsed/>
    <w:rsid w:val="006D5E8D"/>
    <w:pPr>
      <w:spacing w:before="0" w:after="0"/>
    </w:pPr>
    <w:rPr>
      <w:sz w:val="20"/>
      <w:szCs w:val="20"/>
    </w:rPr>
  </w:style>
  <w:style w:type="character" w:customStyle="1" w:styleId="FootnoteTextChar">
    <w:name w:val="Footnote Text Char"/>
    <w:basedOn w:val="DefaultParagraphFont"/>
    <w:link w:val="FootnoteText"/>
    <w:uiPriority w:val="99"/>
    <w:semiHidden/>
    <w:rsid w:val="006D5E8D"/>
    <w:rPr>
      <w:sz w:val="20"/>
      <w:szCs w:val="20"/>
    </w:rPr>
  </w:style>
  <w:style w:type="character" w:styleId="FootnoteReference">
    <w:name w:val="footnote reference"/>
    <w:basedOn w:val="DefaultParagraphFont"/>
    <w:uiPriority w:val="99"/>
    <w:semiHidden/>
    <w:unhideWhenUsed/>
    <w:rsid w:val="006D5E8D"/>
    <w:rPr>
      <w:vertAlign w:val="superscript"/>
    </w:rPr>
  </w:style>
  <w:style w:type="paragraph" w:styleId="TOCHeading">
    <w:name w:val="TOC Heading"/>
    <w:basedOn w:val="Heading1"/>
    <w:next w:val="Normal"/>
    <w:uiPriority w:val="39"/>
    <w:unhideWhenUsed/>
    <w:qFormat/>
    <w:rsid w:val="00D21EAA"/>
    <w:pPr>
      <w:spacing w:line="259" w:lineRule="auto"/>
      <w:outlineLvl w:val="9"/>
    </w:pPr>
    <w:rPr>
      <w:b w:val="0"/>
      <w:bCs w:val="0"/>
      <w:sz w:val="32"/>
      <w:szCs w:val="32"/>
    </w:rPr>
  </w:style>
  <w:style w:type="paragraph" w:styleId="TOC1">
    <w:name w:val="toc 1"/>
    <w:basedOn w:val="Normal"/>
    <w:next w:val="Normal"/>
    <w:autoRedefine/>
    <w:uiPriority w:val="39"/>
    <w:unhideWhenUsed/>
    <w:rsid w:val="006B7031"/>
    <w:pPr>
      <w:tabs>
        <w:tab w:val="right" w:leader="dot" w:pos="10790"/>
      </w:tabs>
      <w:spacing w:before="120" w:after="0"/>
    </w:pPr>
  </w:style>
  <w:style w:type="paragraph" w:styleId="TOC2">
    <w:name w:val="toc 2"/>
    <w:basedOn w:val="Normal"/>
    <w:next w:val="Normal"/>
    <w:autoRedefine/>
    <w:uiPriority w:val="39"/>
    <w:unhideWhenUsed/>
    <w:rsid w:val="006B7031"/>
    <w:pPr>
      <w:spacing w:before="0" w:after="0"/>
      <w:ind w:left="216"/>
    </w:pPr>
  </w:style>
  <w:style w:type="paragraph" w:customStyle="1" w:styleId="PropNorm">
    <w:name w:val="PropNorm"/>
    <w:link w:val="PropNormChar"/>
    <w:rsid w:val="00441FB4"/>
    <w:pPr>
      <w:spacing w:after="180" w:line="240" w:lineRule="auto"/>
    </w:pPr>
    <w:rPr>
      <w:rFonts w:ascii="Times New Roman" w:eastAsia="Times New Roman" w:hAnsi="Times New Roman" w:cs="Times New Roman"/>
      <w:sz w:val="24"/>
      <w:szCs w:val="20"/>
    </w:rPr>
  </w:style>
  <w:style w:type="character" w:customStyle="1" w:styleId="PropNormChar">
    <w:name w:val="PropNorm Char"/>
    <w:basedOn w:val="DefaultParagraphFont"/>
    <w:link w:val="PropNorm"/>
    <w:locked/>
    <w:rsid w:val="00441FB4"/>
    <w:rPr>
      <w:rFonts w:ascii="Times New Roman" w:eastAsia="Times New Roman" w:hAnsi="Times New Roman" w:cs="Times New Roman"/>
      <w:sz w:val="24"/>
      <w:szCs w:val="20"/>
    </w:rPr>
  </w:style>
  <w:style w:type="paragraph" w:styleId="TOAHeading">
    <w:name w:val="toa heading"/>
    <w:basedOn w:val="Normal"/>
    <w:next w:val="Normal"/>
    <w:semiHidden/>
    <w:rsid w:val="00441FB4"/>
    <w:pPr>
      <w:tabs>
        <w:tab w:val="right" w:pos="9360"/>
      </w:tabs>
      <w:suppressAutoHyphens/>
      <w:spacing w:after="240"/>
    </w:pPr>
    <w:rPr>
      <w:rFonts w:ascii="Times New Roman" w:eastAsia="Times New Roman" w:hAnsi="Times New Roman" w:cs="Times New Roman"/>
      <w:szCs w:val="20"/>
    </w:rPr>
  </w:style>
  <w:style w:type="paragraph" w:customStyle="1" w:styleId="Technical4">
    <w:name w:val="Technical 4"/>
    <w:rsid w:val="00441FB4"/>
    <w:pPr>
      <w:tabs>
        <w:tab w:val="left" w:pos="-720"/>
      </w:tabs>
      <w:suppressAutoHyphens/>
      <w:spacing w:after="0" w:line="240" w:lineRule="auto"/>
    </w:pPr>
    <w:rPr>
      <w:rFonts w:ascii="Times New Roman" w:eastAsia="Times New Roman" w:hAnsi="Times New Roman" w:cs="Times New Roman"/>
      <w:b/>
      <w:sz w:val="24"/>
      <w:szCs w:val="20"/>
    </w:rPr>
  </w:style>
  <w:style w:type="paragraph" w:customStyle="1" w:styleId="BRIRequirement">
    <w:name w:val="BRI Requirement"/>
    <w:basedOn w:val="Normal"/>
    <w:qFormat/>
    <w:rsid w:val="00441FB4"/>
    <w:pPr>
      <w:numPr>
        <w:numId w:val="1"/>
      </w:numPr>
      <w:contextualSpacing/>
    </w:pPr>
  </w:style>
  <w:style w:type="character" w:styleId="PlaceholderText">
    <w:name w:val="Placeholder Text"/>
    <w:basedOn w:val="DefaultParagraphFont"/>
    <w:uiPriority w:val="99"/>
    <w:semiHidden/>
    <w:rsid w:val="00F0619B"/>
    <w:rPr>
      <w:color w:val="808080"/>
    </w:rPr>
  </w:style>
  <w:style w:type="paragraph" w:customStyle="1" w:styleId="CRIRequirement">
    <w:name w:val="CRI Requirement"/>
    <w:basedOn w:val="Normal"/>
    <w:qFormat/>
    <w:rsid w:val="000923A7"/>
    <w:pPr>
      <w:ind w:left="720" w:hanging="720"/>
      <w:contextualSpacing/>
    </w:pPr>
  </w:style>
  <w:style w:type="paragraph" w:customStyle="1" w:styleId="BCIRequirement">
    <w:name w:val="BCI Requirement"/>
    <w:basedOn w:val="Normal"/>
    <w:qFormat/>
    <w:rsid w:val="00D03701"/>
    <w:pPr>
      <w:ind w:left="720" w:hanging="720"/>
      <w:contextualSpacing/>
    </w:pPr>
  </w:style>
  <w:style w:type="paragraph" w:customStyle="1" w:styleId="RadioButtonBullet">
    <w:name w:val="Radio Button Bullet"/>
    <w:basedOn w:val="ListParagraph"/>
    <w:qFormat/>
    <w:rsid w:val="00D03701"/>
    <w:pPr>
      <w:numPr>
        <w:numId w:val="2"/>
      </w:numPr>
    </w:pPr>
  </w:style>
  <w:style w:type="paragraph" w:customStyle="1" w:styleId="Title-notfirst">
    <w:name w:val="Title - not first"/>
    <w:basedOn w:val="Title"/>
    <w:qFormat/>
    <w:rsid w:val="00D03701"/>
    <w:pPr>
      <w:spacing w:before="60"/>
    </w:pPr>
  </w:style>
  <w:style w:type="paragraph" w:customStyle="1" w:styleId="IndNoteBullet">
    <w:name w:val="Ind Note Bullet"/>
    <w:basedOn w:val="Default"/>
    <w:qFormat/>
    <w:rsid w:val="00D03701"/>
    <w:pPr>
      <w:numPr>
        <w:numId w:val="3"/>
      </w:numPr>
      <w:ind w:left="360"/>
    </w:pPr>
    <w:rPr>
      <w:rFonts w:asciiTheme="minorHAnsi" w:hAnsiTheme="minorHAnsi"/>
      <w:color w:val="auto"/>
      <w:sz w:val="20"/>
      <w:szCs w:val="20"/>
    </w:rPr>
  </w:style>
  <w:style w:type="paragraph" w:customStyle="1" w:styleId="Figure">
    <w:name w:val="Figure"/>
    <w:basedOn w:val="Normal"/>
    <w:next w:val="Normal"/>
    <w:qFormat/>
    <w:rsid w:val="00D03701"/>
    <w:pPr>
      <w:spacing w:before="0" w:after="0"/>
      <w:jc w:val="center"/>
    </w:pPr>
    <w:rPr>
      <w:noProof/>
    </w:rPr>
  </w:style>
  <w:style w:type="paragraph" w:customStyle="1" w:styleId="FigureCaption">
    <w:name w:val="Figure Caption"/>
    <w:basedOn w:val="Figure"/>
    <w:next w:val="Normal"/>
    <w:qFormat/>
    <w:rsid w:val="00D03701"/>
    <w:pPr>
      <w:numPr>
        <w:numId w:val="4"/>
      </w:numPr>
      <w:spacing w:after="240"/>
      <w:ind w:left="360"/>
    </w:pPr>
    <w:rPr>
      <w:b/>
      <w:i/>
      <w:sz w:val="20"/>
    </w:rPr>
  </w:style>
  <w:style w:type="paragraph" w:customStyle="1" w:styleId="SysNote">
    <w:name w:val="SysNote"/>
    <w:basedOn w:val="Normal"/>
    <w:link w:val="SysNoteChar"/>
    <w:qFormat/>
    <w:rsid w:val="009D3860"/>
    <w:rPr>
      <w:i/>
    </w:rPr>
  </w:style>
  <w:style w:type="character" w:customStyle="1" w:styleId="SysNoteChar">
    <w:name w:val="SysNote Char"/>
    <w:basedOn w:val="DefaultParagraphFont"/>
    <w:link w:val="SysNote"/>
    <w:rsid w:val="009D3860"/>
    <w:rPr>
      <w:i/>
    </w:rPr>
  </w:style>
  <w:style w:type="paragraph" w:customStyle="1" w:styleId="Explanation">
    <w:name w:val="Explanation"/>
    <w:basedOn w:val="Normal"/>
    <w:qFormat/>
    <w:rsid w:val="004502CD"/>
    <w:rPr>
      <w:i/>
      <w:color w:val="5F497A" w:themeColor="accent4" w:themeShade="BF"/>
    </w:rPr>
  </w:style>
  <w:style w:type="paragraph" w:styleId="NormalWeb">
    <w:name w:val="Normal (Web)"/>
    <w:basedOn w:val="Normal"/>
    <w:uiPriority w:val="99"/>
    <w:unhideWhenUsed/>
    <w:rsid w:val="005F5514"/>
    <w:pPr>
      <w:spacing w:before="100" w:beforeAutospacing="1" w:after="100" w:afterAutospacing="1"/>
    </w:pPr>
    <w:rPr>
      <w:rFonts w:ascii="Times New Roman" w:eastAsia="Times New Roman" w:hAnsi="Times New Roman" w:cs="Times New Roman"/>
      <w:sz w:val="24"/>
      <w:szCs w:val="24"/>
    </w:rPr>
  </w:style>
  <w:style w:type="paragraph" w:customStyle="1" w:styleId="panel-header">
    <w:name w:val="panel-header"/>
    <w:basedOn w:val="Normal"/>
    <w:rsid w:val="00553544"/>
    <w:pPr>
      <w:spacing w:before="100" w:beforeAutospacing="1" w:after="100" w:afterAutospacing="1"/>
    </w:pPr>
    <w:rPr>
      <w:rFonts w:ascii="Times New Roman" w:eastAsia="Times New Roman" w:hAnsi="Times New Roman" w:cs="Times New Roman"/>
      <w:sz w:val="24"/>
      <w:szCs w:val="24"/>
    </w:rPr>
  </w:style>
  <w:style w:type="character" w:customStyle="1" w:styleId="panel-sub">
    <w:name w:val="panel-sub"/>
    <w:basedOn w:val="DefaultParagraphFont"/>
    <w:rsid w:val="008751D3"/>
  </w:style>
  <w:style w:type="paragraph" w:customStyle="1" w:styleId="panel-sub1">
    <w:name w:val="panel-sub1"/>
    <w:basedOn w:val="Normal"/>
    <w:rsid w:val="008751D3"/>
    <w:pPr>
      <w:spacing w:before="100" w:beforeAutospacing="1" w:after="100" w:afterAutospacing="1"/>
    </w:pPr>
    <w:rPr>
      <w:rFonts w:ascii="Times New Roman" w:eastAsia="Times New Roman" w:hAnsi="Times New Roman" w:cs="Times New Roman"/>
      <w:sz w:val="24"/>
      <w:szCs w:val="24"/>
    </w:rPr>
  </w:style>
  <w:style w:type="paragraph" w:customStyle="1" w:styleId="panel-paragraph">
    <w:name w:val="panel-paragraph"/>
    <w:basedOn w:val="Normal"/>
    <w:rsid w:val="00B67038"/>
    <w:pPr>
      <w:spacing w:before="100" w:beforeAutospacing="1" w:after="100" w:afterAutospacing="1"/>
    </w:pPr>
    <w:rPr>
      <w:rFonts w:ascii="Times New Roman" w:eastAsia="Times New Roman" w:hAnsi="Times New Roman" w:cs="Times New Roman"/>
      <w:sz w:val="24"/>
      <w:szCs w:val="24"/>
    </w:rPr>
  </w:style>
  <w:style w:type="paragraph" w:customStyle="1" w:styleId="instruction-heading">
    <w:name w:val="instruction-heading"/>
    <w:basedOn w:val="Normal"/>
    <w:rsid w:val="00A7519F"/>
    <w:pPr>
      <w:spacing w:before="100" w:beforeAutospacing="1" w:after="100" w:afterAutospacing="1"/>
    </w:pPr>
    <w:rPr>
      <w:rFonts w:ascii="Times New Roman" w:eastAsia="Times New Roman" w:hAnsi="Times New Roman" w:cs="Times New Roman"/>
      <w:sz w:val="24"/>
      <w:szCs w:val="24"/>
    </w:rPr>
  </w:style>
  <w:style w:type="paragraph" w:customStyle="1" w:styleId="Bold">
    <w:name w:val="Bold"/>
    <w:basedOn w:val="Normal"/>
    <w:qFormat/>
    <w:rsid w:val="00A20411"/>
    <w:pPr>
      <w:keepNext/>
      <w:spacing w:after="0"/>
    </w:pPr>
    <w:rPr>
      <w:b/>
    </w:rPr>
  </w:style>
  <w:style w:type="paragraph" w:customStyle="1" w:styleId="Italic">
    <w:name w:val="Italic"/>
    <w:basedOn w:val="Normal"/>
    <w:next w:val="Normal"/>
    <w:qFormat/>
    <w:rsid w:val="007D435F"/>
    <w:pPr>
      <w:keepNext/>
    </w:pPr>
    <w:rPr>
      <w:i/>
    </w:rPr>
  </w:style>
  <w:style w:type="paragraph" w:customStyle="1" w:styleId="indicator-section-title">
    <w:name w:val="indicator-section-title"/>
    <w:basedOn w:val="Normal"/>
    <w:rsid w:val="00C960B4"/>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0C24C2"/>
    <w:pPr>
      <w:spacing w:after="0" w:line="240" w:lineRule="auto"/>
    </w:pPr>
  </w:style>
  <w:style w:type="character" w:customStyle="1" w:styleId="Heading4Char">
    <w:name w:val="Heading 4 Char"/>
    <w:basedOn w:val="DefaultParagraphFont"/>
    <w:link w:val="Heading4"/>
    <w:uiPriority w:val="9"/>
    <w:rsid w:val="00371FAA"/>
    <w:rPr>
      <w:rFonts w:ascii="Arial" w:eastAsiaTheme="majorEastAsia" w:hAnsi="Arial" w:cstheme="majorBidi"/>
      <w:b/>
      <w:iCs/>
      <w:sz w:val="20"/>
    </w:rPr>
  </w:style>
  <w:style w:type="paragraph" w:customStyle="1" w:styleId="Subhed">
    <w:name w:val="Subhed"/>
    <w:basedOn w:val="Bold"/>
    <w:qFormat/>
    <w:rsid w:val="00120808"/>
    <w:rPr>
      <w:rFonts w:cs="Arial"/>
      <w:szCs w:val="16"/>
    </w:rPr>
  </w:style>
  <w:style w:type="character" w:styleId="Strong">
    <w:name w:val="Strong"/>
    <w:basedOn w:val="DefaultParagraphFont"/>
    <w:uiPriority w:val="22"/>
    <w:qFormat/>
    <w:rsid w:val="00B8653C"/>
    <w:rPr>
      <w:b/>
      <w:bCs/>
    </w:rPr>
  </w:style>
  <w:style w:type="paragraph" w:styleId="NoSpacing">
    <w:name w:val="No Spacing"/>
    <w:uiPriority w:val="1"/>
    <w:qFormat/>
    <w:rsid w:val="00EE0028"/>
    <w:pPr>
      <w:spacing w:after="0" w:line="240" w:lineRule="auto"/>
    </w:pPr>
  </w:style>
  <w:style w:type="paragraph" w:customStyle="1" w:styleId="TableHead">
    <w:name w:val="Table Head"/>
    <w:basedOn w:val="Normal"/>
    <w:qFormat/>
    <w:rsid w:val="009569B8"/>
    <w:pPr>
      <w:jc w:val="center"/>
    </w:pPr>
    <w:rPr>
      <w:rFonts w:cs="Arial"/>
      <w:b/>
      <w:szCs w:val="16"/>
    </w:rPr>
  </w:style>
  <w:style w:type="paragraph" w:customStyle="1" w:styleId="Numbering">
    <w:name w:val="Numbering"/>
    <w:basedOn w:val="Normal"/>
    <w:qFormat/>
    <w:rsid w:val="0093562B"/>
    <w:pPr>
      <w:spacing w:before="0" w:after="0"/>
    </w:pPr>
    <w:rPr>
      <w:rFonts w:eastAsia="Times New Roman" w:cs="Arial"/>
      <w:color w:val="222222"/>
      <w:szCs w:val="16"/>
    </w:rPr>
  </w:style>
  <w:style w:type="table" w:customStyle="1" w:styleId="TableGrid1">
    <w:name w:val="Table Grid1"/>
    <w:basedOn w:val="TableNormal"/>
    <w:next w:val="TableGrid"/>
    <w:uiPriority w:val="59"/>
    <w:rsid w:val="000B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E0EEF"/>
    <w:rPr>
      <w:i/>
      <w:iCs/>
    </w:rPr>
  </w:style>
  <w:style w:type="paragraph" w:customStyle="1" w:styleId="msonormal0">
    <w:name w:val="msonormal"/>
    <w:basedOn w:val="Normal"/>
    <w:rsid w:val="00BE0EEF"/>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BE0EEF"/>
    <w:pPr>
      <w:widowControl w:val="0"/>
      <w:autoSpaceDE w:val="0"/>
      <w:autoSpaceDN w:val="0"/>
      <w:spacing w:before="0" w:after="0"/>
    </w:pPr>
    <w:rPr>
      <w:rFonts w:ascii="Carlito" w:eastAsia="Carlito" w:hAnsi="Carlito" w:cs="Carlito"/>
      <w:sz w:val="22"/>
    </w:rPr>
  </w:style>
  <w:style w:type="character" w:customStyle="1" w:styleId="BodyTextChar">
    <w:name w:val="Body Text Char"/>
    <w:basedOn w:val="DefaultParagraphFont"/>
    <w:link w:val="BodyText"/>
    <w:uiPriority w:val="1"/>
    <w:rsid w:val="00BE0EEF"/>
    <w:rPr>
      <w:rFonts w:ascii="Carlito" w:eastAsia="Carlito" w:hAnsi="Carlito" w:cs="Carlito"/>
    </w:rPr>
  </w:style>
  <w:style w:type="paragraph" w:customStyle="1" w:styleId="TableParagraph">
    <w:name w:val="Table Paragraph"/>
    <w:basedOn w:val="Normal"/>
    <w:uiPriority w:val="1"/>
    <w:qFormat/>
    <w:rsid w:val="00BE0EEF"/>
    <w:pPr>
      <w:widowControl w:val="0"/>
      <w:autoSpaceDE w:val="0"/>
      <w:autoSpaceDN w:val="0"/>
      <w:spacing w:before="29" w:after="0"/>
      <w:ind w:left="101" w:right="100"/>
      <w:jc w:val="center"/>
    </w:pPr>
    <w:rPr>
      <w:rFonts w:ascii="Carlito" w:eastAsia="Carlito" w:hAnsi="Carlito" w:cs="Carlito"/>
      <w:sz w:val="22"/>
    </w:rPr>
  </w:style>
  <w:style w:type="character" w:styleId="FollowedHyperlink">
    <w:name w:val="FollowedHyperlink"/>
    <w:basedOn w:val="DefaultParagraphFont"/>
    <w:uiPriority w:val="99"/>
    <w:semiHidden/>
    <w:unhideWhenUsed/>
    <w:rsid w:val="00BE0EEF"/>
    <w:rPr>
      <w:color w:val="800080"/>
      <w:u w:val="single"/>
    </w:rPr>
  </w:style>
  <w:style w:type="table" w:styleId="LightGrid-Accent1">
    <w:name w:val="Light Grid Accent 1"/>
    <w:basedOn w:val="TableNormal"/>
    <w:uiPriority w:val="62"/>
    <w:rsid w:val="00BE0E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Table2">
    <w:name w:val="List Table 2"/>
    <w:basedOn w:val="TableNormal"/>
    <w:uiPriority w:val="47"/>
    <w:rsid w:val="00BE0EE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BE0E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5">
    <w:name w:val="Grid Table 3 Accent 5"/>
    <w:basedOn w:val="TableNormal"/>
    <w:uiPriority w:val="48"/>
    <w:rsid w:val="00480A1F"/>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EndnoteText">
    <w:name w:val="endnote text"/>
    <w:basedOn w:val="Normal"/>
    <w:link w:val="EndnoteTextChar"/>
    <w:uiPriority w:val="99"/>
    <w:semiHidden/>
    <w:unhideWhenUsed/>
    <w:rsid w:val="00A47134"/>
    <w:pPr>
      <w:spacing w:before="0" w:after="0"/>
    </w:pPr>
    <w:rPr>
      <w:sz w:val="20"/>
      <w:szCs w:val="20"/>
    </w:rPr>
  </w:style>
  <w:style w:type="character" w:customStyle="1" w:styleId="EndnoteTextChar">
    <w:name w:val="Endnote Text Char"/>
    <w:basedOn w:val="DefaultParagraphFont"/>
    <w:link w:val="EndnoteText"/>
    <w:uiPriority w:val="99"/>
    <w:semiHidden/>
    <w:rsid w:val="00A47134"/>
    <w:rPr>
      <w:rFonts w:ascii="Arial" w:hAnsi="Arial"/>
      <w:sz w:val="20"/>
      <w:szCs w:val="20"/>
    </w:rPr>
  </w:style>
  <w:style w:type="character" w:styleId="EndnoteReference">
    <w:name w:val="endnote reference"/>
    <w:basedOn w:val="DefaultParagraphFont"/>
    <w:uiPriority w:val="99"/>
    <w:semiHidden/>
    <w:unhideWhenUsed/>
    <w:rsid w:val="00A47134"/>
    <w:rPr>
      <w:vertAlign w:val="superscript"/>
    </w:rPr>
  </w:style>
  <w:style w:type="character" w:styleId="UnresolvedMention">
    <w:name w:val="Unresolved Mention"/>
    <w:basedOn w:val="DefaultParagraphFont"/>
    <w:uiPriority w:val="99"/>
    <w:semiHidden/>
    <w:unhideWhenUsed/>
    <w:rsid w:val="00501909"/>
    <w:rPr>
      <w:color w:val="605E5C"/>
      <w:shd w:val="clear" w:color="auto" w:fill="E1DFDD"/>
    </w:rPr>
  </w:style>
  <w:style w:type="character" w:customStyle="1" w:styleId="ui-provider">
    <w:name w:val="ui-provider"/>
    <w:basedOn w:val="DefaultParagraphFont"/>
    <w:rsid w:val="006F0B24"/>
  </w:style>
  <w:style w:type="character" w:customStyle="1" w:styleId="normaltextrun">
    <w:name w:val="normaltextrun"/>
    <w:basedOn w:val="DefaultParagraphFont"/>
    <w:rsid w:val="003749F7"/>
  </w:style>
  <w:style w:type="character" w:styleId="Mention">
    <w:name w:val="Mention"/>
    <w:basedOn w:val="DefaultParagraphFont"/>
    <w:uiPriority w:val="99"/>
    <w:unhideWhenUsed/>
    <w:rsid w:val="007C689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8878">
      <w:bodyDiv w:val="1"/>
      <w:marLeft w:val="0"/>
      <w:marRight w:val="0"/>
      <w:marTop w:val="0"/>
      <w:marBottom w:val="0"/>
      <w:divBdr>
        <w:top w:val="none" w:sz="0" w:space="0" w:color="auto"/>
        <w:left w:val="none" w:sz="0" w:space="0" w:color="auto"/>
        <w:bottom w:val="none" w:sz="0" w:space="0" w:color="auto"/>
        <w:right w:val="none" w:sz="0" w:space="0" w:color="auto"/>
      </w:divBdr>
    </w:div>
    <w:div w:id="33582676">
      <w:bodyDiv w:val="1"/>
      <w:marLeft w:val="0"/>
      <w:marRight w:val="0"/>
      <w:marTop w:val="0"/>
      <w:marBottom w:val="0"/>
      <w:divBdr>
        <w:top w:val="none" w:sz="0" w:space="0" w:color="auto"/>
        <w:left w:val="none" w:sz="0" w:space="0" w:color="auto"/>
        <w:bottom w:val="none" w:sz="0" w:space="0" w:color="auto"/>
        <w:right w:val="none" w:sz="0" w:space="0" w:color="auto"/>
      </w:divBdr>
    </w:div>
    <w:div w:id="66614295">
      <w:bodyDiv w:val="1"/>
      <w:marLeft w:val="0"/>
      <w:marRight w:val="0"/>
      <w:marTop w:val="0"/>
      <w:marBottom w:val="0"/>
      <w:divBdr>
        <w:top w:val="none" w:sz="0" w:space="0" w:color="auto"/>
        <w:left w:val="none" w:sz="0" w:space="0" w:color="auto"/>
        <w:bottom w:val="none" w:sz="0" w:space="0" w:color="auto"/>
        <w:right w:val="none" w:sz="0" w:space="0" w:color="auto"/>
      </w:divBdr>
      <w:divsChild>
        <w:div w:id="1664039907">
          <w:marLeft w:val="0"/>
          <w:marRight w:val="0"/>
          <w:marTop w:val="0"/>
          <w:marBottom w:val="0"/>
          <w:divBdr>
            <w:top w:val="none" w:sz="0" w:space="0" w:color="auto"/>
            <w:left w:val="none" w:sz="0" w:space="0" w:color="auto"/>
            <w:bottom w:val="none" w:sz="0" w:space="0" w:color="auto"/>
            <w:right w:val="none" w:sz="0" w:space="0" w:color="auto"/>
          </w:divBdr>
        </w:div>
      </w:divsChild>
    </w:div>
    <w:div w:id="73865556">
      <w:bodyDiv w:val="1"/>
      <w:marLeft w:val="0"/>
      <w:marRight w:val="0"/>
      <w:marTop w:val="0"/>
      <w:marBottom w:val="0"/>
      <w:divBdr>
        <w:top w:val="none" w:sz="0" w:space="0" w:color="auto"/>
        <w:left w:val="none" w:sz="0" w:space="0" w:color="auto"/>
        <w:bottom w:val="none" w:sz="0" w:space="0" w:color="auto"/>
        <w:right w:val="none" w:sz="0" w:space="0" w:color="auto"/>
      </w:divBdr>
    </w:div>
    <w:div w:id="183831830">
      <w:bodyDiv w:val="1"/>
      <w:marLeft w:val="0"/>
      <w:marRight w:val="0"/>
      <w:marTop w:val="0"/>
      <w:marBottom w:val="0"/>
      <w:divBdr>
        <w:top w:val="none" w:sz="0" w:space="0" w:color="auto"/>
        <w:left w:val="none" w:sz="0" w:space="0" w:color="auto"/>
        <w:bottom w:val="none" w:sz="0" w:space="0" w:color="auto"/>
        <w:right w:val="none" w:sz="0" w:space="0" w:color="auto"/>
      </w:divBdr>
    </w:div>
    <w:div w:id="187917847">
      <w:bodyDiv w:val="1"/>
      <w:marLeft w:val="0"/>
      <w:marRight w:val="0"/>
      <w:marTop w:val="0"/>
      <w:marBottom w:val="0"/>
      <w:divBdr>
        <w:top w:val="none" w:sz="0" w:space="0" w:color="auto"/>
        <w:left w:val="none" w:sz="0" w:space="0" w:color="auto"/>
        <w:bottom w:val="none" w:sz="0" w:space="0" w:color="auto"/>
        <w:right w:val="none" w:sz="0" w:space="0" w:color="auto"/>
      </w:divBdr>
    </w:div>
    <w:div w:id="220336243">
      <w:bodyDiv w:val="1"/>
      <w:marLeft w:val="0"/>
      <w:marRight w:val="0"/>
      <w:marTop w:val="0"/>
      <w:marBottom w:val="0"/>
      <w:divBdr>
        <w:top w:val="none" w:sz="0" w:space="0" w:color="auto"/>
        <w:left w:val="none" w:sz="0" w:space="0" w:color="auto"/>
        <w:bottom w:val="none" w:sz="0" w:space="0" w:color="auto"/>
        <w:right w:val="none" w:sz="0" w:space="0" w:color="auto"/>
      </w:divBdr>
    </w:div>
    <w:div w:id="227694473">
      <w:bodyDiv w:val="1"/>
      <w:marLeft w:val="0"/>
      <w:marRight w:val="0"/>
      <w:marTop w:val="0"/>
      <w:marBottom w:val="0"/>
      <w:divBdr>
        <w:top w:val="none" w:sz="0" w:space="0" w:color="auto"/>
        <w:left w:val="none" w:sz="0" w:space="0" w:color="auto"/>
        <w:bottom w:val="none" w:sz="0" w:space="0" w:color="auto"/>
        <w:right w:val="none" w:sz="0" w:space="0" w:color="auto"/>
      </w:divBdr>
    </w:div>
    <w:div w:id="246109840">
      <w:bodyDiv w:val="1"/>
      <w:marLeft w:val="0"/>
      <w:marRight w:val="0"/>
      <w:marTop w:val="0"/>
      <w:marBottom w:val="0"/>
      <w:divBdr>
        <w:top w:val="none" w:sz="0" w:space="0" w:color="auto"/>
        <w:left w:val="none" w:sz="0" w:space="0" w:color="auto"/>
        <w:bottom w:val="none" w:sz="0" w:space="0" w:color="auto"/>
        <w:right w:val="none" w:sz="0" w:space="0" w:color="auto"/>
      </w:divBdr>
    </w:div>
    <w:div w:id="257836862">
      <w:bodyDiv w:val="1"/>
      <w:marLeft w:val="0"/>
      <w:marRight w:val="0"/>
      <w:marTop w:val="0"/>
      <w:marBottom w:val="0"/>
      <w:divBdr>
        <w:top w:val="none" w:sz="0" w:space="0" w:color="auto"/>
        <w:left w:val="none" w:sz="0" w:space="0" w:color="auto"/>
        <w:bottom w:val="none" w:sz="0" w:space="0" w:color="auto"/>
        <w:right w:val="none" w:sz="0" w:space="0" w:color="auto"/>
      </w:divBdr>
    </w:div>
    <w:div w:id="264505258">
      <w:bodyDiv w:val="1"/>
      <w:marLeft w:val="0"/>
      <w:marRight w:val="0"/>
      <w:marTop w:val="0"/>
      <w:marBottom w:val="0"/>
      <w:divBdr>
        <w:top w:val="none" w:sz="0" w:space="0" w:color="auto"/>
        <w:left w:val="none" w:sz="0" w:space="0" w:color="auto"/>
        <w:bottom w:val="none" w:sz="0" w:space="0" w:color="auto"/>
        <w:right w:val="none" w:sz="0" w:space="0" w:color="auto"/>
      </w:divBdr>
      <w:divsChild>
        <w:div w:id="1898078886">
          <w:marLeft w:val="0"/>
          <w:marRight w:val="0"/>
          <w:marTop w:val="0"/>
          <w:marBottom w:val="150"/>
          <w:divBdr>
            <w:top w:val="none" w:sz="0" w:space="0" w:color="auto"/>
            <w:left w:val="none" w:sz="0" w:space="0" w:color="auto"/>
            <w:bottom w:val="none" w:sz="0" w:space="0" w:color="auto"/>
            <w:right w:val="none" w:sz="0" w:space="0" w:color="auto"/>
          </w:divBdr>
        </w:div>
        <w:div w:id="2020041191">
          <w:marLeft w:val="0"/>
          <w:marRight w:val="0"/>
          <w:marTop w:val="0"/>
          <w:marBottom w:val="150"/>
          <w:divBdr>
            <w:top w:val="none" w:sz="0" w:space="0" w:color="auto"/>
            <w:left w:val="none" w:sz="0" w:space="0" w:color="auto"/>
            <w:bottom w:val="none" w:sz="0" w:space="0" w:color="auto"/>
            <w:right w:val="none" w:sz="0" w:space="0" w:color="auto"/>
          </w:divBdr>
        </w:div>
      </w:divsChild>
    </w:div>
    <w:div w:id="269122146">
      <w:bodyDiv w:val="1"/>
      <w:marLeft w:val="0"/>
      <w:marRight w:val="0"/>
      <w:marTop w:val="0"/>
      <w:marBottom w:val="0"/>
      <w:divBdr>
        <w:top w:val="none" w:sz="0" w:space="0" w:color="auto"/>
        <w:left w:val="none" w:sz="0" w:space="0" w:color="auto"/>
        <w:bottom w:val="none" w:sz="0" w:space="0" w:color="auto"/>
        <w:right w:val="none" w:sz="0" w:space="0" w:color="auto"/>
      </w:divBdr>
    </w:div>
    <w:div w:id="288322446">
      <w:bodyDiv w:val="1"/>
      <w:marLeft w:val="0"/>
      <w:marRight w:val="0"/>
      <w:marTop w:val="0"/>
      <w:marBottom w:val="0"/>
      <w:divBdr>
        <w:top w:val="none" w:sz="0" w:space="0" w:color="auto"/>
        <w:left w:val="none" w:sz="0" w:space="0" w:color="auto"/>
        <w:bottom w:val="none" w:sz="0" w:space="0" w:color="auto"/>
        <w:right w:val="none" w:sz="0" w:space="0" w:color="auto"/>
      </w:divBdr>
    </w:div>
    <w:div w:id="331032465">
      <w:bodyDiv w:val="1"/>
      <w:marLeft w:val="0"/>
      <w:marRight w:val="0"/>
      <w:marTop w:val="0"/>
      <w:marBottom w:val="0"/>
      <w:divBdr>
        <w:top w:val="none" w:sz="0" w:space="0" w:color="auto"/>
        <w:left w:val="none" w:sz="0" w:space="0" w:color="auto"/>
        <w:bottom w:val="none" w:sz="0" w:space="0" w:color="auto"/>
        <w:right w:val="none" w:sz="0" w:space="0" w:color="auto"/>
      </w:divBdr>
    </w:div>
    <w:div w:id="343824430">
      <w:bodyDiv w:val="1"/>
      <w:marLeft w:val="0"/>
      <w:marRight w:val="0"/>
      <w:marTop w:val="0"/>
      <w:marBottom w:val="0"/>
      <w:divBdr>
        <w:top w:val="none" w:sz="0" w:space="0" w:color="auto"/>
        <w:left w:val="none" w:sz="0" w:space="0" w:color="auto"/>
        <w:bottom w:val="none" w:sz="0" w:space="0" w:color="auto"/>
        <w:right w:val="none" w:sz="0" w:space="0" w:color="auto"/>
      </w:divBdr>
      <w:divsChild>
        <w:div w:id="289673781">
          <w:marLeft w:val="0"/>
          <w:marRight w:val="0"/>
          <w:marTop w:val="0"/>
          <w:marBottom w:val="210"/>
          <w:divBdr>
            <w:top w:val="none" w:sz="0" w:space="0" w:color="auto"/>
            <w:left w:val="none" w:sz="0" w:space="0" w:color="auto"/>
            <w:bottom w:val="none" w:sz="0" w:space="0" w:color="auto"/>
            <w:right w:val="none" w:sz="0" w:space="0" w:color="auto"/>
          </w:divBdr>
        </w:div>
        <w:div w:id="296957980">
          <w:marLeft w:val="0"/>
          <w:marRight w:val="0"/>
          <w:marTop w:val="0"/>
          <w:marBottom w:val="210"/>
          <w:divBdr>
            <w:top w:val="none" w:sz="0" w:space="0" w:color="auto"/>
            <w:left w:val="none" w:sz="0" w:space="0" w:color="auto"/>
            <w:bottom w:val="none" w:sz="0" w:space="0" w:color="auto"/>
            <w:right w:val="none" w:sz="0" w:space="0" w:color="auto"/>
          </w:divBdr>
        </w:div>
        <w:div w:id="308442762">
          <w:marLeft w:val="0"/>
          <w:marRight w:val="0"/>
          <w:marTop w:val="0"/>
          <w:marBottom w:val="210"/>
          <w:divBdr>
            <w:top w:val="none" w:sz="0" w:space="0" w:color="auto"/>
            <w:left w:val="none" w:sz="0" w:space="0" w:color="auto"/>
            <w:bottom w:val="none" w:sz="0" w:space="0" w:color="auto"/>
            <w:right w:val="none" w:sz="0" w:space="0" w:color="auto"/>
          </w:divBdr>
        </w:div>
        <w:div w:id="1092167359">
          <w:marLeft w:val="0"/>
          <w:marRight w:val="0"/>
          <w:marTop w:val="0"/>
          <w:marBottom w:val="210"/>
          <w:divBdr>
            <w:top w:val="none" w:sz="0" w:space="0" w:color="auto"/>
            <w:left w:val="none" w:sz="0" w:space="0" w:color="auto"/>
            <w:bottom w:val="none" w:sz="0" w:space="0" w:color="auto"/>
            <w:right w:val="none" w:sz="0" w:space="0" w:color="auto"/>
          </w:divBdr>
        </w:div>
      </w:divsChild>
    </w:div>
    <w:div w:id="353579608">
      <w:bodyDiv w:val="1"/>
      <w:marLeft w:val="0"/>
      <w:marRight w:val="0"/>
      <w:marTop w:val="0"/>
      <w:marBottom w:val="0"/>
      <w:divBdr>
        <w:top w:val="none" w:sz="0" w:space="0" w:color="auto"/>
        <w:left w:val="none" w:sz="0" w:space="0" w:color="auto"/>
        <w:bottom w:val="none" w:sz="0" w:space="0" w:color="auto"/>
        <w:right w:val="none" w:sz="0" w:space="0" w:color="auto"/>
      </w:divBdr>
    </w:div>
    <w:div w:id="380713603">
      <w:bodyDiv w:val="1"/>
      <w:marLeft w:val="0"/>
      <w:marRight w:val="0"/>
      <w:marTop w:val="0"/>
      <w:marBottom w:val="0"/>
      <w:divBdr>
        <w:top w:val="none" w:sz="0" w:space="0" w:color="auto"/>
        <w:left w:val="none" w:sz="0" w:space="0" w:color="auto"/>
        <w:bottom w:val="none" w:sz="0" w:space="0" w:color="auto"/>
        <w:right w:val="none" w:sz="0" w:space="0" w:color="auto"/>
      </w:divBdr>
    </w:div>
    <w:div w:id="393163176">
      <w:bodyDiv w:val="1"/>
      <w:marLeft w:val="0"/>
      <w:marRight w:val="0"/>
      <w:marTop w:val="0"/>
      <w:marBottom w:val="0"/>
      <w:divBdr>
        <w:top w:val="none" w:sz="0" w:space="0" w:color="auto"/>
        <w:left w:val="none" w:sz="0" w:space="0" w:color="auto"/>
        <w:bottom w:val="none" w:sz="0" w:space="0" w:color="auto"/>
        <w:right w:val="none" w:sz="0" w:space="0" w:color="auto"/>
      </w:divBdr>
    </w:div>
    <w:div w:id="407192773">
      <w:bodyDiv w:val="1"/>
      <w:marLeft w:val="0"/>
      <w:marRight w:val="0"/>
      <w:marTop w:val="0"/>
      <w:marBottom w:val="0"/>
      <w:divBdr>
        <w:top w:val="none" w:sz="0" w:space="0" w:color="auto"/>
        <w:left w:val="none" w:sz="0" w:space="0" w:color="auto"/>
        <w:bottom w:val="none" w:sz="0" w:space="0" w:color="auto"/>
        <w:right w:val="none" w:sz="0" w:space="0" w:color="auto"/>
      </w:divBdr>
    </w:div>
    <w:div w:id="413747464">
      <w:bodyDiv w:val="1"/>
      <w:marLeft w:val="0"/>
      <w:marRight w:val="0"/>
      <w:marTop w:val="0"/>
      <w:marBottom w:val="0"/>
      <w:divBdr>
        <w:top w:val="none" w:sz="0" w:space="0" w:color="auto"/>
        <w:left w:val="none" w:sz="0" w:space="0" w:color="auto"/>
        <w:bottom w:val="none" w:sz="0" w:space="0" w:color="auto"/>
        <w:right w:val="none" w:sz="0" w:space="0" w:color="auto"/>
      </w:divBdr>
    </w:div>
    <w:div w:id="428965040">
      <w:bodyDiv w:val="1"/>
      <w:marLeft w:val="0"/>
      <w:marRight w:val="0"/>
      <w:marTop w:val="0"/>
      <w:marBottom w:val="0"/>
      <w:divBdr>
        <w:top w:val="none" w:sz="0" w:space="0" w:color="auto"/>
        <w:left w:val="none" w:sz="0" w:space="0" w:color="auto"/>
        <w:bottom w:val="none" w:sz="0" w:space="0" w:color="auto"/>
        <w:right w:val="none" w:sz="0" w:space="0" w:color="auto"/>
      </w:divBdr>
      <w:divsChild>
        <w:div w:id="28116490">
          <w:marLeft w:val="0"/>
          <w:marRight w:val="0"/>
          <w:marTop w:val="0"/>
          <w:marBottom w:val="150"/>
          <w:divBdr>
            <w:top w:val="none" w:sz="0" w:space="0" w:color="auto"/>
            <w:left w:val="none" w:sz="0" w:space="0" w:color="auto"/>
            <w:bottom w:val="none" w:sz="0" w:space="0" w:color="auto"/>
            <w:right w:val="none" w:sz="0" w:space="0" w:color="auto"/>
          </w:divBdr>
        </w:div>
        <w:div w:id="774641537">
          <w:marLeft w:val="0"/>
          <w:marRight w:val="0"/>
          <w:marTop w:val="0"/>
          <w:marBottom w:val="150"/>
          <w:divBdr>
            <w:top w:val="none" w:sz="0" w:space="0" w:color="auto"/>
            <w:left w:val="none" w:sz="0" w:space="0" w:color="auto"/>
            <w:bottom w:val="none" w:sz="0" w:space="0" w:color="auto"/>
            <w:right w:val="none" w:sz="0" w:space="0" w:color="auto"/>
          </w:divBdr>
        </w:div>
        <w:div w:id="817460730">
          <w:marLeft w:val="0"/>
          <w:marRight w:val="0"/>
          <w:marTop w:val="0"/>
          <w:marBottom w:val="600"/>
          <w:divBdr>
            <w:top w:val="none" w:sz="0" w:space="0" w:color="auto"/>
            <w:left w:val="none" w:sz="0" w:space="0" w:color="auto"/>
            <w:bottom w:val="none" w:sz="0" w:space="0" w:color="auto"/>
            <w:right w:val="none" w:sz="0" w:space="0" w:color="auto"/>
          </w:divBdr>
        </w:div>
      </w:divsChild>
    </w:div>
    <w:div w:id="452943263">
      <w:bodyDiv w:val="1"/>
      <w:marLeft w:val="0"/>
      <w:marRight w:val="0"/>
      <w:marTop w:val="0"/>
      <w:marBottom w:val="0"/>
      <w:divBdr>
        <w:top w:val="none" w:sz="0" w:space="0" w:color="auto"/>
        <w:left w:val="none" w:sz="0" w:space="0" w:color="auto"/>
        <w:bottom w:val="none" w:sz="0" w:space="0" w:color="auto"/>
        <w:right w:val="none" w:sz="0" w:space="0" w:color="auto"/>
      </w:divBdr>
    </w:div>
    <w:div w:id="462816014">
      <w:bodyDiv w:val="1"/>
      <w:marLeft w:val="0"/>
      <w:marRight w:val="0"/>
      <w:marTop w:val="0"/>
      <w:marBottom w:val="0"/>
      <w:divBdr>
        <w:top w:val="none" w:sz="0" w:space="0" w:color="auto"/>
        <w:left w:val="none" w:sz="0" w:space="0" w:color="auto"/>
        <w:bottom w:val="none" w:sz="0" w:space="0" w:color="auto"/>
        <w:right w:val="none" w:sz="0" w:space="0" w:color="auto"/>
      </w:divBdr>
    </w:div>
    <w:div w:id="471408565">
      <w:bodyDiv w:val="1"/>
      <w:marLeft w:val="0"/>
      <w:marRight w:val="0"/>
      <w:marTop w:val="0"/>
      <w:marBottom w:val="0"/>
      <w:divBdr>
        <w:top w:val="none" w:sz="0" w:space="0" w:color="auto"/>
        <w:left w:val="none" w:sz="0" w:space="0" w:color="auto"/>
        <w:bottom w:val="none" w:sz="0" w:space="0" w:color="auto"/>
        <w:right w:val="none" w:sz="0" w:space="0" w:color="auto"/>
      </w:divBdr>
    </w:div>
    <w:div w:id="490412300">
      <w:bodyDiv w:val="1"/>
      <w:marLeft w:val="0"/>
      <w:marRight w:val="0"/>
      <w:marTop w:val="0"/>
      <w:marBottom w:val="0"/>
      <w:divBdr>
        <w:top w:val="none" w:sz="0" w:space="0" w:color="auto"/>
        <w:left w:val="none" w:sz="0" w:space="0" w:color="auto"/>
        <w:bottom w:val="none" w:sz="0" w:space="0" w:color="auto"/>
        <w:right w:val="none" w:sz="0" w:space="0" w:color="auto"/>
      </w:divBdr>
    </w:div>
    <w:div w:id="500513603">
      <w:bodyDiv w:val="1"/>
      <w:marLeft w:val="0"/>
      <w:marRight w:val="0"/>
      <w:marTop w:val="0"/>
      <w:marBottom w:val="0"/>
      <w:divBdr>
        <w:top w:val="none" w:sz="0" w:space="0" w:color="auto"/>
        <w:left w:val="none" w:sz="0" w:space="0" w:color="auto"/>
        <w:bottom w:val="none" w:sz="0" w:space="0" w:color="auto"/>
        <w:right w:val="none" w:sz="0" w:space="0" w:color="auto"/>
      </w:divBdr>
    </w:div>
    <w:div w:id="516042901">
      <w:bodyDiv w:val="1"/>
      <w:marLeft w:val="0"/>
      <w:marRight w:val="0"/>
      <w:marTop w:val="0"/>
      <w:marBottom w:val="0"/>
      <w:divBdr>
        <w:top w:val="none" w:sz="0" w:space="0" w:color="auto"/>
        <w:left w:val="none" w:sz="0" w:space="0" w:color="auto"/>
        <w:bottom w:val="none" w:sz="0" w:space="0" w:color="auto"/>
        <w:right w:val="none" w:sz="0" w:space="0" w:color="auto"/>
      </w:divBdr>
    </w:div>
    <w:div w:id="544684300">
      <w:bodyDiv w:val="1"/>
      <w:marLeft w:val="0"/>
      <w:marRight w:val="0"/>
      <w:marTop w:val="0"/>
      <w:marBottom w:val="0"/>
      <w:divBdr>
        <w:top w:val="none" w:sz="0" w:space="0" w:color="auto"/>
        <w:left w:val="none" w:sz="0" w:space="0" w:color="auto"/>
        <w:bottom w:val="none" w:sz="0" w:space="0" w:color="auto"/>
        <w:right w:val="none" w:sz="0" w:space="0" w:color="auto"/>
      </w:divBdr>
    </w:div>
    <w:div w:id="546917993">
      <w:bodyDiv w:val="1"/>
      <w:marLeft w:val="0"/>
      <w:marRight w:val="0"/>
      <w:marTop w:val="0"/>
      <w:marBottom w:val="0"/>
      <w:divBdr>
        <w:top w:val="none" w:sz="0" w:space="0" w:color="auto"/>
        <w:left w:val="none" w:sz="0" w:space="0" w:color="auto"/>
        <w:bottom w:val="none" w:sz="0" w:space="0" w:color="auto"/>
        <w:right w:val="none" w:sz="0" w:space="0" w:color="auto"/>
      </w:divBdr>
      <w:divsChild>
        <w:div w:id="138767312">
          <w:marLeft w:val="0"/>
          <w:marRight w:val="0"/>
          <w:marTop w:val="0"/>
          <w:marBottom w:val="150"/>
          <w:divBdr>
            <w:top w:val="none" w:sz="0" w:space="0" w:color="auto"/>
            <w:left w:val="none" w:sz="0" w:space="0" w:color="auto"/>
            <w:bottom w:val="none" w:sz="0" w:space="0" w:color="auto"/>
            <w:right w:val="none" w:sz="0" w:space="0" w:color="auto"/>
          </w:divBdr>
        </w:div>
        <w:div w:id="809245715">
          <w:marLeft w:val="0"/>
          <w:marRight w:val="0"/>
          <w:marTop w:val="0"/>
          <w:marBottom w:val="150"/>
          <w:divBdr>
            <w:top w:val="none" w:sz="0" w:space="0" w:color="auto"/>
            <w:left w:val="none" w:sz="0" w:space="0" w:color="auto"/>
            <w:bottom w:val="none" w:sz="0" w:space="0" w:color="auto"/>
            <w:right w:val="none" w:sz="0" w:space="0" w:color="auto"/>
          </w:divBdr>
        </w:div>
      </w:divsChild>
    </w:div>
    <w:div w:id="585847008">
      <w:bodyDiv w:val="1"/>
      <w:marLeft w:val="0"/>
      <w:marRight w:val="0"/>
      <w:marTop w:val="0"/>
      <w:marBottom w:val="0"/>
      <w:divBdr>
        <w:top w:val="none" w:sz="0" w:space="0" w:color="auto"/>
        <w:left w:val="none" w:sz="0" w:space="0" w:color="auto"/>
        <w:bottom w:val="none" w:sz="0" w:space="0" w:color="auto"/>
        <w:right w:val="none" w:sz="0" w:space="0" w:color="auto"/>
      </w:divBdr>
    </w:div>
    <w:div w:id="589579102">
      <w:bodyDiv w:val="1"/>
      <w:marLeft w:val="0"/>
      <w:marRight w:val="0"/>
      <w:marTop w:val="0"/>
      <w:marBottom w:val="0"/>
      <w:divBdr>
        <w:top w:val="none" w:sz="0" w:space="0" w:color="auto"/>
        <w:left w:val="none" w:sz="0" w:space="0" w:color="auto"/>
        <w:bottom w:val="none" w:sz="0" w:space="0" w:color="auto"/>
        <w:right w:val="none" w:sz="0" w:space="0" w:color="auto"/>
      </w:divBdr>
    </w:div>
    <w:div w:id="599142207">
      <w:bodyDiv w:val="1"/>
      <w:marLeft w:val="0"/>
      <w:marRight w:val="0"/>
      <w:marTop w:val="0"/>
      <w:marBottom w:val="0"/>
      <w:divBdr>
        <w:top w:val="none" w:sz="0" w:space="0" w:color="auto"/>
        <w:left w:val="none" w:sz="0" w:space="0" w:color="auto"/>
        <w:bottom w:val="none" w:sz="0" w:space="0" w:color="auto"/>
        <w:right w:val="none" w:sz="0" w:space="0" w:color="auto"/>
      </w:divBdr>
    </w:div>
    <w:div w:id="601256913">
      <w:bodyDiv w:val="1"/>
      <w:marLeft w:val="0"/>
      <w:marRight w:val="0"/>
      <w:marTop w:val="0"/>
      <w:marBottom w:val="0"/>
      <w:divBdr>
        <w:top w:val="none" w:sz="0" w:space="0" w:color="auto"/>
        <w:left w:val="none" w:sz="0" w:space="0" w:color="auto"/>
        <w:bottom w:val="none" w:sz="0" w:space="0" w:color="auto"/>
        <w:right w:val="none" w:sz="0" w:space="0" w:color="auto"/>
      </w:divBdr>
    </w:div>
    <w:div w:id="625159589">
      <w:bodyDiv w:val="1"/>
      <w:marLeft w:val="0"/>
      <w:marRight w:val="0"/>
      <w:marTop w:val="0"/>
      <w:marBottom w:val="0"/>
      <w:divBdr>
        <w:top w:val="none" w:sz="0" w:space="0" w:color="auto"/>
        <w:left w:val="none" w:sz="0" w:space="0" w:color="auto"/>
        <w:bottom w:val="none" w:sz="0" w:space="0" w:color="auto"/>
        <w:right w:val="none" w:sz="0" w:space="0" w:color="auto"/>
      </w:divBdr>
    </w:div>
    <w:div w:id="642584735">
      <w:bodyDiv w:val="1"/>
      <w:marLeft w:val="0"/>
      <w:marRight w:val="0"/>
      <w:marTop w:val="0"/>
      <w:marBottom w:val="0"/>
      <w:divBdr>
        <w:top w:val="none" w:sz="0" w:space="0" w:color="auto"/>
        <w:left w:val="none" w:sz="0" w:space="0" w:color="auto"/>
        <w:bottom w:val="none" w:sz="0" w:space="0" w:color="auto"/>
        <w:right w:val="none" w:sz="0" w:space="0" w:color="auto"/>
      </w:divBdr>
    </w:div>
    <w:div w:id="720909749">
      <w:bodyDiv w:val="1"/>
      <w:marLeft w:val="0"/>
      <w:marRight w:val="0"/>
      <w:marTop w:val="0"/>
      <w:marBottom w:val="0"/>
      <w:divBdr>
        <w:top w:val="none" w:sz="0" w:space="0" w:color="auto"/>
        <w:left w:val="none" w:sz="0" w:space="0" w:color="auto"/>
        <w:bottom w:val="none" w:sz="0" w:space="0" w:color="auto"/>
        <w:right w:val="none" w:sz="0" w:space="0" w:color="auto"/>
      </w:divBdr>
    </w:div>
    <w:div w:id="754941418">
      <w:bodyDiv w:val="1"/>
      <w:marLeft w:val="0"/>
      <w:marRight w:val="0"/>
      <w:marTop w:val="0"/>
      <w:marBottom w:val="0"/>
      <w:divBdr>
        <w:top w:val="none" w:sz="0" w:space="0" w:color="auto"/>
        <w:left w:val="none" w:sz="0" w:space="0" w:color="auto"/>
        <w:bottom w:val="none" w:sz="0" w:space="0" w:color="auto"/>
        <w:right w:val="none" w:sz="0" w:space="0" w:color="auto"/>
      </w:divBdr>
    </w:div>
    <w:div w:id="770859703">
      <w:bodyDiv w:val="1"/>
      <w:marLeft w:val="0"/>
      <w:marRight w:val="0"/>
      <w:marTop w:val="0"/>
      <w:marBottom w:val="0"/>
      <w:divBdr>
        <w:top w:val="none" w:sz="0" w:space="0" w:color="auto"/>
        <w:left w:val="none" w:sz="0" w:space="0" w:color="auto"/>
        <w:bottom w:val="none" w:sz="0" w:space="0" w:color="auto"/>
        <w:right w:val="none" w:sz="0" w:space="0" w:color="auto"/>
      </w:divBdr>
    </w:div>
    <w:div w:id="871263046">
      <w:bodyDiv w:val="1"/>
      <w:marLeft w:val="0"/>
      <w:marRight w:val="0"/>
      <w:marTop w:val="0"/>
      <w:marBottom w:val="0"/>
      <w:divBdr>
        <w:top w:val="none" w:sz="0" w:space="0" w:color="auto"/>
        <w:left w:val="none" w:sz="0" w:space="0" w:color="auto"/>
        <w:bottom w:val="none" w:sz="0" w:space="0" w:color="auto"/>
        <w:right w:val="none" w:sz="0" w:space="0" w:color="auto"/>
      </w:divBdr>
    </w:div>
    <w:div w:id="875460430">
      <w:bodyDiv w:val="1"/>
      <w:marLeft w:val="0"/>
      <w:marRight w:val="0"/>
      <w:marTop w:val="0"/>
      <w:marBottom w:val="0"/>
      <w:divBdr>
        <w:top w:val="none" w:sz="0" w:space="0" w:color="auto"/>
        <w:left w:val="none" w:sz="0" w:space="0" w:color="auto"/>
        <w:bottom w:val="none" w:sz="0" w:space="0" w:color="auto"/>
        <w:right w:val="none" w:sz="0" w:space="0" w:color="auto"/>
      </w:divBdr>
    </w:div>
    <w:div w:id="886331777">
      <w:bodyDiv w:val="1"/>
      <w:marLeft w:val="0"/>
      <w:marRight w:val="0"/>
      <w:marTop w:val="0"/>
      <w:marBottom w:val="0"/>
      <w:divBdr>
        <w:top w:val="none" w:sz="0" w:space="0" w:color="auto"/>
        <w:left w:val="none" w:sz="0" w:space="0" w:color="auto"/>
        <w:bottom w:val="none" w:sz="0" w:space="0" w:color="auto"/>
        <w:right w:val="none" w:sz="0" w:space="0" w:color="auto"/>
      </w:divBdr>
    </w:div>
    <w:div w:id="919487728">
      <w:bodyDiv w:val="1"/>
      <w:marLeft w:val="0"/>
      <w:marRight w:val="0"/>
      <w:marTop w:val="0"/>
      <w:marBottom w:val="0"/>
      <w:divBdr>
        <w:top w:val="none" w:sz="0" w:space="0" w:color="auto"/>
        <w:left w:val="none" w:sz="0" w:space="0" w:color="auto"/>
        <w:bottom w:val="none" w:sz="0" w:space="0" w:color="auto"/>
        <w:right w:val="none" w:sz="0" w:space="0" w:color="auto"/>
      </w:divBdr>
    </w:div>
    <w:div w:id="922296269">
      <w:bodyDiv w:val="1"/>
      <w:marLeft w:val="0"/>
      <w:marRight w:val="0"/>
      <w:marTop w:val="0"/>
      <w:marBottom w:val="0"/>
      <w:divBdr>
        <w:top w:val="none" w:sz="0" w:space="0" w:color="auto"/>
        <w:left w:val="none" w:sz="0" w:space="0" w:color="auto"/>
        <w:bottom w:val="none" w:sz="0" w:space="0" w:color="auto"/>
        <w:right w:val="none" w:sz="0" w:space="0" w:color="auto"/>
      </w:divBdr>
    </w:div>
    <w:div w:id="948194938">
      <w:bodyDiv w:val="1"/>
      <w:marLeft w:val="0"/>
      <w:marRight w:val="0"/>
      <w:marTop w:val="0"/>
      <w:marBottom w:val="0"/>
      <w:divBdr>
        <w:top w:val="none" w:sz="0" w:space="0" w:color="auto"/>
        <w:left w:val="none" w:sz="0" w:space="0" w:color="auto"/>
        <w:bottom w:val="none" w:sz="0" w:space="0" w:color="auto"/>
        <w:right w:val="none" w:sz="0" w:space="0" w:color="auto"/>
      </w:divBdr>
    </w:div>
    <w:div w:id="982778362">
      <w:bodyDiv w:val="1"/>
      <w:marLeft w:val="0"/>
      <w:marRight w:val="0"/>
      <w:marTop w:val="0"/>
      <w:marBottom w:val="0"/>
      <w:divBdr>
        <w:top w:val="none" w:sz="0" w:space="0" w:color="auto"/>
        <w:left w:val="none" w:sz="0" w:space="0" w:color="auto"/>
        <w:bottom w:val="none" w:sz="0" w:space="0" w:color="auto"/>
        <w:right w:val="none" w:sz="0" w:space="0" w:color="auto"/>
      </w:divBdr>
      <w:divsChild>
        <w:div w:id="676611782">
          <w:marLeft w:val="0"/>
          <w:marRight w:val="0"/>
          <w:marTop w:val="0"/>
          <w:marBottom w:val="210"/>
          <w:divBdr>
            <w:top w:val="none" w:sz="0" w:space="0" w:color="auto"/>
            <w:left w:val="none" w:sz="0" w:space="0" w:color="auto"/>
            <w:bottom w:val="none" w:sz="0" w:space="0" w:color="auto"/>
            <w:right w:val="none" w:sz="0" w:space="0" w:color="auto"/>
          </w:divBdr>
        </w:div>
        <w:div w:id="805707046">
          <w:marLeft w:val="0"/>
          <w:marRight w:val="0"/>
          <w:marTop w:val="0"/>
          <w:marBottom w:val="210"/>
          <w:divBdr>
            <w:top w:val="none" w:sz="0" w:space="0" w:color="auto"/>
            <w:left w:val="none" w:sz="0" w:space="0" w:color="auto"/>
            <w:bottom w:val="none" w:sz="0" w:space="0" w:color="auto"/>
            <w:right w:val="none" w:sz="0" w:space="0" w:color="auto"/>
          </w:divBdr>
        </w:div>
        <w:div w:id="1207450279">
          <w:marLeft w:val="0"/>
          <w:marRight w:val="0"/>
          <w:marTop w:val="0"/>
          <w:marBottom w:val="210"/>
          <w:divBdr>
            <w:top w:val="none" w:sz="0" w:space="0" w:color="auto"/>
            <w:left w:val="none" w:sz="0" w:space="0" w:color="auto"/>
            <w:bottom w:val="none" w:sz="0" w:space="0" w:color="auto"/>
            <w:right w:val="none" w:sz="0" w:space="0" w:color="auto"/>
          </w:divBdr>
        </w:div>
      </w:divsChild>
    </w:div>
    <w:div w:id="986087305">
      <w:bodyDiv w:val="1"/>
      <w:marLeft w:val="0"/>
      <w:marRight w:val="0"/>
      <w:marTop w:val="0"/>
      <w:marBottom w:val="0"/>
      <w:divBdr>
        <w:top w:val="none" w:sz="0" w:space="0" w:color="auto"/>
        <w:left w:val="none" w:sz="0" w:space="0" w:color="auto"/>
        <w:bottom w:val="none" w:sz="0" w:space="0" w:color="auto"/>
        <w:right w:val="none" w:sz="0" w:space="0" w:color="auto"/>
      </w:divBdr>
      <w:divsChild>
        <w:div w:id="185751529">
          <w:marLeft w:val="0"/>
          <w:marRight w:val="0"/>
          <w:marTop w:val="75"/>
          <w:marBottom w:val="225"/>
          <w:divBdr>
            <w:top w:val="none" w:sz="0" w:space="0" w:color="auto"/>
            <w:left w:val="none" w:sz="0" w:space="0" w:color="auto"/>
            <w:bottom w:val="none" w:sz="0" w:space="0" w:color="auto"/>
            <w:right w:val="none" w:sz="0" w:space="0" w:color="auto"/>
          </w:divBdr>
        </w:div>
        <w:div w:id="751465934">
          <w:marLeft w:val="0"/>
          <w:marRight w:val="0"/>
          <w:marTop w:val="75"/>
          <w:marBottom w:val="75"/>
          <w:divBdr>
            <w:top w:val="none" w:sz="0" w:space="0" w:color="auto"/>
            <w:left w:val="none" w:sz="0" w:space="0" w:color="auto"/>
            <w:bottom w:val="none" w:sz="0" w:space="0" w:color="auto"/>
            <w:right w:val="none" w:sz="0" w:space="0" w:color="auto"/>
          </w:divBdr>
        </w:div>
      </w:divsChild>
    </w:div>
    <w:div w:id="990327768">
      <w:bodyDiv w:val="1"/>
      <w:marLeft w:val="0"/>
      <w:marRight w:val="0"/>
      <w:marTop w:val="0"/>
      <w:marBottom w:val="0"/>
      <w:divBdr>
        <w:top w:val="none" w:sz="0" w:space="0" w:color="auto"/>
        <w:left w:val="none" w:sz="0" w:space="0" w:color="auto"/>
        <w:bottom w:val="none" w:sz="0" w:space="0" w:color="auto"/>
        <w:right w:val="none" w:sz="0" w:space="0" w:color="auto"/>
      </w:divBdr>
    </w:div>
    <w:div w:id="1003824234">
      <w:bodyDiv w:val="1"/>
      <w:marLeft w:val="0"/>
      <w:marRight w:val="0"/>
      <w:marTop w:val="0"/>
      <w:marBottom w:val="0"/>
      <w:divBdr>
        <w:top w:val="none" w:sz="0" w:space="0" w:color="auto"/>
        <w:left w:val="none" w:sz="0" w:space="0" w:color="auto"/>
        <w:bottom w:val="none" w:sz="0" w:space="0" w:color="auto"/>
        <w:right w:val="none" w:sz="0" w:space="0" w:color="auto"/>
      </w:divBdr>
    </w:div>
    <w:div w:id="1012027449">
      <w:bodyDiv w:val="1"/>
      <w:marLeft w:val="0"/>
      <w:marRight w:val="0"/>
      <w:marTop w:val="0"/>
      <w:marBottom w:val="0"/>
      <w:divBdr>
        <w:top w:val="none" w:sz="0" w:space="0" w:color="auto"/>
        <w:left w:val="none" w:sz="0" w:space="0" w:color="auto"/>
        <w:bottom w:val="none" w:sz="0" w:space="0" w:color="auto"/>
        <w:right w:val="none" w:sz="0" w:space="0" w:color="auto"/>
      </w:divBdr>
      <w:divsChild>
        <w:div w:id="94712170">
          <w:marLeft w:val="0"/>
          <w:marRight w:val="0"/>
          <w:marTop w:val="0"/>
          <w:marBottom w:val="150"/>
          <w:divBdr>
            <w:top w:val="none" w:sz="0" w:space="0" w:color="auto"/>
            <w:left w:val="none" w:sz="0" w:space="0" w:color="auto"/>
            <w:bottom w:val="none" w:sz="0" w:space="0" w:color="auto"/>
            <w:right w:val="none" w:sz="0" w:space="0" w:color="auto"/>
          </w:divBdr>
        </w:div>
        <w:div w:id="1955480511">
          <w:marLeft w:val="0"/>
          <w:marRight w:val="0"/>
          <w:marTop w:val="0"/>
          <w:marBottom w:val="150"/>
          <w:divBdr>
            <w:top w:val="none" w:sz="0" w:space="0" w:color="auto"/>
            <w:left w:val="none" w:sz="0" w:space="0" w:color="auto"/>
            <w:bottom w:val="none" w:sz="0" w:space="0" w:color="auto"/>
            <w:right w:val="none" w:sz="0" w:space="0" w:color="auto"/>
          </w:divBdr>
        </w:div>
      </w:divsChild>
    </w:div>
    <w:div w:id="1076242646">
      <w:bodyDiv w:val="1"/>
      <w:marLeft w:val="0"/>
      <w:marRight w:val="0"/>
      <w:marTop w:val="0"/>
      <w:marBottom w:val="0"/>
      <w:divBdr>
        <w:top w:val="none" w:sz="0" w:space="0" w:color="auto"/>
        <w:left w:val="none" w:sz="0" w:space="0" w:color="auto"/>
        <w:bottom w:val="none" w:sz="0" w:space="0" w:color="auto"/>
        <w:right w:val="none" w:sz="0" w:space="0" w:color="auto"/>
      </w:divBdr>
    </w:div>
    <w:div w:id="1089742121">
      <w:bodyDiv w:val="1"/>
      <w:marLeft w:val="0"/>
      <w:marRight w:val="0"/>
      <w:marTop w:val="0"/>
      <w:marBottom w:val="0"/>
      <w:divBdr>
        <w:top w:val="none" w:sz="0" w:space="0" w:color="auto"/>
        <w:left w:val="none" w:sz="0" w:space="0" w:color="auto"/>
        <w:bottom w:val="none" w:sz="0" w:space="0" w:color="auto"/>
        <w:right w:val="none" w:sz="0" w:space="0" w:color="auto"/>
      </w:divBdr>
    </w:div>
    <w:div w:id="1104957471">
      <w:bodyDiv w:val="1"/>
      <w:marLeft w:val="0"/>
      <w:marRight w:val="0"/>
      <w:marTop w:val="0"/>
      <w:marBottom w:val="0"/>
      <w:divBdr>
        <w:top w:val="none" w:sz="0" w:space="0" w:color="auto"/>
        <w:left w:val="none" w:sz="0" w:space="0" w:color="auto"/>
        <w:bottom w:val="none" w:sz="0" w:space="0" w:color="auto"/>
        <w:right w:val="none" w:sz="0" w:space="0" w:color="auto"/>
      </w:divBdr>
      <w:divsChild>
        <w:div w:id="362757015">
          <w:marLeft w:val="0"/>
          <w:marRight w:val="0"/>
          <w:marTop w:val="0"/>
          <w:marBottom w:val="150"/>
          <w:divBdr>
            <w:top w:val="none" w:sz="0" w:space="0" w:color="auto"/>
            <w:left w:val="none" w:sz="0" w:space="0" w:color="auto"/>
            <w:bottom w:val="none" w:sz="0" w:space="0" w:color="auto"/>
            <w:right w:val="none" w:sz="0" w:space="0" w:color="auto"/>
          </w:divBdr>
        </w:div>
        <w:div w:id="843126751">
          <w:marLeft w:val="0"/>
          <w:marRight w:val="0"/>
          <w:marTop w:val="0"/>
          <w:marBottom w:val="150"/>
          <w:divBdr>
            <w:top w:val="none" w:sz="0" w:space="0" w:color="auto"/>
            <w:left w:val="none" w:sz="0" w:space="0" w:color="auto"/>
            <w:bottom w:val="none" w:sz="0" w:space="0" w:color="auto"/>
            <w:right w:val="none" w:sz="0" w:space="0" w:color="auto"/>
          </w:divBdr>
        </w:div>
      </w:divsChild>
    </w:div>
    <w:div w:id="1105730462">
      <w:bodyDiv w:val="1"/>
      <w:marLeft w:val="0"/>
      <w:marRight w:val="0"/>
      <w:marTop w:val="0"/>
      <w:marBottom w:val="0"/>
      <w:divBdr>
        <w:top w:val="none" w:sz="0" w:space="0" w:color="auto"/>
        <w:left w:val="none" w:sz="0" w:space="0" w:color="auto"/>
        <w:bottom w:val="none" w:sz="0" w:space="0" w:color="auto"/>
        <w:right w:val="none" w:sz="0" w:space="0" w:color="auto"/>
      </w:divBdr>
    </w:div>
    <w:div w:id="1111977471">
      <w:bodyDiv w:val="1"/>
      <w:marLeft w:val="0"/>
      <w:marRight w:val="0"/>
      <w:marTop w:val="0"/>
      <w:marBottom w:val="0"/>
      <w:divBdr>
        <w:top w:val="none" w:sz="0" w:space="0" w:color="auto"/>
        <w:left w:val="none" w:sz="0" w:space="0" w:color="auto"/>
        <w:bottom w:val="none" w:sz="0" w:space="0" w:color="auto"/>
        <w:right w:val="none" w:sz="0" w:space="0" w:color="auto"/>
      </w:divBdr>
    </w:div>
    <w:div w:id="1127624638">
      <w:bodyDiv w:val="1"/>
      <w:marLeft w:val="0"/>
      <w:marRight w:val="0"/>
      <w:marTop w:val="0"/>
      <w:marBottom w:val="0"/>
      <w:divBdr>
        <w:top w:val="none" w:sz="0" w:space="0" w:color="auto"/>
        <w:left w:val="none" w:sz="0" w:space="0" w:color="auto"/>
        <w:bottom w:val="none" w:sz="0" w:space="0" w:color="auto"/>
        <w:right w:val="none" w:sz="0" w:space="0" w:color="auto"/>
      </w:divBdr>
    </w:div>
    <w:div w:id="1155343312">
      <w:bodyDiv w:val="1"/>
      <w:marLeft w:val="0"/>
      <w:marRight w:val="0"/>
      <w:marTop w:val="0"/>
      <w:marBottom w:val="0"/>
      <w:divBdr>
        <w:top w:val="none" w:sz="0" w:space="0" w:color="auto"/>
        <w:left w:val="none" w:sz="0" w:space="0" w:color="auto"/>
        <w:bottom w:val="none" w:sz="0" w:space="0" w:color="auto"/>
        <w:right w:val="none" w:sz="0" w:space="0" w:color="auto"/>
      </w:divBdr>
    </w:div>
    <w:div w:id="1169979268">
      <w:bodyDiv w:val="1"/>
      <w:marLeft w:val="0"/>
      <w:marRight w:val="0"/>
      <w:marTop w:val="0"/>
      <w:marBottom w:val="0"/>
      <w:divBdr>
        <w:top w:val="none" w:sz="0" w:space="0" w:color="auto"/>
        <w:left w:val="none" w:sz="0" w:space="0" w:color="auto"/>
        <w:bottom w:val="none" w:sz="0" w:space="0" w:color="auto"/>
        <w:right w:val="none" w:sz="0" w:space="0" w:color="auto"/>
      </w:divBdr>
    </w:div>
    <w:div w:id="1218905054">
      <w:bodyDiv w:val="1"/>
      <w:marLeft w:val="0"/>
      <w:marRight w:val="0"/>
      <w:marTop w:val="0"/>
      <w:marBottom w:val="0"/>
      <w:divBdr>
        <w:top w:val="none" w:sz="0" w:space="0" w:color="auto"/>
        <w:left w:val="none" w:sz="0" w:space="0" w:color="auto"/>
        <w:bottom w:val="none" w:sz="0" w:space="0" w:color="auto"/>
        <w:right w:val="none" w:sz="0" w:space="0" w:color="auto"/>
      </w:divBdr>
    </w:div>
    <w:div w:id="1226722209">
      <w:bodyDiv w:val="1"/>
      <w:marLeft w:val="0"/>
      <w:marRight w:val="0"/>
      <w:marTop w:val="0"/>
      <w:marBottom w:val="0"/>
      <w:divBdr>
        <w:top w:val="none" w:sz="0" w:space="0" w:color="auto"/>
        <w:left w:val="none" w:sz="0" w:space="0" w:color="auto"/>
        <w:bottom w:val="none" w:sz="0" w:space="0" w:color="auto"/>
        <w:right w:val="none" w:sz="0" w:space="0" w:color="auto"/>
      </w:divBdr>
    </w:div>
    <w:div w:id="1233541336">
      <w:bodyDiv w:val="1"/>
      <w:marLeft w:val="0"/>
      <w:marRight w:val="0"/>
      <w:marTop w:val="0"/>
      <w:marBottom w:val="0"/>
      <w:divBdr>
        <w:top w:val="none" w:sz="0" w:space="0" w:color="auto"/>
        <w:left w:val="none" w:sz="0" w:space="0" w:color="auto"/>
        <w:bottom w:val="none" w:sz="0" w:space="0" w:color="auto"/>
        <w:right w:val="none" w:sz="0" w:space="0" w:color="auto"/>
      </w:divBdr>
      <w:divsChild>
        <w:div w:id="42338744">
          <w:marLeft w:val="0"/>
          <w:marRight w:val="0"/>
          <w:marTop w:val="0"/>
          <w:marBottom w:val="150"/>
          <w:divBdr>
            <w:top w:val="none" w:sz="0" w:space="0" w:color="auto"/>
            <w:left w:val="none" w:sz="0" w:space="0" w:color="auto"/>
            <w:bottom w:val="none" w:sz="0" w:space="0" w:color="auto"/>
            <w:right w:val="none" w:sz="0" w:space="0" w:color="auto"/>
          </w:divBdr>
        </w:div>
        <w:div w:id="1351757042">
          <w:marLeft w:val="0"/>
          <w:marRight w:val="0"/>
          <w:marTop w:val="0"/>
          <w:marBottom w:val="150"/>
          <w:divBdr>
            <w:top w:val="none" w:sz="0" w:space="0" w:color="auto"/>
            <w:left w:val="none" w:sz="0" w:space="0" w:color="auto"/>
            <w:bottom w:val="none" w:sz="0" w:space="0" w:color="auto"/>
            <w:right w:val="none" w:sz="0" w:space="0" w:color="auto"/>
          </w:divBdr>
        </w:div>
      </w:divsChild>
    </w:div>
    <w:div w:id="1238173735">
      <w:bodyDiv w:val="1"/>
      <w:marLeft w:val="0"/>
      <w:marRight w:val="0"/>
      <w:marTop w:val="0"/>
      <w:marBottom w:val="0"/>
      <w:divBdr>
        <w:top w:val="none" w:sz="0" w:space="0" w:color="auto"/>
        <w:left w:val="none" w:sz="0" w:space="0" w:color="auto"/>
        <w:bottom w:val="none" w:sz="0" w:space="0" w:color="auto"/>
        <w:right w:val="none" w:sz="0" w:space="0" w:color="auto"/>
      </w:divBdr>
    </w:div>
    <w:div w:id="1259414140">
      <w:bodyDiv w:val="1"/>
      <w:marLeft w:val="0"/>
      <w:marRight w:val="0"/>
      <w:marTop w:val="0"/>
      <w:marBottom w:val="0"/>
      <w:divBdr>
        <w:top w:val="none" w:sz="0" w:space="0" w:color="auto"/>
        <w:left w:val="none" w:sz="0" w:space="0" w:color="auto"/>
        <w:bottom w:val="none" w:sz="0" w:space="0" w:color="auto"/>
        <w:right w:val="none" w:sz="0" w:space="0" w:color="auto"/>
      </w:divBdr>
    </w:div>
    <w:div w:id="1281301325">
      <w:bodyDiv w:val="1"/>
      <w:marLeft w:val="0"/>
      <w:marRight w:val="0"/>
      <w:marTop w:val="0"/>
      <w:marBottom w:val="0"/>
      <w:divBdr>
        <w:top w:val="none" w:sz="0" w:space="0" w:color="auto"/>
        <w:left w:val="none" w:sz="0" w:space="0" w:color="auto"/>
        <w:bottom w:val="none" w:sz="0" w:space="0" w:color="auto"/>
        <w:right w:val="none" w:sz="0" w:space="0" w:color="auto"/>
      </w:divBdr>
      <w:divsChild>
        <w:div w:id="1879319867">
          <w:marLeft w:val="0"/>
          <w:marRight w:val="0"/>
          <w:marTop w:val="0"/>
          <w:marBottom w:val="0"/>
          <w:divBdr>
            <w:top w:val="none" w:sz="0" w:space="0" w:color="auto"/>
            <w:left w:val="none" w:sz="0" w:space="0" w:color="auto"/>
            <w:bottom w:val="none" w:sz="0" w:space="0" w:color="auto"/>
            <w:right w:val="none" w:sz="0" w:space="0" w:color="auto"/>
          </w:divBdr>
        </w:div>
      </w:divsChild>
    </w:div>
    <w:div w:id="1281302524">
      <w:bodyDiv w:val="1"/>
      <w:marLeft w:val="0"/>
      <w:marRight w:val="0"/>
      <w:marTop w:val="0"/>
      <w:marBottom w:val="0"/>
      <w:divBdr>
        <w:top w:val="none" w:sz="0" w:space="0" w:color="auto"/>
        <w:left w:val="none" w:sz="0" w:space="0" w:color="auto"/>
        <w:bottom w:val="none" w:sz="0" w:space="0" w:color="auto"/>
        <w:right w:val="none" w:sz="0" w:space="0" w:color="auto"/>
      </w:divBdr>
    </w:div>
    <w:div w:id="1309869885">
      <w:bodyDiv w:val="1"/>
      <w:marLeft w:val="0"/>
      <w:marRight w:val="0"/>
      <w:marTop w:val="0"/>
      <w:marBottom w:val="0"/>
      <w:divBdr>
        <w:top w:val="none" w:sz="0" w:space="0" w:color="auto"/>
        <w:left w:val="none" w:sz="0" w:space="0" w:color="auto"/>
        <w:bottom w:val="none" w:sz="0" w:space="0" w:color="auto"/>
        <w:right w:val="none" w:sz="0" w:space="0" w:color="auto"/>
      </w:divBdr>
    </w:div>
    <w:div w:id="1321539046">
      <w:bodyDiv w:val="1"/>
      <w:marLeft w:val="0"/>
      <w:marRight w:val="0"/>
      <w:marTop w:val="0"/>
      <w:marBottom w:val="0"/>
      <w:divBdr>
        <w:top w:val="none" w:sz="0" w:space="0" w:color="auto"/>
        <w:left w:val="none" w:sz="0" w:space="0" w:color="auto"/>
        <w:bottom w:val="none" w:sz="0" w:space="0" w:color="auto"/>
        <w:right w:val="none" w:sz="0" w:space="0" w:color="auto"/>
      </w:divBdr>
      <w:divsChild>
        <w:div w:id="969017410">
          <w:marLeft w:val="0"/>
          <w:marRight w:val="0"/>
          <w:marTop w:val="0"/>
          <w:marBottom w:val="150"/>
          <w:divBdr>
            <w:top w:val="none" w:sz="0" w:space="0" w:color="auto"/>
            <w:left w:val="none" w:sz="0" w:space="0" w:color="auto"/>
            <w:bottom w:val="none" w:sz="0" w:space="0" w:color="auto"/>
            <w:right w:val="none" w:sz="0" w:space="0" w:color="auto"/>
          </w:divBdr>
        </w:div>
        <w:div w:id="2121759734">
          <w:marLeft w:val="0"/>
          <w:marRight w:val="0"/>
          <w:marTop w:val="0"/>
          <w:marBottom w:val="150"/>
          <w:divBdr>
            <w:top w:val="none" w:sz="0" w:space="0" w:color="auto"/>
            <w:left w:val="none" w:sz="0" w:space="0" w:color="auto"/>
            <w:bottom w:val="none" w:sz="0" w:space="0" w:color="auto"/>
            <w:right w:val="none" w:sz="0" w:space="0" w:color="auto"/>
          </w:divBdr>
        </w:div>
      </w:divsChild>
    </w:div>
    <w:div w:id="1406562115">
      <w:bodyDiv w:val="1"/>
      <w:marLeft w:val="0"/>
      <w:marRight w:val="0"/>
      <w:marTop w:val="0"/>
      <w:marBottom w:val="0"/>
      <w:divBdr>
        <w:top w:val="none" w:sz="0" w:space="0" w:color="auto"/>
        <w:left w:val="none" w:sz="0" w:space="0" w:color="auto"/>
        <w:bottom w:val="none" w:sz="0" w:space="0" w:color="auto"/>
        <w:right w:val="none" w:sz="0" w:space="0" w:color="auto"/>
      </w:divBdr>
    </w:div>
    <w:div w:id="1408459067">
      <w:bodyDiv w:val="1"/>
      <w:marLeft w:val="0"/>
      <w:marRight w:val="0"/>
      <w:marTop w:val="0"/>
      <w:marBottom w:val="0"/>
      <w:divBdr>
        <w:top w:val="none" w:sz="0" w:space="0" w:color="auto"/>
        <w:left w:val="none" w:sz="0" w:space="0" w:color="auto"/>
        <w:bottom w:val="none" w:sz="0" w:space="0" w:color="auto"/>
        <w:right w:val="none" w:sz="0" w:space="0" w:color="auto"/>
      </w:divBdr>
    </w:div>
    <w:div w:id="1415055054">
      <w:bodyDiv w:val="1"/>
      <w:marLeft w:val="0"/>
      <w:marRight w:val="0"/>
      <w:marTop w:val="0"/>
      <w:marBottom w:val="0"/>
      <w:divBdr>
        <w:top w:val="none" w:sz="0" w:space="0" w:color="auto"/>
        <w:left w:val="none" w:sz="0" w:space="0" w:color="auto"/>
        <w:bottom w:val="none" w:sz="0" w:space="0" w:color="auto"/>
        <w:right w:val="none" w:sz="0" w:space="0" w:color="auto"/>
      </w:divBdr>
    </w:div>
    <w:div w:id="1428115145">
      <w:bodyDiv w:val="1"/>
      <w:marLeft w:val="0"/>
      <w:marRight w:val="0"/>
      <w:marTop w:val="0"/>
      <w:marBottom w:val="0"/>
      <w:divBdr>
        <w:top w:val="none" w:sz="0" w:space="0" w:color="auto"/>
        <w:left w:val="none" w:sz="0" w:space="0" w:color="auto"/>
        <w:bottom w:val="none" w:sz="0" w:space="0" w:color="auto"/>
        <w:right w:val="none" w:sz="0" w:space="0" w:color="auto"/>
      </w:divBdr>
    </w:div>
    <w:div w:id="1433623302">
      <w:bodyDiv w:val="1"/>
      <w:marLeft w:val="0"/>
      <w:marRight w:val="0"/>
      <w:marTop w:val="0"/>
      <w:marBottom w:val="0"/>
      <w:divBdr>
        <w:top w:val="none" w:sz="0" w:space="0" w:color="auto"/>
        <w:left w:val="none" w:sz="0" w:space="0" w:color="auto"/>
        <w:bottom w:val="none" w:sz="0" w:space="0" w:color="auto"/>
        <w:right w:val="none" w:sz="0" w:space="0" w:color="auto"/>
      </w:divBdr>
    </w:div>
    <w:div w:id="1435783463">
      <w:bodyDiv w:val="1"/>
      <w:marLeft w:val="0"/>
      <w:marRight w:val="0"/>
      <w:marTop w:val="0"/>
      <w:marBottom w:val="0"/>
      <w:divBdr>
        <w:top w:val="none" w:sz="0" w:space="0" w:color="auto"/>
        <w:left w:val="none" w:sz="0" w:space="0" w:color="auto"/>
        <w:bottom w:val="none" w:sz="0" w:space="0" w:color="auto"/>
        <w:right w:val="none" w:sz="0" w:space="0" w:color="auto"/>
      </w:divBdr>
    </w:div>
    <w:div w:id="1462117970">
      <w:bodyDiv w:val="1"/>
      <w:marLeft w:val="0"/>
      <w:marRight w:val="0"/>
      <w:marTop w:val="0"/>
      <w:marBottom w:val="0"/>
      <w:divBdr>
        <w:top w:val="none" w:sz="0" w:space="0" w:color="auto"/>
        <w:left w:val="none" w:sz="0" w:space="0" w:color="auto"/>
        <w:bottom w:val="none" w:sz="0" w:space="0" w:color="auto"/>
        <w:right w:val="none" w:sz="0" w:space="0" w:color="auto"/>
      </w:divBdr>
    </w:div>
    <w:div w:id="1532642496">
      <w:bodyDiv w:val="1"/>
      <w:marLeft w:val="0"/>
      <w:marRight w:val="0"/>
      <w:marTop w:val="0"/>
      <w:marBottom w:val="0"/>
      <w:divBdr>
        <w:top w:val="none" w:sz="0" w:space="0" w:color="auto"/>
        <w:left w:val="none" w:sz="0" w:space="0" w:color="auto"/>
        <w:bottom w:val="none" w:sz="0" w:space="0" w:color="auto"/>
        <w:right w:val="none" w:sz="0" w:space="0" w:color="auto"/>
      </w:divBdr>
    </w:div>
    <w:div w:id="1558131726">
      <w:bodyDiv w:val="1"/>
      <w:marLeft w:val="0"/>
      <w:marRight w:val="0"/>
      <w:marTop w:val="0"/>
      <w:marBottom w:val="0"/>
      <w:divBdr>
        <w:top w:val="none" w:sz="0" w:space="0" w:color="auto"/>
        <w:left w:val="none" w:sz="0" w:space="0" w:color="auto"/>
        <w:bottom w:val="none" w:sz="0" w:space="0" w:color="auto"/>
        <w:right w:val="none" w:sz="0" w:space="0" w:color="auto"/>
      </w:divBdr>
    </w:div>
    <w:div w:id="1562248215">
      <w:bodyDiv w:val="1"/>
      <w:marLeft w:val="0"/>
      <w:marRight w:val="0"/>
      <w:marTop w:val="0"/>
      <w:marBottom w:val="0"/>
      <w:divBdr>
        <w:top w:val="none" w:sz="0" w:space="0" w:color="auto"/>
        <w:left w:val="none" w:sz="0" w:space="0" w:color="auto"/>
        <w:bottom w:val="none" w:sz="0" w:space="0" w:color="auto"/>
        <w:right w:val="none" w:sz="0" w:space="0" w:color="auto"/>
      </w:divBdr>
    </w:div>
    <w:div w:id="1578662953">
      <w:bodyDiv w:val="1"/>
      <w:marLeft w:val="0"/>
      <w:marRight w:val="0"/>
      <w:marTop w:val="0"/>
      <w:marBottom w:val="0"/>
      <w:divBdr>
        <w:top w:val="none" w:sz="0" w:space="0" w:color="auto"/>
        <w:left w:val="none" w:sz="0" w:space="0" w:color="auto"/>
        <w:bottom w:val="none" w:sz="0" w:space="0" w:color="auto"/>
        <w:right w:val="none" w:sz="0" w:space="0" w:color="auto"/>
      </w:divBdr>
    </w:div>
    <w:div w:id="1593704839">
      <w:bodyDiv w:val="1"/>
      <w:marLeft w:val="0"/>
      <w:marRight w:val="0"/>
      <w:marTop w:val="0"/>
      <w:marBottom w:val="0"/>
      <w:divBdr>
        <w:top w:val="none" w:sz="0" w:space="0" w:color="auto"/>
        <w:left w:val="none" w:sz="0" w:space="0" w:color="auto"/>
        <w:bottom w:val="none" w:sz="0" w:space="0" w:color="auto"/>
        <w:right w:val="none" w:sz="0" w:space="0" w:color="auto"/>
      </w:divBdr>
    </w:div>
    <w:div w:id="1676111689">
      <w:bodyDiv w:val="1"/>
      <w:marLeft w:val="0"/>
      <w:marRight w:val="0"/>
      <w:marTop w:val="0"/>
      <w:marBottom w:val="0"/>
      <w:divBdr>
        <w:top w:val="none" w:sz="0" w:space="0" w:color="auto"/>
        <w:left w:val="none" w:sz="0" w:space="0" w:color="auto"/>
        <w:bottom w:val="none" w:sz="0" w:space="0" w:color="auto"/>
        <w:right w:val="none" w:sz="0" w:space="0" w:color="auto"/>
      </w:divBdr>
    </w:div>
    <w:div w:id="1686595240">
      <w:bodyDiv w:val="1"/>
      <w:marLeft w:val="0"/>
      <w:marRight w:val="0"/>
      <w:marTop w:val="0"/>
      <w:marBottom w:val="0"/>
      <w:divBdr>
        <w:top w:val="none" w:sz="0" w:space="0" w:color="auto"/>
        <w:left w:val="none" w:sz="0" w:space="0" w:color="auto"/>
        <w:bottom w:val="none" w:sz="0" w:space="0" w:color="auto"/>
        <w:right w:val="none" w:sz="0" w:space="0" w:color="auto"/>
      </w:divBdr>
    </w:div>
    <w:div w:id="1690374350">
      <w:bodyDiv w:val="1"/>
      <w:marLeft w:val="0"/>
      <w:marRight w:val="0"/>
      <w:marTop w:val="0"/>
      <w:marBottom w:val="0"/>
      <w:divBdr>
        <w:top w:val="none" w:sz="0" w:space="0" w:color="auto"/>
        <w:left w:val="none" w:sz="0" w:space="0" w:color="auto"/>
        <w:bottom w:val="none" w:sz="0" w:space="0" w:color="auto"/>
        <w:right w:val="none" w:sz="0" w:space="0" w:color="auto"/>
      </w:divBdr>
    </w:div>
    <w:div w:id="1957171809">
      <w:bodyDiv w:val="1"/>
      <w:marLeft w:val="0"/>
      <w:marRight w:val="0"/>
      <w:marTop w:val="0"/>
      <w:marBottom w:val="0"/>
      <w:divBdr>
        <w:top w:val="none" w:sz="0" w:space="0" w:color="auto"/>
        <w:left w:val="none" w:sz="0" w:space="0" w:color="auto"/>
        <w:bottom w:val="none" w:sz="0" w:space="0" w:color="auto"/>
        <w:right w:val="none" w:sz="0" w:space="0" w:color="auto"/>
      </w:divBdr>
    </w:div>
    <w:div w:id="1966697167">
      <w:bodyDiv w:val="1"/>
      <w:marLeft w:val="0"/>
      <w:marRight w:val="0"/>
      <w:marTop w:val="0"/>
      <w:marBottom w:val="0"/>
      <w:divBdr>
        <w:top w:val="none" w:sz="0" w:space="0" w:color="auto"/>
        <w:left w:val="none" w:sz="0" w:space="0" w:color="auto"/>
        <w:bottom w:val="none" w:sz="0" w:space="0" w:color="auto"/>
        <w:right w:val="none" w:sz="0" w:space="0" w:color="auto"/>
      </w:divBdr>
    </w:div>
    <w:div w:id="1995135284">
      <w:bodyDiv w:val="1"/>
      <w:marLeft w:val="0"/>
      <w:marRight w:val="0"/>
      <w:marTop w:val="0"/>
      <w:marBottom w:val="0"/>
      <w:divBdr>
        <w:top w:val="none" w:sz="0" w:space="0" w:color="auto"/>
        <w:left w:val="none" w:sz="0" w:space="0" w:color="auto"/>
        <w:bottom w:val="none" w:sz="0" w:space="0" w:color="auto"/>
        <w:right w:val="none" w:sz="0" w:space="0" w:color="auto"/>
      </w:divBdr>
    </w:div>
    <w:div w:id="2004157455">
      <w:bodyDiv w:val="1"/>
      <w:marLeft w:val="0"/>
      <w:marRight w:val="0"/>
      <w:marTop w:val="0"/>
      <w:marBottom w:val="0"/>
      <w:divBdr>
        <w:top w:val="none" w:sz="0" w:space="0" w:color="auto"/>
        <w:left w:val="none" w:sz="0" w:space="0" w:color="auto"/>
        <w:bottom w:val="none" w:sz="0" w:space="0" w:color="auto"/>
        <w:right w:val="none" w:sz="0" w:space="0" w:color="auto"/>
      </w:divBdr>
    </w:div>
    <w:div w:id="2016878801">
      <w:bodyDiv w:val="1"/>
      <w:marLeft w:val="0"/>
      <w:marRight w:val="0"/>
      <w:marTop w:val="0"/>
      <w:marBottom w:val="0"/>
      <w:divBdr>
        <w:top w:val="none" w:sz="0" w:space="0" w:color="auto"/>
        <w:left w:val="none" w:sz="0" w:space="0" w:color="auto"/>
        <w:bottom w:val="none" w:sz="0" w:space="0" w:color="auto"/>
        <w:right w:val="none" w:sz="0" w:space="0" w:color="auto"/>
      </w:divBdr>
    </w:div>
    <w:div w:id="2038578029">
      <w:bodyDiv w:val="1"/>
      <w:marLeft w:val="0"/>
      <w:marRight w:val="0"/>
      <w:marTop w:val="0"/>
      <w:marBottom w:val="0"/>
      <w:divBdr>
        <w:top w:val="none" w:sz="0" w:space="0" w:color="auto"/>
        <w:left w:val="none" w:sz="0" w:space="0" w:color="auto"/>
        <w:bottom w:val="none" w:sz="0" w:space="0" w:color="auto"/>
        <w:right w:val="none" w:sz="0" w:space="0" w:color="auto"/>
      </w:divBdr>
    </w:div>
    <w:div w:id="2058122113">
      <w:bodyDiv w:val="1"/>
      <w:marLeft w:val="0"/>
      <w:marRight w:val="0"/>
      <w:marTop w:val="0"/>
      <w:marBottom w:val="0"/>
      <w:divBdr>
        <w:top w:val="none" w:sz="0" w:space="0" w:color="auto"/>
        <w:left w:val="none" w:sz="0" w:space="0" w:color="auto"/>
        <w:bottom w:val="none" w:sz="0" w:space="0" w:color="auto"/>
        <w:right w:val="none" w:sz="0" w:space="0" w:color="auto"/>
      </w:divBdr>
    </w:div>
    <w:div w:id="2076080054">
      <w:bodyDiv w:val="1"/>
      <w:marLeft w:val="0"/>
      <w:marRight w:val="0"/>
      <w:marTop w:val="0"/>
      <w:marBottom w:val="0"/>
      <w:divBdr>
        <w:top w:val="none" w:sz="0" w:space="0" w:color="auto"/>
        <w:left w:val="none" w:sz="0" w:space="0" w:color="auto"/>
        <w:bottom w:val="none" w:sz="0" w:space="0" w:color="auto"/>
        <w:right w:val="none" w:sz="0" w:space="0" w:color="auto"/>
      </w:divBdr>
    </w:div>
    <w:div w:id="2081563270">
      <w:bodyDiv w:val="1"/>
      <w:marLeft w:val="0"/>
      <w:marRight w:val="0"/>
      <w:marTop w:val="0"/>
      <w:marBottom w:val="0"/>
      <w:divBdr>
        <w:top w:val="none" w:sz="0" w:space="0" w:color="auto"/>
        <w:left w:val="none" w:sz="0" w:space="0" w:color="auto"/>
        <w:bottom w:val="none" w:sz="0" w:space="0" w:color="auto"/>
        <w:right w:val="none" w:sz="0" w:space="0" w:color="auto"/>
      </w:divBdr>
    </w:div>
    <w:div w:id="2087679097">
      <w:bodyDiv w:val="1"/>
      <w:marLeft w:val="0"/>
      <w:marRight w:val="0"/>
      <w:marTop w:val="0"/>
      <w:marBottom w:val="0"/>
      <w:divBdr>
        <w:top w:val="none" w:sz="0" w:space="0" w:color="auto"/>
        <w:left w:val="none" w:sz="0" w:space="0" w:color="auto"/>
        <w:bottom w:val="none" w:sz="0" w:space="0" w:color="auto"/>
        <w:right w:val="none" w:sz="0" w:space="0" w:color="auto"/>
      </w:divBdr>
      <w:divsChild>
        <w:div w:id="1618758744">
          <w:marLeft w:val="0"/>
          <w:marRight w:val="0"/>
          <w:marTop w:val="0"/>
          <w:marBottom w:val="150"/>
          <w:divBdr>
            <w:top w:val="none" w:sz="0" w:space="0" w:color="auto"/>
            <w:left w:val="none" w:sz="0" w:space="0" w:color="auto"/>
            <w:bottom w:val="none" w:sz="0" w:space="0" w:color="auto"/>
            <w:right w:val="none" w:sz="0" w:space="0" w:color="auto"/>
          </w:divBdr>
        </w:div>
        <w:div w:id="1634751897">
          <w:marLeft w:val="0"/>
          <w:marRight w:val="0"/>
          <w:marTop w:val="0"/>
          <w:marBottom w:val="150"/>
          <w:divBdr>
            <w:top w:val="none" w:sz="0" w:space="0" w:color="auto"/>
            <w:left w:val="none" w:sz="0" w:space="0" w:color="auto"/>
            <w:bottom w:val="none" w:sz="0" w:space="0" w:color="auto"/>
            <w:right w:val="none" w:sz="0" w:space="0" w:color="auto"/>
          </w:divBdr>
        </w:div>
      </w:divsChild>
    </w:div>
    <w:div w:id="2115979369">
      <w:bodyDiv w:val="1"/>
      <w:marLeft w:val="0"/>
      <w:marRight w:val="0"/>
      <w:marTop w:val="0"/>
      <w:marBottom w:val="0"/>
      <w:divBdr>
        <w:top w:val="none" w:sz="0" w:space="0" w:color="auto"/>
        <w:left w:val="none" w:sz="0" w:space="0" w:color="auto"/>
        <w:bottom w:val="none" w:sz="0" w:space="0" w:color="auto"/>
        <w:right w:val="none" w:sz="0" w:space="0" w:color="auto"/>
      </w:divBdr>
    </w:div>
    <w:div w:id="2130708161">
      <w:bodyDiv w:val="1"/>
      <w:marLeft w:val="0"/>
      <w:marRight w:val="0"/>
      <w:marTop w:val="0"/>
      <w:marBottom w:val="0"/>
      <w:divBdr>
        <w:top w:val="none" w:sz="0" w:space="0" w:color="auto"/>
        <w:left w:val="none" w:sz="0" w:space="0" w:color="auto"/>
        <w:bottom w:val="none" w:sz="0" w:space="0" w:color="auto"/>
        <w:right w:val="none" w:sz="0" w:space="0" w:color="auto"/>
      </w:divBdr>
      <w:divsChild>
        <w:div w:id="1966891675">
          <w:marLeft w:val="0"/>
          <w:marRight w:val="0"/>
          <w:marTop w:val="0"/>
          <w:marBottom w:val="150"/>
          <w:divBdr>
            <w:top w:val="none" w:sz="0" w:space="0" w:color="auto"/>
            <w:left w:val="none" w:sz="0" w:space="0" w:color="auto"/>
            <w:bottom w:val="none" w:sz="0" w:space="0" w:color="auto"/>
            <w:right w:val="none" w:sz="0" w:space="0" w:color="auto"/>
          </w:divBdr>
        </w:div>
        <w:div w:id="2013677850">
          <w:marLeft w:val="0"/>
          <w:marRight w:val="0"/>
          <w:marTop w:val="0"/>
          <w:marBottom w:val="150"/>
          <w:divBdr>
            <w:top w:val="none" w:sz="0" w:space="0" w:color="auto"/>
            <w:left w:val="none" w:sz="0" w:space="0" w:color="auto"/>
            <w:bottom w:val="none" w:sz="0" w:space="0" w:color="auto"/>
            <w:right w:val="none" w:sz="0" w:space="0" w:color="auto"/>
          </w:divBdr>
        </w:div>
      </w:divsChild>
    </w:div>
    <w:div w:id="2131050161">
      <w:bodyDiv w:val="1"/>
      <w:marLeft w:val="0"/>
      <w:marRight w:val="0"/>
      <w:marTop w:val="0"/>
      <w:marBottom w:val="0"/>
      <w:divBdr>
        <w:top w:val="none" w:sz="0" w:space="0" w:color="auto"/>
        <w:left w:val="none" w:sz="0" w:space="0" w:color="auto"/>
        <w:bottom w:val="none" w:sz="0" w:space="0" w:color="auto"/>
        <w:right w:val="none" w:sz="0" w:space="0" w:color="auto"/>
      </w:divBdr>
    </w:div>
    <w:div w:id="214446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721A7242F9CD49BD1E05495CEFC5E9" ma:contentTypeVersion="39" ma:contentTypeDescription="Create a new document." ma:contentTypeScope="" ma:versionID="42bf3dbd42a01a8909fe4b729d5af5c9">
  <xsd:schema xmlns:xsd="http://www.w3.org/2001/XMLSchema" xmlns:xs="http://www.w3.org/2001/XMLSchema" xmlns:p="http://schemas.microsoft.com/office/2006/metadata/properties" xmlns:ns1="http://schemas.microsoft.com/sharepoint/v3" xmlns:ns2="292db1e8-b3d0-4356-8ef3-2a6d7ed77883" xmlns:ns3="4f36bac4-6705-4a36-974b-7c07450fedf2" targetNamespace="http://schemas.microsoft.com/office/2006/metadata/properties" ma:root="true" ma:fieldsID="014c74ae0f1ad656491d8631f4bc92aa" ns1:_="" ns2:_="" ns3:_="">
    <xsd:import namespace="http://schemas.microsoft.com/sharepoint/v3"/>
    <xsd:import namespace="292db1e8-b3d0-4356-8ef3-2a6d7ed77883"/>
    <xsd:import namespace="4f36bac4-6705-4a36-974b-7c07450fedf2"/>
    <xsd:element name="properties">
      <xsd:complexType>
        <xsd:sequence>
          <xsd:element name="documentManagement">
            <xsd:complexType>
              <xsd:all>
                <xsd:element ref="ns1:PublishingStartDate" minOccurs="0"/>
                <xsd:element ref="ns1:PublishingExpirationDate" minOccurs="0"/>
                <xsd:element ref="ns1:RoutingTargetFolder" minOccurs="0"/>
                <xsd:element ref="ns2:Document_x0020_Purpos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RoutingTargetFolder" ma:index="6" nillable="true" ma:displayName="Target Folder" ma:description="" ma:hidden="true" ma:internalName="RoutingTargetFolder" ma:readOnly="false">
      <xsd:simpleType>
        <xsd:restriction base="dms:Text">
          <xsd:maxLength value="255"/>
        </xsd:restriction>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db1e8-b3d0-4356-8ef3-2a6d7ed77883" elementFormDefault="qualified">
    <xsd:import namespace="http://schemas.microsoft.com/office/2006/documentManagement/types"/>
    <xsd:import namespace="http://schemas.microsoft.com/office/infopath/2007/PartnerControls"/>
    <xsd:element name="Document_x0020_Purpose" ma:index="7" nillable="true" ma:displayName="Document Notes" ma:internalName="Document_x0020_Purpose"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d40567-abf2-423e-8514-1118c328f7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36bac4-6705-4a36-974b-7c07450fed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cfb947-9aca-4507-8ac0-df076e40e05b}" ma:internalName="TaxCatchAll" ma:showField="CatchAllData" ma:web="4f36bac4-6705-4a36-974b-7c07450fedf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f36bac4-6705-4a36-974b-7c07450fedf2" xsi:nil="true"/>
    <lcf76f155ced4ddcb4097134ff3c332f xmlns="292db1e8-b3d0-4356-8ef3-2a6d7ed77883">
      <Terms xmlns="http://schemas.microsoft.com/office/infopath/2007/PartnerControls"/>
    </lcf76f155ced4ddcb4097134ff3c332f>
    <Document_x0020_Purpose xmlns="292db1e8-b3d0-4356-8ef3-2a6d7ed77883" xsi:nil="true"/>
    <_ip_UnifiedCompliancePolicyUIAction xmlns="http://schemas.microsoft.com/sharepoint/v3" xsi:nil="true"/>
    <RoutingTargetFolder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881BCB8-03D0-4290-935D-F6B299B61C87}">
  <ds:schemaRefs>
    <ds:schemaRef ds:uri="http://schemas.microsoft.com/sharepoint/v3/contenttype/forms"/>
  </ds:schemaRefs>
</ds:datastoreItem>
</file>

<file path=customXml/itemProps2.xml><?xml version="1.0" encoding="utf-8"?>
<ds:datastoreItem xmlns:ds="http://schemas.openxmlformats.org/officeDocument/2006/customXml" ds:itemID="{3DB16239-2E83-4543-A07E-6AFF5384A3D6}">
  <ds:schemaRefs>
    <ds:schemaRef ds:uri="http://schemas.openxmlformats.org/officeDocument/2006/bibliography"/>
  </ds:schemaRefs>
</ds:datastoreItem>
</file>

<file path=customXml/itemProps3.xml><?xml version="1.0" encoding="utf-8"?>
<ds:datastoreItem xmlns:ds="http://schemas.openxmlformats.org/officeDocument/2006/customXml" ds:itemID="{E72E4823-5FDC-43EA-86B1-E5B77C8C5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2db1e8-b3d0-4356-8ef3-2a6d7ed77883"/>
    <ds:schemaRef ds:uri="4f36bac4-6705-4a36-974b-7c07450fe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4A9DCB-E3D8-4048-BDD4-1F7881EB959B}">
  <ds:schemaRefs>
    <ds:schemaRef ds:uri="http://schemas.microsoft.com/office/2006/metadata/properties"/>
    <ds:schemaRef ds:uri="http://schemas.microsoft.com/office/infopath/2007/PartnerControls"/>
    <ds:schemaRef ds:uri="4f36bac4-6705-4a36-974b-7c07450fedf2"/>
    <ds:schemaRef ds:uri="292db1e8-b3d0-4356-8ef3-2a6d7ed77883"/>
    <ds:schemaRef ds:uri="http://schemas.microsoft.com/sharepoint/v3"/>
  </ds:schemaRefs>
</ds:datastoreItem>
</file>

<file path=docMetadata/LabelInfo.xml><?xml version="1.0" encoding="utf-8"?>
<clbl:labelList xmlns:clbl="http://schemas.microsoft.com/office/2020/mipLabelMetadata">
  <clbl:label id="{afded6f5-d1d0-4596-a1c0-00c047dd6749}" enabled="1" method="Standard" siteId="{7a41925e-f697-4f7c-bec3-0470887ac752}" removed="0"/>
</clbl:labelList>
</file>

<file path=docProps/app.xml><?xml version="1.0" encoding="utf-8"?>
<Properties xmlns="http://schemas.openxmlformats.org/officeDocument/2006/extended-properties" xmlns:vt="http://schemas.openxmlformats.org/officeDocument/2006/docPropsVTypes">
  <Template>Normal</Template>
  <TotalTime>1</TotalTime>
  <Pages>104</Pages>
  <Words>66098</Words>
  <Characters>386016</Characters>
  <Application>Microsoft Office Word</Application>
  <DocSecurity>0</DocSecurity>
  <Lines>8391</Lines>
  <Paragraphs>5447</Paragraphs>
  <ScaleCrop>false</ScaleCrop>
  <HeadingPairs>
    <vt:vector size="2" baseType="variant">
      <vt:variant>
        <vt:lpstr>Title</vt:lpstr>
      </vt:variant>
      <vt:variant>
        <vt:i4>1</vt:i4>
      </vt:variant>
    </vt:vector>
  </HeadingPairs>
  <TitlesOfParts>
    <vt:vector size="1" baseType="lpstr">
      <vt:lpstr>2025 SPP/APR and State Determination Letters, Part B</vt:lpstr>
    </vt:vector>
  </TitlesOfParts>
  <Manager/>
  <Company/>
  <LinksUpToDate>false</LinksUpToDate>
  <CharactersWithSpaces>446667</CharactersWithSpaces>
  <SharedDoc>false</SharedDoc>
  <HLinks>
    <vt:vector size="48" baseType="variant">
      <vt:variant>
        <vt:i4>7471146</vt:i4>
      </vt:variant>
      <vt:variant>
        <vt:i4>18</vt:i4>
      </vt:variant>
      <vt:variant>
        <vt:i4>0</vt:i4>
      </vt:variant>
      <vt:variant>
        <vt:i4>5</vt:i4>
      </vt:variant>
      <vt:variant>
        <vt:lpwstr>https://sites.ed.gov/idea/topic-areas/</vt:lpwstr>
      </vt:variant>
      <vt:variant>
        <vt:lpwstr/>
      </vt:variant>
      <vt:variant>
        <vt:i4>4980757</vt:i4>
      </vt:variant>
      <vt:variant>
        <vt:i4>15</vt:i4>
      </vt:variant>
      <vt:variant>
        <vt:i4>0</vt:i4>
      </vt:variant>
      <vt:variant>
        <vt:i4>5</vt:i4>
      </vt:variant>
      <vt:variant>
        <vt:lpwstr>https://sites.ed.gov/idea/how-the-department-made-determinations/</vt:lpwstr>
      </vt:variant>
      <vt:variant>
        <vt:lpwstr/>
      </vt:variant>
      <vt:variant>
        <vt:i4>2621501</vt:i4>
      </vt:variant>
      <vt:variant>
        <vt:i4>12</vt:i4>
      </vt:variant>
      <vt:variant>
        <vt:i4>0</vt:i4>
      </vt:variant>
      <vt:variant>
        <vt:i4>5</vt:i4>
      </vt:variant>
      <vt:variant>
        <vt:lpwstr>https://emaps.ed.gov/suite/</vt:lpwstr>
      </vt:variant>
      <vt:variant>
        <vt:lpwstr/>
      </vt:variant>
      <vt:variant>
        <vt:i4>4980757</vt:i4>
      </vt:variant>
      <vt:variant>
        <vt:i4>9</vt:i4>
      </vt:variant>
      <vt:variant>
        <vt:i4>0</vt:i4>
      </vt:variant>
      <vt:variant>
        <vt:i4>5</vt:i4>
      </vt:variant>
      <vt:variant>
        <vt:lpwstr>https://sites.ed.gov/idea/how-the-department-made-determinations/</vt:lpwstr>
      </vt:variant>
      <vt:variant>
        <vt:lpwstr/>
      </vt:variant>
      <vt:variant>
        <vt:i4>2687072</vt:i4>
      </vt:variant>
      <vt:variant>
        <vt:i4>6</vt:i4>
      </vt:variant>
      <vt:variant>
        <vt:i4>0</vt:i4>
      </vt:variant>
      <vt:variant>
        <vt:i4>5</vt:i4>
      </vt:variant>
      <vt:variant>
        <vt:lpwstr>https://nam10.safelinks.protection.outlook.com/?url=https%3A%2F%2Fsites.ed.gov%2Fidea%2Fhow-the-department-made-determinations%2F&amp;data=05%7C01%7Cdan.royal%40aemcorp.com%7C56561a053eed4e4dffea08db4cd0ea7f%7C7a41925ef6974f7cbec30470887ac752%7C0%7C0%7C638188232405320922%7CUnknown%7CTWFpbGZsb3d8eyJWIjoiMC4wLjAwMDAiLCJQIjoiV2luMzIiLCJBTiI6Ik1haWwiLCJXVCI6Mn0%3D%7C3000%7C%7C%7C&amp;sdata=REJfNg%2BRs0Gk73rS2KzO2SIVRCUhHLglGd6vbm9wEwc%3D&amp;reserved=0</vt:lpwstr>
      </vt:variant>
      <vt:variant>
        <vt:lpwstr/>
      </vt:variant>
      <vt:variant>
        <vt:i4>1376267</vt:i4>
      </vt:variant>
      <vt:variant>
        <vt:i4>3</vt:i4>
      </vt:variant>
      <vt:variant>
        <vt:i4>0</vt:i4>
      </vt:variant>
      <vt:variant>
        <vt:i4>5</vt:i4>
      </vt:variant>
      <vt:variant>
        <vt:lpwstr>https://sites.ed.gov/idea/files/FFY2023-Part-B-SPP-APR-Reformatted-Measurement-Table.pdf</vt:lpwstr>
      </vt:variant>
      <vt:variant>
        <vt:lpwstr/>
      </vt:variant>
      <vt:variant>
        <vt:i4>2097189</vt:i4>
      </vt:variant>
      <vt:variant>
        <vt:i4>9</vt:i4>
      </vt:variant>
      <vt:variant>
        <vt:i4>0</vt:i4>
      </vt:variant>
      <vt:variant>
        <vt:i4>5</vt:i4>
      </vt:variant>
      <vt:variant>
        <vt:lpwstr>http://www.ed.gov/</vt:lpwstr>
      </vt:variant>
      <vt:variant>
        <vt:lpwstr/>
      </vt:variant>
      <vt:variant>
        <vt:i4>2097189</vt:i4>
      </vt:variant>
      <vt:variant>
        <vt:i4>3</vt:i4>
      </vt:variant>
      <vt:variant>
        <vt:i4>0</vt:i4>
      </vt:variant>
      <vt:variant>
        <vt:i4>5</vt:i4>
      </vt:variant>
      <vt:variant>
        <vt:lpwstr>http://www.ed.gov/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Jonathan Shank</cp:lastModifiedBy>
  <cp:revision>3</cp:revision>
  <cp:lastPrinted>2014-08-19T22:56:00Z</cp:lastPrinted>
  <dcterms:created xsi:type="dcterms:W3CDTF">2026-06-24T13:35:00Z</dcterms:created>
  <dcterms:modified xsi:type="dcterms:W3CDTF">2026-06-24T13:36:00Z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0x01010000721A7242F9CD49BD1E05495CEFC5E9</vt:lpwstr>
  </property>
  <property fmtid="{D5CDD505-2E9C-101B-9397-08002B2CF9AE}" pid="3" name="_dlc_DocIdItemGuid">
    <vt:lpwstr>d1961a7b-789a-475e-aff2-ded90ef3b8b9</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Order">
    <vt:r8>41383400</vt:r8>
  </property>
  <property fmtid="{D5CDD505-2E9C-101B-9397-08002B2CF9AE}" pid="8" name="Body">
    <vt:lpwstr/>
  </property>
  <property fmtid="{D5CDD505-2E9C-101B-9397-08002B2CF9AE}" pid="9" name="TaskStatus">
    <vt:lpwstr/>
  </property>
  <property fmtid="{D5CDD505-2E9C-101B-9397-08002B2CF9AE}" pid="10" name="WorkflowName">
    <vt:lpwstr/>
  </property>
  <property fmtid="{D5CDD505-2E9C-101B-9397-08002B2CF9AE}" pid="11" name="Document Notes">
    <vt:lpwstr/>
  </property>
  <property fmtid="{D5CDD505-2E9C-101B-9397-08002B2CF9AE}" pid="12" name="Document Notes0">
    <vt:lpwstr/>
  </property>
  <property fmtid="{D5CDD505-2E9C-101B-9397-08002B2CF9AE}" pid="13" name="Priority">
    <vt:lpwstr/>
  </property>
  <property fmtid="{D5CDD505-2E9C-101B-9397-08002B2CF9AE}" pid="14" name="_CopySource">
    <vt:lpwstr>https://sharepoint.aemcorp.com/ed/EDMITS/Shared Documents/51 - APR/SPP APR/FFY 2021 - TO-Q/40 IT/01 Requirements/Part 1 - APR Tool/Part B/Part B SPP-APR FFY 2021 Form with abbreviations.docx</vt:lpwstr>
  </property>
  <property fmtid="{D5CDD505-2E9C-101B-9397-08002B2CF9AE}" pid="15" name="MediaServiceImageTags">
    <vt:lpwstr/>
  </property>
  <property fmtid="{D5CDD505-2E9C-101B-9397-08002B2CF9AE}" pid="16" name="Predecessors">
    <vt:lpwstr/>
  </property>
  <property fmtid="{D5CDD505-2E9C-101B-9397-08002B2CF9AE}" pid="17" name="AssignedTo">
    <vt:lpwstr/>
  </property>
  <property fmtid="{D5CDD505-2E9C-101B-9397-08002B2CF9AE}" pid="18" name="MSIP_Label_4ad35bab-6e18-4b1b-82b4-d81f4f36a979_Enabled">
    <vt:lpwstr>true</vt:lpwstr>
  </property>
  <property fmtid="{D5CDD505-2E9C-101B-9397-08002B2CF9AE}" pid="19" name="MSIP_Label_4ad35bab-6e18-4b1b-82b4-d81f4f36a979_SetDate">
    <vt:lpwstr>2023-03-14T00:12:18Z</vt:lpwstr>
  </property>
  <property fmtid="{D5CDD505-2E9C-101B-9397-08002B2CF9AE}" pid="20" name="MSIP_Label_4ad35bab-6e18-4b1b-82b4-d81f4f36a979_Method">
    <vt:lpwstr>Standard</vt:lpwstr>
  </property>
  <property fmtid="{D5CDD505-2E9C-101B-9397-08002B2CF9AE}" pid="21" name="MSIP_Label_4ad35bab-6e18-4b1b-82b4-d81f4f36a979_Name">
    <vt:lpwstr>Public</vt:lpwstr>
  </property>
  <property fmtid="{D5CDD505-2E9C-101B-9397-08002B2CF9AE}" pid="22" name="MSIP_Label_4ad35bab-6e18-4b1b-82b4-d81f4f36a979_SiteId">
    <vt:lpwstr>7a41925e-f697-4f7c-bec3-0470887ac752</vt:lpwstr>
  </property>
  <property fmtid="{D5CDD505-2E9C-101B-9397-08002B2CF9AE}" pid="23" name="MSIP_Label_4ad35bab-6e18-4b1b-82b4-d81f4f36a979_ActionId">
    <vt:lpwstr>212e3d3a-8d9d-47e5-ba89-5887e937e98c</vt:lpwstr>
  </property>
  <property fmtid="{D5CDD505-2E9C-101B-9397-08002B2CF9AE}" pid="24" name="MSIP_Label_4ad35bab-6e18-4b1b-82b4-d81f4f36a979_ContentBits">
    <vt:lpwstr>0</vt:lpwstr>
  </property>
  <property fmtid="{D5CDD505-2E9C-101B-9397-08002B2CF9AE}" pid="25" name="docLang">
    <vt:lpwstr>en</vt:lpwstr>
  </property>
  <property fmtid="{D5CDD505-2E9C-101B-9397-08002B2CF9AE}" pid="26" name="MSIP_Label_460f4a70-4b6c-4bd4-a002-31edb9c00abe_Enabled">
    <vt:lpwstr>true</vt:lpwstr>
  </property>
  <property fmtid="{D5CDD505-2E9C-101B-9397-08002B2CF9AE}" pid="27" name="MSIP_Label_460f4a70-4b6c-4bd4-a002-31edb9c00abe_SetDate">
    <vt:lpwstr>2026-06-24T13:22:49Z</vt:lpwstr>
  </property>
  <property fmtid="{D5CDD505-2E9C-101B-9397-08002B2CF9AE}" pid="28" name="MSIP_Label_460f4a70-4b6c-4bd4-a002-31edb9c00abe_Method">
    <vt:lpwstr>Standard</vt:lpwstr>
  </property>
  <property fmtid="{D5CDD505-2E9C-101B-9397-08002B2CF9AE}" pid="29" name="MSIP_Label_460f4a70-4b6c-4bd4-a002-31edb9c00abe_Name">
    <vt:lpwstr>General</vt:lpwstr>
  </property>
  <property fmtid="{D5CDD505-2E9C-101B-9397-08002B2CF9AE}" pid="30" name="MSIP_Label_460f4a70-4b6c-4bd4-a002-31edb9c00abe_SiteId">
    <vt:lpwstr>e019b04b-330c-467a-8bae-09fb17374d6a</vt:lpwstr>
  </property>
  <property fmtid="{D5CDD505-2E9C-101B-9397-08002B2CF9AE}" pid="31" name="MSIP_Label_460f4a70-4b6c-4bd4-a002-31edb9c00abe_ActionId">
    <vt:lpwstr>2ba60925-518e-4f7f-b3f4-4610fb042b3a</vt:lpwstr>
  </property>
  <property fmtid="{D5CDD505-2E9C-101B-9397-08002B2CF9AE}" pid="32" name="MSIP_Label_460f4a70-4b6c-4bd4-a002-31edb9c00abe_ContentBits">
    <vt:lpwstr>0</vt:lpwstr>
  </property>
  <property fmtid="{D5CDD505-2E9C-101B-9397-08002B2CF9AE}" pid="33" name="MSIP_Label_460f4a70-4b6c-4bd4-a002-31edb9c00abe_Tag">
    <vt:lpwstr>10, 3, 0, 1</vt:lpwstr>
  </property>
</Properties>
</file>