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t xml:space="preserve">Staff Enrollment Process</w:t>
      </w:r>
    </w:p>
    <w:p>
      <w:pPr>
        <w:spacing w:after="300"/>
      </w:pPr>
      <w:r>
        <w:t xml:space="preserve">The Enrollment Office:</w:t>
      </w:r>
    </w:p>
    <w:p>
      <w:pPr>
        <w:pStyle w:val="Heading2"/>
        <w:spacing w:after="160" w:before="260"/>
      </w:pPr>
      <w:r>
        <w:t xml:space="preserve">Getting Started</w:t>
      </w:r>
    </w:p>
    <w:p>
      <w:pPr>
        <w:spacing w:after="200"/>
      </w:pPr>
      <w:r>
        <w:t xml:space="preserve">Before a new hire can move through enrollment, a handful of prerequisites have to be in place — an active district email account, completed security training, and a confirmed building assignment. Staff coming from a substitute or temporary role are the most common source of delays here, since their old accounts and uploaded documents don't carry over automatically.</w:t>
      </w:r>
    </w:p>
    <w:p>
      <w:pPr>
        <w:pStyle w:val="Heading3"/>
        <w:spacing w:after="140" w:before="120"/>
      </w:pPr>
      <w:r>
        <w:t xml:space="preserve">Requirements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Active District Email</w:t>
      </w:r>
      <w:r>
        <w:t xml:space="preserve"> — Required before any portal account can be created; requests routed through the building secretary.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Security Training</w:t>
      </w:r>
      <w:r>
        <w:t xml:space="preserve"> — Must be completed within the last twelve months; records transfer from a previous district job is not automatic.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Building Assignment</w:t>
      </w:r>
      <w:r>
        <w:t xml:space="preserve"> — Staff splitting time across two buildings should list their primary building only.</w:t>
      </w:r>
    </w:p>
    <w:p>
      <w:pPr>
        <w:pStyle w:val="ListParagraph"/>
        <w:numPr>
          <w:ilvl w:val="0"/>
          <w:numId w:val="2"/>
        </w:numPr>
        <w:spacing w:after="260"/>
      </w:pPr>
      <w:r>
        <w:rPr>
          <w:b/>
          <w:bCs/>
        </w:rPr>
        <w:t xml:space="preserve">Employee ID Number</w:t>
      </w:r>
      <w:r>
        <w:t xml:space="preserve"> — Found on the district ID badge, not the building badge — the two differ for staff hired before 2019.</w:t>
      </w:r>
    </w:p>
    <w:p>
      <w:pPr>
        <w:pStyle w:val="Heading2"/>
        <w:spacing w:after="160" w:before="260"/>
      </w:pPr>
      <w:r>
        <w:t xml:space="preserve">Required Documents</w:t>
      </w:r>
    </w:p>
    <w:p>
      <w:pPr>
        <w:spacing w:after="200"/>
      </w:pPr>
      <w:r>
        <w:t xml:space="preserve">Three items are needed before an application can be submitted, and having them ready ahead of time avoids restarting the portal session partway through.</w:t>
      </w:r>
    </w:p>
    <w:p>
      <w:pPr>
        <w:pStyle w:val="Heading3"/>
        <w:spacing w:after="140" w:before="120"/>
      </w:pPr>
      <w:r>
        <w:t xml:space="preserve">Checklist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Signed Application Form</w:t>
      </w:r>
      <w:r>
        <w:t xml:space="preserve"> — Submitted as a PDF through the portal.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Current Certification</w:t>
      </w:r>
      <w:r>
        <w:t xml:space="preserve"> — If applicable to the position.</w:t>
      </w:r>
    </w:p>
    <w:p>
      <w:pPr>
        <w:pStyle w:val="ListParagraph"/>
        <w:numPr>
          <w:ilvl w:val="0"/>
          <w:numId w:val="2"/>
        </w:numPr>
        <w:spacing w:after="260"/>
      </w:pPr>
      <w:r>
        <w:rPr>
          <w:b/>
          <w:bCs/>
        </w:rPr>
        <w:t xml:space="preserve">Two Professional References</w:t>
      </w:r>
      <w:r>
        <w:t xml:space="preserve"> — Submitted directly by the reference through the portal's reference-request tool.</w:t>
      </w:r>
    </w:p>
    <w:p>
      <w:pPr>
        <w:pStyle w:val="Heading2"/>
        <w:spacing w:after="160" w:before="260"/>
      </w:pPr>
      <w:r>
        <w:t xml:space="preserve">Setting Up Your Account</w:t>
      </w:r>
    </w:p>
    <w:p>
      <w:pPr>
        <w:spacing w:after="180"/>
      </w:pPr>
      <w:r>
        <w:t xml:space="preserve">Account setup is where most avoidable delays happen, largely because a handful of fields behave differently than staff expect — a blank building assignment blocks progress entirely, and a typo in a legal name carries through to a printed ID badge.</w:t>
      </w:r>
    </w:p>
    <w:p>
      <w:pPr>
        <w:spacing w:after="200"/>
      </w:pPr>
      <w:r>
        <w:t xml:space="preserve">The district recommends setting aside fifteen uninterrupted minutes for this step rather than trying to complete it between other tasks.</w:t>
      </w:r>
    </w:p>
    <w:p>
      <w:pPr>
        <w:pStyle w:val="Heading3"/>
        <w:spacing w:after="140" w:before="120"/>
      </w:pPr>
      <w:r>
        <w:t xml:space="preserve">Key Steps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Enter Employee ID Exactly</w:t>
      </w:r>
      <w:r>
        <w:t xml:space="preserve"> — Including leading zeros — "0452" and "452" are treated as different values.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Select a Building</w:t>
      </w:r>
      <w:r>
        <w:t xml:space="preserve"> — If yours isn't listed, choose "Central Office" and have it corrected after activation.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Set a Complex Password</w:t>
      </w:r>
      <w:r>
        <w:t xml:space="preserve"> — Twelve characters minimum, with a number and a symbol; common substitutions in dictionary words are rejected.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Choose Stable Security Questions</w:t>
      </w:r>
      <w:r>
        <w:t xml:space="preserve"> — Avoid answers that can change over time, such as a favorite restaurant.</w:t>
      </w:r>
    </w:p>
    <w:p>
      <w:pPr>
        <w:pStyle w:val="ListParagraph"/>
        <w:numPr>
          <w:ilvl w:val="0"/>
          <w:numId w:val="2"/>
        </w:numPr>
        <w:spacing w:after="260"/>
      </w:pPr>
      <w:r>
        <w:rPr>
          <w:b/>
          <w:bCs/>
        </w:rPr>
        <w:t xml:space="preserve">Review the Summary Screen</w:t>
      </w:r>
      <w:r>
        <w:t xml:space="preserve"> — Changes after submission require a help desk ticket rather than a simple edit.</w:t>
      </w:r>
    </w:p>
    <w:p>
      <w:pPr>
        <w:pStyle w:val="Heading2"/>
        <w:spacing w:after="160" w:before="260"/>
      </w:pPr>
      <w:r>
        <w:t xml:space="preserve">Submitting Your Application</w:t>
      </w:r>
    </w:p>
    <w:p>
      <w:pPr>
        <w:spacing w:after="200"/>
      </w:pPr>
      <w:r>
        <w:t xml:space="preserve">Applications are reviewed on a rolling basis, but the review cadence and the document requirements both have a few sharp edges worth knowing before you submit.</w:t>
      </w:r>
    </w:p>
    <w:p>
      <w:pPr>
        <w:pStyle w:val="Heading3"/>
        <w:spacing w:after="140" w:before="120"/>
      </w:pPr>
      <w:r>
        <w:t xml:space="preserve">Things To Know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Rolling Review Cycles</w:t>
      </w:r>
      <w:r>
        <w:t xml:space="preserve"> — Submissions after the fifteenth of the month may wait for the next monthly batch.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b/>
          <w:bCs/>
        </w:rPr>
        <w:t xml:space="preserve">Reference Timing</w:t>
      </w:r>
      <w:r>
        <w:t xml:space="preserve"> — A reference request that times out after ten days must be resent by the applicant, not the portal.</w:t>
      </w:r>
    </w:p>
    <w:p>
      <w:pPr>
        <w:pStyle w:val="ListParagraph"/>
        <w:numPr>
          <w:ilvl w:val="0"/>
          <w:numId w:val="2"/>
        </w:numPr>
        <w:spacing w:after="260"/>
      </w:pPr>
      <w:r>
        <w:rPr>
          <w:b/>
          <w:bCs/>
        </w:rPr>
        <w:t xml:space="preserve">Rejected Documents</w:t>
      </w:r>
      <w:r>
        <w:t xml:space="preserve"> — Commonly due to illegible scans; you'll get a specific reason and a corrected deadline by email.</w:t>
      </w:r>
    </w:p>
    <w:p>
      <w:pPr>
        <w:pStyle w:val="Heading2"/>
        <w:spacing w:after="160" w:before="260"/>
      </w:pPr>
      <w:r>
        <w:t xml:space="preserve">Background Check</w:t>
      </w:r>
    </w:p>
    <w:p>
      <w:pPr>
        <w:spacing w:after="200"/>
      </w:pPr>
      <w:r>
        <w:t xml:space="preserve">Positions requiring a background check add two to three weeks to the overall timeline, handled by a third-party vendor rather than the district directly.</w:t>
      </w:r>
    </w:p>
    <w:p>
      <w:pPr>
        <w:pStyle w:val="ListParagraph"/>
        <w:numPr>
          <w:ilvl w:val="0"/>
          <w:numId w:val="2"/>
        </w:numPr>
        <w:spacing w:after="260"/>
      </w:pPr>
      <w:r>
        <w:rPr>
          <w:b/>
          <w:bCs/>
        </w:rPr>
        <w:t xml:space="preserve">Status Display</w:t>
      </w:r>
      <w:r>
        <w:t xml:space="preserve"> — Your application will show as "pending external review" during this window, which is normal and not a sign of a problem.</w:t>
      </w:r>
    </w:p>
    <w:p>
      <w:pPr>
        <w:pStyle w:val="Heading2"/>
        <w:spacing w:after="160" w:before="260"/>
      </w:pPr>
      <w:r>
        <w:t xml:space="preserve">After You Submit</w:t>
      </w:r>
    </w:p>
    <w:p>
      <w:pPr>
        <w:spacing w:after="200"/>
      </w:pPr>
      <w:r>
        <w:t xml:space="preserve">Once all materials are accepted, the application moves to the hiring committee for your building rather than to HR directly.</w:t>
      </w:r>
    </w:p>
    <w:p>
      <w:pPr>
        <w:pStyle w:val="ListParagraph"/>
        <w:numPr>
          <w:ilvl w:val="0"/>
          <w:numId w:val="2"/>
        </w:numPr>
        <w:spacing w:after="260"/>
      </w:pPr>
      <w:r>
        <w:rPr>
          <w:b/>
          <w:bCs/>
        </w:rPr>
        <w:t xml:space="preserve">Status Questions</w:t>
      </w:r>
      <w:r>
        <w:t xml:space="preserve"> — Direct these to your building's main office, since committee timelines aren't tracked centrally.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2026-09-30T17:21:52.043Z</dcterms:created>
  <dcterms:modified xsi:type="dcterms:W3CDTF">2026-09-30T17:21:52.044Z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