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C3" w:rsidRDefault="00130890">
      <w:pPr>
        <w:rPr>
          <w:rFonts w:ascii="Fira Sans" w:hAnsi="Fira Sans"/>
          <w:color w:val="2E74B5" w:themeColor="accent1" w:themeShade="BF"/>
          <w:sz w:val="36"/>
          <w:szCs w:val="36"/>
        </w:rPr>
      </w:pPr>
      <w:r w:rsidRPr="00C45F14">
        <w:rPr>
          <w:rFonts w:ascii="Fira Sans" w:hAnsi="Fira Sans"/>
          <w:color w:val="2E74B5" w:themeColor="accent1" w:themeShade="BF"/>
          <w:sz w:val="36"/>
          <w:szCs w:val="36"/>
        </w:rPr>
        <w:t>Sample Parent Letter</w:t>
      </w:r>
      <w:r w:rsidR="009C50C3">
        <w:rPr>
          <w:rFonts w:ascii="Fira Sans" w:hAnsi="Fira Sans"/>
          <w:color w:val="2E74B5" w:themeColor="accent1" w:themeShade="BF"/>
          <w:sz w:val="36"/>
          <w:szCs w:val="36"/>
        </w:rPr>
        <w:t xml:space="preserve"> </w:t>
      </w:r>
    </w:p>
    <w:p w:rsidR="00130890" w:rsidRPr="00C45F14" w:rsidRDefault="00130890">
      <w:pPr>
        <w:rPr>
          <w:rFonts w:ascii="Fira Sans" w:hAnsi="Fira Sans"/>
          <w:color w:val="2E74B5" w:themeColor="accent1" w:themeShade="BF"/>
          <w:sz w:val="36"/>
          <w:szCs w:val="36"/>
        </w:rPr>
      </w:pPr>
      <w:r w:rsidRPr="00C45F14">
        <w:rPr>
          <w:rFonts w:ascii="Fira Sans" w:hAnsi="Fira Sans"/>
          <w:color w:val="2E74B5" w:themeColor="accent1" w:themeShade="BF"/>
          <w:sz w:val="36"/>
          <w:szCs w:val="36"/>
        </w:rPr>
        <w:t>Mathematics</w:t>
      </w:r>
      <w:r w:rsidR="00792437">
        <w:rPr>
          <w:rFonts w:ascii="Fira Sans" w:hAnsi="Fira Sans"/>
          <w:color w:val="2E74B5" w:themeColor="accent1" w:themeShade="BF"/>
          <w:sz w:val="36"/>
          <w:szCs w:val="36"/>
        </w:rPr>
        <w:t xml:space="preserve"> –</w:t>
      </w:r>
      <w:r w:rsidR="00A43F79">
        <w:rPr>
          <w:rFonts w:ascii="Fira Sans" w:hAnsi="Fira Sans"/>
          <w:color w:val="2E74B5" w:themeColor="accent1" w:themeShade="BF"/>
          <w:sz w:val="36"/>
          <w:szCs w:val="36"/>
        </w:rPr>
        <w:t xml:space="preserve"> </w:t>
      </w:r>
      <w:r w:rsidR="00541261">
        <w:rPr>
          <w:rFonts w:ascii="Fira Sans" w:hAnsi="Fira Sans"/>
          <w:color w:val="2E74B5" w:themeColor="accent1" w:themeShade="BF"/>
          <w:sz w:val="36"/>
          <w:szCs w:val="36"/>
        </w:rPr>
        <w:t xml:space="preserve">Transition Mathematics for </w:t>
      </w:r>
      <w:proofErr w:type="gramStart"/>
      <w:r w:rsidR="00541261">
        <w:rPr>
          <w:rFonts w:ascii="Fira Sans" w:hAnsi="Fira Sans"/>
          <w:color w:val="2E74B5" w:themeColor="accent1" w:themeShade="BF"/>
          <w:sz w:val="36"/>
          <w:szCs w:val="36"/>
        </w:rPr>
        <w:t>Seniors</w:t>
      </w:r>
      <w:proofErr w:type="gramEnd"/>
    </w:p>
    <w:p w:rsidR="003D351C" w:rsidRPr="00C45F14" w:rsidRDefault="00130890" w:rsidP="00130890">
      <w:pPr>
        <w:spacing w:after="0" w:line="240" w:lineRule="auto"/>
        <w:rPr>
          <w:rFonts w:ascii="Fira Sans" w:hAnsi="Fira Sans"/>
        </w:rPr>
      </w:pPr>
      <w:r w:rsidRPr="00C45F14">
        <w:rPr>
          <w:rFonts w:ascii="Fira Sans" w:hAnsi="Fira Sans"/>
        </w:rPr>
        <w:t>(Insert School Address)</w:t>
      </w:r>
    </w:p>
    <w:p w:rsidR="00130890" w:rsidRPr="00C45F14" w:rsidRDefault="00130890" w:rsidP="00130890">
      <w:pPr>
        <w:spacing w:after="0" w:line="240" w:lineRule="auto"/>
        <w:rPr>
          <w:rFonts w:ascii="Fira Sans" w:hAnsi="Fira Sans"/>
        </w:rPr>
      </w:pPr>
      <w:r w:rsidRPr="00C45F14">
        <w:rPr>
          <w:rFonts w:ascii="Fira Sans" w:hAnsi="Fira Sans"/>
        </w:rPr>
        <w:t>(Insert Date)</w:t>
      </w:r>
    </w:p>
    <w:p w:rsidR="00130890" w:rsidRPr="00C45F14" w:rsidRDefault="00130890" w:rsidP="00130890">
      <w:pPr>
        <w:spacing w:after="0" w:line="240" w:lineRule="auto"/>
        <w:rPr>
          <w:rFonts w:ascii="Fira Sans" w:hAnsi="Fira Sans"/>
        </w:rPr>
      </w:pPr>
    </w:p>
    <w:p w:rsidR="00130890" w:rsidRDefault="00130890" w:rsidP="00130890">
      <w:pPr>
        <w:spacing w:after="0" w:line="240" w:lineRule="auto"/>
        <w:rPr>
          <w:rFonts w:ascii="Fira Sans" w:hAnsi="Fira Sans"/>
        </w:rPr>
      </w:pPr>
      <w:r w:rsidRPr="00C45F14">
        <w:rPr>
          <w:rFonts w:ascii="Fira Sans" w:hAnsi="Fira Sans"/>
        </w:rPr>
        <w:t>Dear Parent or Guardian,</w:t>
      </w:r>
    </w:p>
    <w:p w:rsidR="009C50C3" w:rsidRPr="00C45F14" w:rsidRDefault="009C50C3" w:rsidP="00130890">
      <w:pPr>
        <w:spacing w:after="0" w:line="240" w:lineRule="auto"/>
        <w:rPr>
          <w:rFonts w:ascii="Fira Sans" w:hAnsi="Fira Sans"/>
        </w:rPr>
      </w:pPr>
    </w:p>
    <w:p w:rsidR="003D5B1B" w:rsidRDefault="00793277">
      <w:pPr>
        <w:rPr>
          <w:rFonts w:ascii="Fira Sans" w:hAnsi="Fira Sans"/>
        </w:rPr>
      </w:pPr>
      <w:r w:rsidRPr="00C45F14">
        <w:rPr>
          <w:rFonts w:ascii="Fira Sans" w:hAnsi="Fira Sans"/>
        </w:rPr>
        <w:t>In an effort to provide our students with the skills they need to be college- and career-ready in Mathematics, w</w:t>
      </w:r>
      <w:r w:rsidR="00130890" w:rsidRPr="00C45F14">
        <w:rPr>
          <w:rFonts w:ascii="Fira Sans" w:hAnsi="Fira Sans"/>
        </w:rPr>
        <w:t>e are excited to announce that (Insert Name of School) has joined the WV math4life</w:t>
      </w:r>
      <w:r w:rsidRPr="00C45F14">
        <w:rPr>
          <w:rFonts w:ascii="Fira Sans" w:hAnsi="Fira Sans"/>
        </w:rPr>
        <w:t xml:space="preserve"> Campaign!  </w:t>
      </w:r>
      <w:r w:rsidR="003572D9">
        <w:rPr>
          <w:rFonts w:ascii="Fira Sans" w:hAnsi="Fira Sans"/>
        </w:rPr>
        <w:t>As part of this campaign, s</w:t>
      </w:r>
      <w:r w:rsidRPr="00C45F14">
        <w:rPr>
          <w:rFonts w:ascii="Fira Sans" w:hAnsi="Fira Sans"/>
        </w:rPr>
        <w:t>tudents will learn to “do math” through re</w:t>
      </w:r>
      <w:r w:rsidR="00C45F14">
        <w:rPr>
          <w:rFonts w:ascii="Fira Sans" w:hAnsi="Fira Sans"/>
        </w:rPr>
        <w:t xml:space="preserve">al-world situations </w:t>
      </w:r>
      <w:r w:rsidR="009C50C3">
        <w:rPr>
          <w:rFonts w:ascii="Fira Sans" w:hAnsi="Fira Sans"/>
        </w:rPr>
        <w:t>following</w:t>
      </w:r>
      <w:r w:rsidR="00C45F14">
        <w:rPr>
          <w:rFonts w:ascii="Fira Sans" w:hAnsi="Fira Sans"/>
        </w:rPr>
        <w:t xml:space="preserve"> a developmentally-appropriate progression of standards.  The following summary highlights some of the mathematical understandings your student will</w:t>
      </w:r>
      <w:r w:rsidR="007F0AA5">
        <w:rPr>
          <w:rFonts w:ascii="Fira Sans" w:hAnsi="Fira Sans"/>
        </w:rPr>
        <w:t xml:space="preserve"> develop in</w:t>
      </w:r>
      <w:r w:rsidR="00122F93">
        <w:rPr>
          <w:rFonts w:ascii="Fira Sans" w:hAnsi="Fira Sans"/>
        </w:rPr>
        <w:t xml:space="preserve"> </w:t>
      </w:r>
      <w:r w:rsidR="00541261">
        <w:rPr>
          <w:rFonts w:ascii="Fira Sans" w:hAnsi="Fira Sans"/>
        </w:rPr>
        <w:t xml:space="preserve">Transition Mathematics for </w:t>
      </w:r>
      <w:proofErr w:type="gramStart"/>
      <w:r w:rsidR="00541261">
        <w:rPr>
          <w:rFonts w:ascii="Fira Sans" w:hAnsi="Fira Sans"/>
        </w:rPr>
        <w:t>Seniors</w:t>
      </w:r>
      <w:proofErr w:type="gramEnd"/>
      <w:r w:rsidR="003572D9">
        <w:rPr>
          <w:rFonts w:ascii="Fira Sans" w:hAnsi="Fira Sans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541261" w:rsidRPr="00A00249" w:rsidTr="006E6522">
        <w:tc>
          <w:tcPr>
            <w:tcW w:w="25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41261" w:rsidRPr="00A00249" w:rsidRDefault="00541261" w:rsidP="006E6522">
            <w:pPr>
              <w:autoSpaceDE w:val="0"/>
              <w:autoSpaceDN w:val="0"/>
              <w:adjustRightInd w:val="0"/>
              <w:rPr>
                <w:rFonts w:eastAsia="Minion Pro" w:cstheme="minorHAnsi"/>
                <w:b/>
              </w:rPr>
            </w:pPr>
            <w:r w:rsidRPr="00A00249">
              <w:rPr>
                <w:rFonts w:eastAsia="Minion Pro" w:cstheme="minorHAnsi"/>
                <w:b/>
              </w:rPr>
              <w:t>Number and Quantity: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41261" w:rsidRPr="0094302A" w:rsidRDefault="00541261" w:rsidP="006E652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4302A">
              <w:rPr>
                <w:rFonts w:cstheme="minorHAnsi"/>
                <w:b/>
              </w:rPr>
              <w:t>Algebra:</w:t>
            </w:r>
          </w:p>
        </w:tc>
      </w:tr>
      <w:tr w:rsidR="00541261" w:rsidRPr="00A00249" w:rsidTr="006E6522">
        <w:tc>
          <w:tcPr>
            <w:tcW w:w="2500" w:type="pct"/>
            <w:shd w:val="clear" w:color="auto" w:fill="000000" w:themeFill="text1"/>
          </w:tcPr>
          <w:p w:rsidR="00541261" w:rsidRPr="00A00249" w:rsidRDefault="00541261" w:rsidP="006E6522">
            <w:pPr>
              <w:autoSpaceDE w:val="0"/>
              <w:autoSpaceDN w:val="0"/>
              <w:adjustRightInd w:val="0"/>
              <w:rPr>
                <w:rFonts w:eastAsia="Minion Pro" w:cstheme="minorHAnsi"/>
              </w:rPr>
            </w:pPr>
            <w:r w:rsidRPr="00A00249">
              <w:rPr>
                <w:rFonts w:eastAsia="Minion Pro" w:cstheme="minorHAnsi"/>
              </w:rPr>
              <w:t>The Real Number System</w:t>
            </w:r>
          </w:p>
          <w:p w:rsidR="00541261" w:rsidRPr="00A00249" w:rsidRDefault="00541261" w:rsidP="006E6522">
            <w:pPr>
              <w:autoSpaceDE w:val="0"/>
              <w:autoSpaceDN w:val="0"/>
              <w:adjustRightInd w:val="0"/>
              <w:rPr>
                <w:rFonts w:eastAsia="Minion Pro" w:cstheme="minorHAnsi"/>
                <w:b/>
              </w:rPr>
            </w:pPr>
            <w:r w:rsidRPr="00A00249">
              <w:rPr>
                <w:rFonts w:eastAsia="Minion Pro" w:cstheme="minorHAnsi"/>
              </w:rPr>
              <w:t>The Complex Number System</w:t>
            </w:r>
          </w:p>
        </w:tc>
        <w:tc>
          <w:tcPr>
            <w:tcW w:w="2500" w:type="pct"/>
            <w:shd w:val="clear" w:color="auto" w:fill="000000" w:themeFill="text1"/>
          </w:tcPr>
          <w:p w:rsidR="00541261" w:rsidRPr="00A00249" w:rsidRDefault="00541261" w:rsidP="006E65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00249">
              <w:rPr>
                <w:rFonts w:cstheme="minorHAnsi"/>
              </w:rPr>
              <w:t>Seeing Structure in Expressions</w:t>
            </w:r>
          </w:p>
          <w:p w:rsidR="00541261" w:rsidRPr="00A00249" w:rsidRDefault="00541261" w:rsidP="006E65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00249">
              <w:rPr>
                <w:rFonts w:cstheme="minorHAnsi"/>
              </w:rPr>
              <w:t>Arithmetic with Polynomials and Rational Expressions</w:t>
            </w:r>
          </w:p>
          <w:p w:rsidR="00541261" w:rsidRPr="00A00249" w:rsidRDefault="00541261" w:rsidP="006E65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00249">
              <w:rPr>
                <w:rFonts w:cstheme="minorHAnsi"/>
              </w:rPr>
              <w:t>Creating Equations</w:t>
            </w:r>
          </w:p>
          <w:p w:rsidR="00541261" w:rsidRPr="00A00249" w:rsidRDefault="00541261" w:rsidP="006E652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00249">
              <w:rPr>
                <w:rFonts w:cstheme="minorHAnsi"/>
              </w:rPr>
              <w:t>Reasoning with Equations and Inequalities</w:t>
            </w:r>
          </w:p>
        </w:tc>
      </w:tr>
      <w:tr w:rsidR="00541261" w:rsidRPr="00A00249" w:rsidTr="006E6522">
        <w:tc>
          <w:tcPr>
            <w:tcW w:w="2500" w:type="pct"/>
          </w:tcPr>
          <w:p w:rsidR="00541261" w:rsidRPr="00A00249" w:rsidRDefault="00541261" w:rsidP="005412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auto"/>
                <w:szCs w:val="22"/>
              </w:rPr>
            </w:pPr>
            <w:r w:rsidRPr="00A00249">
              <w:rPr>
                <w:rFonts w:cstheme="minorHAnsi"/>
                <w:color w:val="auto"/>
                <w:szCs w:val="22"/>
              </w:rPr>
              <w:t xml:space="preserve">Develop an understanding of basic operations, equivalent representations, and properties of the real and complex number systems. </w:t>
            </w:r>
          </w:p>
        </w:tc>
        <w:tc>
          <w:tcPr>
            <w:tcW w:w="2500" w:type="pct"/>
          </w:tcPr>
          <w:p w:rsidR="00541261" w:rsidRPr="00A00249" w:rsidRDefault="00541261" w:rsidP="005412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auto"/>
                <w:szCs w:val="22"/>
              </w:rPr>
            </w:pPr>
            <w:r w:rsidRPr="00A00249">
              <w:rPr>
                <w:rFonts w:cstheme="minorHAnsi"/>
                <w:color w:val="auto"/>
                <w:szCs w:val="22"/>
              </w:rPr>
              <w:t>Create equations or inequalities that model physical situations.</w:t>
            </w:r>
          </w:p>
          <w:p w:rsidR="00541261" w:rsidRPr="00A00249" w:rsidRDefault="00541261" w:rsidP="005412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auto"/>
                <w:szCs w:val="22"/>
              </w:rPr>
            </w:pPr>
            <w:r w:rsidRPr="00A00249">
              <w:rPr>
                <w:rFonts w:cstheme="minorHAnsi"/>
                <w:color w:val="auto"/>
                <w:szCs w:val="22"/>
              </w:rPr>
              <w:t>Solve systems of equations, with an emphasis on efficiency of solution as well as reasonableness of answers, given physical limitations.</w:t>
            </w:r>
          </w:p>
        </w:tc>
      </w:tr>
      <w:tr w:rsidR="00541261" w:rsidRPr="00A00249" w:rsidTr="006E6522">
        <w:tc>
          <w:tcPr>
            <w:tcW w:w="25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41261" w:rsidRPr="0094302A" w:rsidRDefault="00541261" w:rsidP="006E6522">
            <w:pPr>
              <w:autoSpaceDE w:val="0"/>
              <w:autoSpaceDN w:val="0"/>
              <w:adjustRightInd w:val="0"/>
              <w:rPr>
                <w:rFonts w:eastAsia="Minion Pro" w:cstheme="minorHAnsi"/>
                <w:b/>
              </w:rPr>
            </w:pPr>
            <w:r w:rsidRPr="0094302A">
              <w:rPr>
                <w:rFonts w:eastAsia="Minion Pro" w:cstheme="minorHAnsi"/>
                <w:b/>
              </w:rPr>
              <w:t>Functions: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41261" w:rsidRPr="0094302A" w:rsidRDefault="00541261" w:rsidP="006E652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4302A">
              <w:rPr>
                <w:rFonts w:cstheme="minorHAnsi"/>
                <w:b/>
              </w:rPr>
              <w:t>Geometry:</w:t>
            </w:r>
          </w:p>
        </w:tc>
      </w:tr>
      <w:tr w:rsidR="00541261" w:rsidRPr="00A00249" w:rsidTr="006E6522">
        <w:tc>
          <w:tcPr>
            <w:tcW w:w="2500" w:type="pct"/>
            <w:shd w:val="clear" w:color="auto" w:fill="000000" w:themeFill="text1"/>
          </w:tcPr>
          <w:p w:rsidR="00541261" w:rsidRPr="00A00249" w:rsidRDefault="00541261" w:rsidP="006E6522">
            <w:pPr>
              <w:autoSpaceDE w:val="0"/>
              <w:autoSpaceDN w:val="0"/>
              <w:adjustRightInd w:val="0"/>
              <w:rPr>
                <w:rFonts w:eastAsia="Minion Pro" w:cstheme="minorHAnsi"/>
              </w:rPr>
            </w:pPr>
            <w:r w:rsidRPr="00A00249">
              <w:rPr>
                <w:rFonts w:eastAsia="Minion Pro" w:cstheme="minorHAnsi"/>
              </w:rPr>
              <w:t>Interpreting Functions</w:t>
            </w:r>
          </w:p>
          <w:p w:rsidR="00541261" w:rsidRPr="0094302A" w:rsidRDefault="00541261" w:rsidP="006E6522">
            <w:pPr>
              <w:autoSpaceDE w:val="0"/>
              <w:autoSpaceDN w:val="0"/>
              <w:adjustRightInd w:val="0"/>
              <w:rPr>
                <w:rFonts w:eastAsia="Minion Pro" w:cstheme="minorHAnsi"/>
              </w:rPr>
            </w:pPr>
            <w:r w:rsidRPr="00A00249">
              <w:rPr>
                <w:rFonts w:eastAsia="Minion Pro" w:cstheme="minorHAnsi"/>
              </w:rPr>
              <w:t>Building Functions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41261" w:rsidRPr="00A00249" w:rsidRDefault="00541261" w:rsidP="006E65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00249">
              <w:rPr>
                <w:rFonts w:cstheme="minorHAnsi"/>
              </w:rPr>
              <w:t>Geometric Measuring and Dimension</w:t>
            </w:r>
          </w:p>
          <w:p w:rsidR="00541261" w:rsidRPr="00A00249" w:rsidRDefault="00541261" w:rsidP="006E65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00249">
              <w:rPr>
                <w:rFonts w:cstheme="minorHAnsi"/>
              </w:rPr>
              <w:t>Expressing Geometric Properties with Equations</w:t>
            </w:r>
          </w:p>
          <w:p w:rsidR="00541261" w:rsidRPr="00A00249" w:rsidRDefault="00541261" w:rsidP="006E652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00249">
              <w:rPr>
                <w:rFonts w:cstheme="minorHAnsi"/>
              </w:rPr>
              <w:t>Modeling with Geometry</w:t>
            </w:r>
          </w:p>
        </w:tc>
      </w:tr>
      <w:tr w:rsidR="00541261" w:rsidRPr="00A00249" w:rsidTr="006E6522">
        <w:tc>
          <w:tcPr>
            <w:tcW w:w="2500" w:type="pct"/>
          </w:tcPr>
          <w:p w:rsidR="00541261" w:rsidRPr="00A00249" w:rsidRDefault="00541261" w:rsidP="0054126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Minion Pro" w:cstheme="minorHAnsi"/>
                <w:b/>
                <w:color w:val="auto"/>
                <w:szCs w:val="22"/>
              </w:rPr>
            </w:pPr>
            <w:r w:rsidRPr="00A00249">
              <w:rPr>
                <w:rFonts w:cstheme="minorHAnsi"/>
                <w:color w:val="auto"/>
                <w:szCs w:val="22"/>
              </w:rPr>
              <w:t>Develop knowledge and understanding of the concept of functions as they use, analyze, represent and interpret functions and their applications.</w:t>
            </w:r>
          </w:p>
        </w:tc>
        <w:tc>
          <w:tcPr>
            <w:tcW w:w="2500" w:type="pct"/>
            <w:vMerge w:val="restart"/>
          </w:tcPr>
          <w:p w:rsidR="00541261" w:rsidRPr="00A00249" w:rsidRDefault="00541261" w:rsidP="0054126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color w:val="auto"/>
                <w:szCs w:val="22"/>
              </w:rPr>
            </w:pPr>
            <w:r w:rsidRPr="00A00249">
              <w:rPr>
                <w:rFonts w:eastAsia="Minion Pro" w:cstheme="minorHAnsi"/>
                <w:color w:val="auto"/>
                <w:szCs w:val="22"/>
              </w:rPr>
              <w:t>Use coordinates and to prove geometric properties algebraically.</w:t>
            </w:r>
          </w:p>
        </w:tc>
      </w:tr>
      <w:tr w:rsidR="00541261" w:rsidRPr="00A00249" w:rsidTr="006E6522">
        <w:tc>
          <w:tcPr>
            <w:tcW w:w="2500" w:type="pct"/>
            <w:shd w:val="clear" w:color="auto" w:fill="000000" w:themeFill="text1"/>
          </w:tcPr>
          <w:p w:rsidR="00541261" w:rsidRPr="0094302A" w:rsidRDefault="00541261" w:rsidP="006E6522">
            <w:pPr>
              <w:autoSpaceDE w:val="0"/>
              <w:autoSpaceDN w:val="0"/>
              <w:adjustRightInd w:val="0"/>
              <w:rPr>
                <w:rFonts w:eastAsia="Minion Pro" w:cstheme="minorHAnsi"/>
                <w:b/>
              </w:rPr>
            </w:pPr>
            <w:r w:rsidRPr="0094302A">
              <w:rPr>
                <w:rFonts w:eastAsia="Minion Pro" w:cstheme="minorHAnsi"/>
                <w:b/>
              </w:rPr>
              <w:t>Statistics and Probability:</w:t>
            </w:r>
          </w:p>
        </w:tc>
        <w:tc>
          <w:tcPr>
            <w:tcW w:w="2500" w:type="pct"/>
            <w:vMerge/>
          </w:tcPr>
          <w:p w:rsidR="00541261" w:rsidRPr="00A00249" w:rsidRDefault="00541261" w:rsidP="006E652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auto"/>
                <w:szCs w:val="22"/>
              </w:rPr>
            </w:pPr>
          </w:p>
        </w:tc>
      </w:tr>
      <w:tr w:rsidR="00541261" w:rsidRPr="00A00249" w:rsidTr="006E6522">
        <w:tc>
          <w:tcPr>
            <w:tcW w:w="2500" w:type="pct"/>
            <w:shd w:val="clear" w:color="auto" w:fill="000000" w:themeFill="text1"/>
          </w:tcPr>
          <w:p w:rsidR="00541261" w:rsidRPr="00A00249" w:rsidRDefault="00541261" w:rsidP="006E6522">
            <w:pPr>
              <w:autoSpaceDE w:val="0"/>
              <w:autoSpaceDN w:val="0"/>
              <w:adjustRightInd w:val="0"/>
              <w:rPr>
                <w:rFonts w:eastAsia="Minion Pro" w:cstheme="minorHAnsi"/>
              </w:rPr>
            </w:pPr>
            <w:r w:rsidRPr="00A00249">
              <w:rPr>
                <w:rFonts w:eastAsia="Minion Pro" w:cstheme="minorHAnsi"/>
              </w:rPr>
              <w:t>Interpreting Categorical and Quantitative Data</w:t>
            </w:r>
          </w:p>
          <w:p w:rsidR="00541261" w:rsidRPr="00A00249" w:rsidRDefault="00541261" w:rsidP="006E6522">
            <w:pPr>
              <w:autoSpaceDE w:val="0"/>
              <w:autoSpaceDN w:val="0"/>
              <w:adjustRightInd w:val="0"/>
              <w:rPr>
                <w:rFonts w:eastAsia="Minion Pro" w:cstheme="minorHAnsi"/>
              </w:rPr>
            </w:pPr>
            <w:r w:rsidRPr="00A00249">
              <w:rPr>
                <w:rFonts w:eastAsia="Minion Pro" w:cstheme="minorHAnsi"/>
              </w:rPr>
              <w:t>Making Inferences and Justifying Conclusions</w:t>
            </w:r>
          </w:p>
        </w:tc>
        <w:tc>
          <w:tcPr>
            <w:tcW w:w="2500" w:type="pct"/>
            <w:vMerge/>
          </w:tcPr>
          <w:p w:rsidR="00541261" w:rsidRPr="00A00249" w:rsidRDefault="00541261" w:rsidP="006E652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auto"/>
                <w:szCs w:val="22"/>
              </w:rPr>
            </w:pPr>
          </w:p>
        </w:tc>
      </w:tr>
      <w:tr w:rsidR="00541261" w:rsidRPr="00A00249" w:rsidTr="006E6522">
        <w:tc>
          <w:tcPr>
            <w:tcW w:w="2500" w:type="pct"/>
            <w:shd w:val="clear" w:color="auto" w:fill="auto"/>
          </w:tcPr>
          <w:p w:rsidR="00541261" w:rsidRPr="00A00249" w:rsidRDefault="00541261" w:rsidP="0054126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color w:val="auto"/>
                <w:szCs w:val="22"/>
              </w:rPr>
            </w:pPr>
            <w:r w:rsidRPr="00A00249">
              <w:rPr>
                <w:rFonts w:eastAsia="Minion Pro" w:cstheme="minorHAnsi"/>
                <w:color w:val="auto"/>
                <w:szCs w:val="22"/>
              </w:rPr>
              <w:t>Make inferences and justify conclusions from sample surveys, experiments, and observational studies.</w:t>
            </w:r>
          </w:p>
        </w:tc>
        <w:tc>
          <w:tcPr>
            <w:tcW w:w="2500" w:type="pct"/>
            <w:vMerge/>
          </w:tcPr>
          <w:p w:rsidR="00541261" w:rsidRPr="00A00249" w:rsidRDefault="00541261" w:rsidP="006E652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auto"/>
                <w:szCs w:val="22"/>
              </w:rPr>
            </w:pPr>
          </w:p>
        </w:tc>
      </w:tr>
    </w:tbl>
    <w:p w:rsidR="00541261" w:rsidRPr="00A00249" w:rsidRDefault="00541261" w:rsidP="00541261">
      <w:pPr>
        <w:pStyle w:val="NoSpacing"/>
        <w:widowControl w:val="0"/>
        <w:contextualSpacing/>
        <w:rPr>
          <w:rFonts w:asciiTheme="minorHAnsi" w:hAnsiTheme="minorHAnsi" w:cstheme="minorHAnsi"/>
        </w:rPr>
      </w:pPr>
    </w:p>
    <w:p w:rsidR="003D5B1B" w:rsidRPr="00C45F14" w:rsidRDefault="003572D9">
      <w:pPr>
        <w:rPr>
          <w:rFonts w:ascii="Fira Sans" w:hAnsi="Fira Sans"/>
        </w:rPr>
      </w:pPr>
      <w:bookmarkStart w:id="0" w:name="_GoBack"/>
      <w:bookmarkEnd w:id="0"/>
      <w:r>
        <w:rPr>
          <w:rFonts w:ascii="Fira Sans" w:hAnsi="Fira Sans"/>
        </w:rPr>
        <w:t>If you have questions about your student’s math progress or if you would like to learn more about how to help your student at home, please contact (Insert Name).</w:t>
      </w:r>
    </w:p>
    <w:sectPr w:rsidR="003D5B1B" w:rsidRPr="00C45F14" w:rsidSect="001D4A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1C" w:rsidRDefault="0085591C" w:rsidP="00130890">
      <w:pPr>
        <w:spacing w:after="0" w:line="240" w:lineRule="auto"/>
      </w:pPr>
      <w:r>
        <w:separator/>
      </w:r>
    </w:p>
  </w:endnote>
  <w:endnote w:type="continuationSeparator" w:id="0">
    <w:p w:rsidR="0085591C" w:rsidRDefault="0085591C" w:rsidP="0013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1C" w:rsidRDefault="0085591C" w:rsidP="00130890">
      <w:pPr>
        <w:spacing w:after="0" w:line="240" w:lineRule="auto"/>
      </w:pPr>
      <w:r>
        <w:separator/>
      </w:r>
    </w:p>
  </w:footnote>
  <w:footnote w:type="continuationSeparator" w:id="0">
    <w:p w:rsidR="0085591C" w:rsidRDefault="0085591C" w:rsidP="0013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90" w:rsidRDefault="00130890">
    <w:pPr>
      <w:pStyle w:val="Header"/>
    </w:pPr>
    <w:r w:rsidRPr="00130890">
      <w:rPr>
        <w:noProof/>
      </w:rPr>
      <w:drawing>
        <wp:inline distT="0" distB="0" distL="0" distR="0">
          <wp:extent cx="23907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827"/>
    <w:multiLevelType w:val="hybridMultilevel"/>
    <w:tmpl w:val="62F25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C3404"/>
    <w:multiLevelType w:val="hybridMultilevel"/>
    <w:tmpl w:val="C4CE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9600C"/>
    <w:multiLevelType w:val="hybridMultilevel"/>
    <w:tmpl w:val="3190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D6D03"/>
    <w:multiLevelType w:val="hybridMultilevel"/>
    <w:tmpl w:val="9A423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87335"/>
    <w:multiLevelType w:val="hybridMultilevel"/>
    <w:tmpl w:val="1D189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C78CE"/>
    <w:multiLevelType w:val="hybridMultilevel"/>
    <w:tmpl w:val="BAA4A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F2488"/>
    <w:multiLevelType w:val="hybridMultilevel"/>
    <w:tmpl w:val="4D52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5557E"/>
    <w:multiLevelType w:val="hybridMultilevel"/>
    <w:tmpl w:val="1DB86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F2937"/>
    <w:multiLevelType w:val="hybridMultilevel"/>
    <w:tmpl w:val="CF00B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19483C"/>
    <w:multiLevelType w:val="hybridMultilevel"/>
    <w:tmpl w:val="D5584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65446D"/>
    <w:multiLevelType w:val="hybridMultilevel"/>
    <w:tmpl w:val="80C6C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A0E26"/>
    <w:multiLevelType w:val="hybridMultilevel"/>
    <w:tmpl w:val="EE8AE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6930B2"/>
    <w:multiLevelType w:val="hybridMultilevel"/>
    <w:tmpl w:val="107CD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875D1"/>
    <w:multiLevelType w:val="hybridMultilevel"/>
    <w:tmpl w:val="0664A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F1CC7"/>
    <w:multiLevelType w:val="hybridMultilevel"/>
    <w:tmpl w:val="6444E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C31E65"/>
    <w:multiLevelType w:val="hybridMultilevel"/>
    <w:tmpl w:val="6CAEB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13469D"/>
    <w:multiLevelType w:val="hybridMultilevel"/>
    <w:tmpl w:val="D834E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16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  <w:num w:numId="15">
    <w:abstractNumId w:val="1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90"/>
    <w:rsid w:val="00015332"/>
    <w:rsid w:val="00090A86"/>
    <w:rsid w:val="00094069"/>
    <w:rsid w:val="00094AE5"/>
    <w:rsid w:val="000A3ABE"/>
    <w:rsid w:val="000B02C6"/>
    <w:rsid w:val="000D3304"/>
    <w:rsid w:val="000E3759"/>
    <w:rsid w:val="000E4611"/>
    <w:rsid w:val="00122F93"/>
    <w:rsid w:val="00130890"/>
    <w:rsid w:val="00132432"/>
    <w:rsid w:val="001406EA"/>
    <w:rsid w:val="00144CBB"/>
    <w:rsid w:val="00145385"/>
    <w:rsid w:val="00147239"/>
    <w:rsid w:val="00160944"/>
    <w:rsid w:val="0019080F"/>
    <w:rsid w:val="00197F50"/>
    <w:rsid w:val="001A7492"/>
    <w:rsid w:val="001D44BB"/>
    <w:rsid w:val="001D4A2C"/>
    <w:rsid w:val="00203516"/>
    <w:rsid w:val="00217715"/>
    <w:rsid w:val="00221337"/>
    <w:rsid w:val="002235C6"/>
    <w:rsid w:val="00225E2D"/>
    <w:rsid w:val="00232EB5"/>
    <w:rsid w:val="002461A5"/>
    <w:rsid w:val="00272BF5"/>
    <w:rsid w:val="0028678C"/>
    <w:rsid w:val="002B5F18"/>
    <w:rsid w:val="002D2C38"/>
    <w:rsid w:val="002D42AA"/>
    <w:rsid w:val="002F2865"/>
    <w:rsid w:val="00335A2D"/>
    <w:rsid w:val="00335B8F"/>
    <w:rsid w:val="0034602F"/>
    <w:rsid w:val="0035455C"/>
    <w:rsid w:val="003572D9"/>
    <w:rsid w:val="0039471B"/>
    <w:rsid w:val="003A1059"/>
    <w:rsid w:val="003A7C71"/>
    <w:rsid w:val="003D351C"/>
    <w:rsid w:val="003D5B1B"/>
    <w:rsid w:val="003E25BC"/>
    <w:rsid w:val="003F06F3"/>
    <w:rsid w:val="003F25C2"/>
    <w:rsid w:val="00414FCB"/>
    <w:rsid w:val="00417246"/>
    <w:rsid w:val="00430BB6"/>
    <w:rsid w:val="00436CD7"/>
    <w:rsid w:val="00440558"/>
    <w:rsid w:val="00444BDC"/>
    <w:rsid w:val="00446728"/>
    <w:rsid w:val="00452704"/>
    <w:rsid w:val="00470ECE"/>
    <w:rsid w:val="00476BB0"/>
    <w:rsid w:val="004825AD"/>
    <w:rsid w:val="004922DB"/>
    <w:rsid w:val="004A54F3"/>
    <w:rsid w:val="004A6623"/>
    <w:rsid w:val="004A7B0D"/>
    <w:rsid w:val="004B5DA3"/>
    <w:rsid w:val="004B63EF"/>
    <w:rsid w:val="004E69E4"/>
    <w:rsid w:val="004F247C"/>
    <w:rsid w:val="004F7815"/>
    <w:rsid w:val="005113A2"/>
    <w:rsid w:val="00516246"/>
    <w:rsid w:val="00541261"/>
    <w:rsid w:val="00545211"/>
    <w:rsid w:val="00554564"/>
    <w:rsid w:val="005623AC"/>
    <w:rsid w:val="00582886"/>
    <w:rsid w:val="0058351D"/>
    <w:rsid w:val="005965D4"/>
    <w:rsid w:val="0059779B"/>
    <w:rsid w:val="005B381D"/>
    <w:rsid w:val="005B7BC8"/>
    <w:rsid w:val="005C04E9"/>
    <w:rsid w:val="005C7A4F"/>
    <w:rsid w:val="005C7CF3"/>
    <w:rsid w:val="005F13C6"/>
    <w:rsid w:val="005F697E"/>
    <w:rsid w:val="00621A8C"/>
    <w:rsid w:val="006232A8"/>
    <w:rsid w:val="00625F2C"/>
    <w:rsid w:val="0063457C"/>
    <w:rsid w:val="00640469"/>
    <w:rsid w:val="00651397"/>
    <w:rsid w:val="0065632E"/>
    <w:rsid w:val="006602FF"/>
    <w:rsid w:val="006972CA"/>
    <w:rsid w:val="006C3315"/>
    <w:rsid w:val="00726033"/>
    <w:rsid w:val="00741BE7"/>
    <w:rsid w:val="00746DA0"/>
    <w:rsid w:val="00752B56"/>
    <w:rsid w:val="00757951"/>
    <w:rsid w:val="00785732"/>
    <w:rsid w:val="00792437"/>
    <w:rsid w:val="00793277"/>
    <w:rsid w:val="007A377D"/>
    <w:rsid w:val="007C7F96"/>
    <w:rsid w:val="007E74AD"/>
    <w:rsid w:val="007F0AA5"/>
    <w:rsid w:val="007F7455"/>
    <w:rsid w:val="00807736"/>
    <w:rsid w:val="00813443"/>
    <w:rsid w:val="008202C6"/>
    <w:rsid w:val="00845327"/>
    <w:rsid w:val="00851933"/>
    <w:rsid w:val="0085591C"/>
    <w:rsid w:val="00871FB0"/>
    <w:rsid w:val="0087251C"/>
    <w:rsid w:val="0087253C"/>
    <w:rsid w:val="008731AF"/>
    <w:rsid w:val="008733EC"/>
    <w:rsid w:val="008A17C6"/>
    <w:rsid w:val="008A3467"/>
    <w:rsid w:val="008B3819"/>
    <w:rsid w:val="008B4CDD"/>
    <w:rsid w:val="008D2FD4"/>
    <w:rsid w:val="008F6AEC"/>
    <w:rsid w:val="00906770"/>
    <w:rsid w:val="00911E93"/>
    <w:rsid w:val="00914AF6"/>
    <w:rsid w:val="00922569"/>
    <w:rsid w:val="0094233C"/>
    <w:rsid w:val="00944A50"/>
    <w:rsid w:val="009525AD"/>
    <w:rsid w:val="0096236B"/>
    <w:rsid w:val="00976DCB"/>
    <w:rsid w:val="00996920"/>
    <w:rsid w:val="009B708D"/>
    <w:rsid w:val="009C50C3"/>
    <w:rsid w:val="009F246C"/>
    <w:rsid w:val="009F5AE0"/>
    <w:rsid w:val="00A1112F"/>
    <w:rsid w:val="00A120D4"/>
    <w:rsid w:val="00A24551"/>
    <w:rsid w:val="00A30ACA"/>
    <w:rsid w:val="00A30B0C"/>
    <w:rsid w:val="00A35476"/>
    <w:rsid w:val="00A37A12"/>
    <w:rsid w:val="00A43F79"/>
    <w:rsid w:val="00A545EF"/>
    <w:rsid w:val="00A61CFF"/>
    <w:rsid w:val="00A747F8"/>
    <w:rsid w:val="00A7617F"/>
    <w:rsid w:val="00A83B77"/>
    <w:rsid w:val="00A86B37"/>
    <w:rsid w:val="00A90658"/>
    <w:rsid w:val="00A944C3"/>
    <w:rsid w:val="00AA4907"/>
    <w:rsid w:val="00AB42CD"/>
    <w:rsid w:val="00AB4A1B"/>
    <w:rsid w:val="00AD0ED1"/>
    <w:rsid w:val="00AE0AC7"/>
    <w:rsid w:val="00AE75A2"/>
    <w:rsid w:val="00AF2910"/>
    <w:rsid w:val="00B07501"/>
    <w:rsid w:val="00B10547"/>
    <w:rsid w:val="00B14FD4"/>
    <w:rsid w:val="00B31E56"/>
    <w:rsid w:val="00B37C97"/>
    <w:rsid w:val="00B42D39"/>
    <w:rsid w:val="00B5462B"/>
    <w:rsid w:val="00B74815"/>
    <w:rsid w:val="00B74D6A"/>
    <w:rsid w:val="00B96BD4"/>
    <w:rsid w:val="00BC77DA"/>
    <w:rsid w:val="00C01EAA"/>
    <w:rsid w:val="00C07141"/>
    <w:rsid w:val="00C20B3B"/>
    <w:rsid w:val="00C34517"/>
    <w:rsid w:val="00C428C0"/>
    <w:rsid w:val="00C45F14"/>
    <w:rsid w:val="00C50756"/>
    <w:rsid w:val="00C53E74"/>
    <w:rsid w:val="00C733A8"/>
    <w:rsid w:val="00C93CDC"/>
    <w:rsid w:val="00C9725B"/>
    <w:rsid w:val="00C97EF1"/>
    <w:rsid w:val="00CA77A5"/>
    <w:rsid w:val="00CC1FC4"/>
    <w:rsid w:val="00CC243E"/>
    <w:rsid w:val="00CC5946"/>
    <w:rsid w:val="00CD4CEB"/>
    <w:rsid w:val="00CE3AB9"/>
    <w:rsid w:val="00CF0773"/>
    <w:rsid w:val="00CF51CE"/>
    <w:rsid w:val="00CF53EE"/>
    <w:rsid w:val="00CF7749"/>
    <w:rsid w:val="00D42025"/>
    <w:rsid w:val="00D60E83"/>
    <w:rsid w:val="00D61C00"/>
    <w:rsid w:val="00D62EAE"/>
    <w:rsid w:val="00D71AE7"/>
    <w:rsid w:val="00D805A5"/>
    <w:rsid w:val="00D8549B"/>
    <w:rsid w:val="00DA107D"/>
    <w:rsid w:val="00DA308A"/>
    <w:rsid w:val="00DA757A"/>
    <w:rsid w:val="00DB28AA"/>
    <w:rsid w:val="00DD0913"/>
    <w:rsid w:val="00DD0A01"/>
    <w:rsid w:val="00DE1844"/>
    <w:rsid w:val="00DF5FFB"/>
    <w:rsid w:val="00DF6E2B"/>
    <w:rsid w:val="00E06777"/>
    <w:rsid w:val="00E16552"/>
    <w:rsid w:val="00E24CF7"/>
    <w:rsid w:val="00E336D6"/>
    <w:rsid w:val="00E36F82"/>
    <w:rsid w:val="00E61479"/>
    <w:rsid w:val="00E835E4"/>
    <w:rsid w:val="00E954A2"/>
    <w:rsid w:val="00E966CE"/>
    <w:rsid w:val="00EB3B8D"/>
    <w:rsid w:val="00ED3A76"/>
    <w:rsid w:val="00EF095A"/>
    <w:rsid w:val="00EF4ACE"/>
    <w:rsid w:val="00F0427E"/>
    <w:rsid w:val="00F479B9"/>
    <w:rsid w:val="00F50F23"/>
    <w:rsid w:val="00F61D2C"/>
    <w:rsid w:val="00F73FB0"/>
    <w:rsid w:val="00FB1BA5"/>
    <w:rsid w:val="00FC3B58"/>
    <w:rsid w:val="00FD299F"/>
    <w:rsid w:val="00FE18F2"/>
    <w:rsid w:val="00FE32C2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32F47-4D36-4F18-946C-35A089FA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90"/>
  </w:style>
  <w:style w:type="paragraph" w:styleId="Footer">
    <w:name w:val="footer"/>
    <w:basedOn w:val="Normal"/>
    <w:link w:val="FooterChar"/>
    <w:uiPriority w:val="99"/>
    <w:unhideWhenUsed/>
    <w:rsid w:val="0013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90"/>
  </w:style>
  <w:style w:type="table" w:styleId="TableGrid">
    <w:name w:val="Table Grid"/>
    <w:basedOn w:val="TableNormal"/>
    <w:uiPriority w:val="39"/>
    <w:rsid w:val="003D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EF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EF1"/>
    <w:pPr>
      <w:spacing w:after="0" w:line="240" w:lineRule="auto"/>
      <w:ind w:left="720"/>
      <w:contextualSpacing/>
    </w:pPr>
    <w:rPr>
      <w:rFonts w:eastAsia="Times New Roman" w:cs="Arial"/>
      <w:color w:val="000000"/>
      <w:szCs w:val="24"/>
    </w:rPr>
  </w:style>
  <w:style w:type="paragraph" w:customStyle="1" w:styleId="firstp">
    <w:name w:val="firstp"/>
    <w:basedOn w:val="Normal"/>
    <w:rsid w:val="001D4A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43F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Gillman</dc:creator>
  <cp:keywords/>
  <dc:description/>
  <cp:lastModifiedBy>Kathy Gillman</cp:lastModifiedBy>
  <cp:revision>3</cp:revision>
  <cp:lastPrinted>2018-11-30T16:44:00Z</cp:lastPrinted>
  <dcterms:created xsi:type="dcterms:W3CDTF">2018-11-30T19:19:00Z</dcterms:created>
  <dcterms:modified xsi:type="dcterms:W3CDTF">2018-11-30T19:20:00Z</dcterms:modified>
</cp:coreProperties>
</file>