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55" w:type="dxa"/>
        <w:tblLook w:val="04A0" w:firstRow="1" w:lastRow="0" w:firstColumn="1" w:lastColumn="0" w:noHBand="0" w:noVBand="1"/>
      </w:tblPr>
      <w:tblGrid>
        <w:gridCol w:w="2283"/>
        <w:gridCol w:w="1852"/>
        <w:gridCol w:w="3870"/>
        <w:gridCol w:w="4950"/>
      </w:tblGrid>
      <w:tr w:rsidR="006F3015" w:rsidTr="006F3015">
        <w:tc>
          <w:tcPr>
            <w:tcW w:w="2283" w:type="dxa"/>
          </w:tcPr>
          <w:p w:rsidR="006F3015" w:rsidRPr="00265B0F" w:rsidRDefault="006F3015">
            <w:pPr>
              <w:rPr>
                <w:b/>
              </w:rPr>
            </w:pPr>
            <w:r w:rsidRPr="00265B0F">
              <w:rPr>
                <w:b/>
              </w:rPr>
              <w:t>Key Revisions</w:t>
            </w:r>
          </w:p>
        </w:tc>
        <w:tc>
          <w:tcPr>
            <w:tcW w:w="1852" w:type="dxa"/>
          </w:tcPr>
          <w:p w:rsidR="006F3015" w:rsidRPr="00265B0F" w:rsidRDefault="006F3015">
            <w:pPr>
              <w:rPr>
                <w:b/>
              </w:rPr>
            </w:pPr>
            <w:r w:rsidRPr="00265B0F">
              <w:rPr>
                <w:b/>
              </w:rPr>
              <w:t>Policy Section and Page number</w:t>
            </w:r>
          </w:p>
        </w:tc>
        <w:tc>
          <w:tcPr>
            <w:tcW w:w="3870" w:type="dxa"/>
          </w:tcPr>
          <w:p w:rsidR="006F3015" w:rsidRPr="00265B0F" w:rsidRDefault="006F3015">
            <w:pPr>
              <w:rPr>
                <w:b/>
              </w:rPr>
            </w:pPr>
            <w:r w:rsidRPr="00265B0F">
              <w:rPr>
                <w:b/>
              </w:rPr>
              <w:t>Notes</w:t>
            </w:r>
          </w:p>
        </w:tc>
        <w:tc>
          <w:tcPr>
            <w:tcW w:w="4950" w:type="dxa"/>
          </w:tcPr>
          <w:p w:rsidR="006F3015" w:rsidRPr="00265B0F" w:rsidRDefault="006F3015">
            <w:pPr>
              <w:rPr>
                <w:b/>
              </w:rPr>
            </w:pPr>
            <w:r w:rsidRPr="00265B0F">
              <w:rPr>
                <w:b/>
              </w:rPr>
              <w:t>Comments</w:t>
            </w:r>
          </w:p>
        </w:tc>
      </w:tr>
      <w:tr w:rsidR="006F3015" w:rsidTr="006F3015">
        <w:tc>
          <w:tcPr>
            <w:tcW w:w="2283" w:type="dxa"/>
          </w:tcPr>
          <w:p w:rsidR="006F3015" w:rsidRPr="00A32CD1" w:rsidRDefault="006F3015">
            <w:pPr>
              <w:rPr>
                <w:b/>
              </w:rPr>
            </w:pPr>
            <w:r w:rsidRPr="00A32CD1">
              <w:rPr>
                <w:b/>
              </w:rPr>
              <w:t>Early and Elementary Learning</w:t>
            </w:r>
          </w:p>
        </w:tc>
        <w:tc>
          <w:tcPr>
            <w:tcW w:w="1852" w:type="dxa"/>
          </w:tcPr>
          <w:p w:rsidR="006F3015" w:rsidRPr="00A32CD1" w:rsidRDefault="00CA1A16">
            <w:pPr>
              <w:rPr>
                <w:b/>
              </w:rPr>
            </w:pPr>
            <w:r>
              <w:rPr>
                <w:b/>
              </w:rPr>
              <w:t>Page 3</w:t>
            </w:r>
          </w:p>
        </w:tc>
        <w:tc>
          <w:tcPr>
            <w:tcW w:w="3870" w:type="dxa"/>
          </w:tcPr>
          <w:p w:rsidR="006F3015" w:rsidRDefault="006F3015">
            <w:r>
              <w:t>New Statement emphasizes county flexibility.</w:t>
            </w:r>
          </w:p>
        </w:tc>
        <w:tc>
          <w:tcPr>
            <w:tcW w:w="4950" w:type="dxa"/>
          </w:tcPr>
          <w:p w:rsidR="006F3015" w:rsidRDefault="006F3015"/>
        </w:tc>
      </w:tr>
      <w:tr w:rsidR="006F3015" w:rsidTr="006F3015">
        <w:tc>
          <w:tcPr>
            <w:tcW w:w="2283" w:type="dxa"/>
          </w:tcPr>
          <w:p w:rsidR="006F3015" w:rsidRPr="00A32CD1" w:rsidRDefault="006F3015" w:rsidP="00265B0F">
            <w:pPr>
              <w:rPr>
                <w:b/>
              </w:rPr>
            </w:pPr>
            <w:r w:rsidRPr="00A32CD1">
              <w:rPr>
                <w:b/>
              </w:rPr>
              <w:t>WV ELRS</w:t>
            </w:r>
          </w:p>
        </w:tc>
        <w:tc>
          <w:tcPr>
            <w:tcW w:w="1852" w:type="dxa"/>
          </w:tcPr>
          <w:p w:rsidR="006F3015" w:rsidRPr="00A32CD1" w:rsidRDefault="00CA1A16" w:rsidP="00265B0F">
            <w:pPr>
              <w:rPr>
                <w:b/>
              </w:rPr>
            </w:pPr>
            <w:r>
              <w:rPr>
                <w:b/>
              </w:rPr>
              <w:t>Page 3</w:t>
            </w:r>
          </w:p>
        </w:tc>
        <w:tc>
          <w:tcPr>
            <w:tcW w:w="3870" w:type="dxa"/>
          </w:tcPr>
          <w:p w:rsidR="006F3015" w:rsidRDefault="006F3015" w:rsidP="00265B0F">
            <w:r>
              <w:t>Expands WV Early Learning Reporting System to grades 1 and 2</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Classroom Learning Environments, routines, and Instructional Practices</w:t>
            </w:r>
          </w:p>
        </w:tc>
        <w:tc>
          <w:tcPr>
            <w:tcW w:w="1852" w:type="dxa"/>
          </w:tcPr>
          <w:p w:rsidR="006F3015" w:rsidRPr="00A32CD1" w:rsidRDefault="00CA1A16" w:rsidP="00265B0F">
            <w:pPr>
              <w:rPr>
                <w:b/>
              </w:rPr>
            </w:pPr>
            <w:r>
              <w:rPr>
                <w:b/>
              </w:rPr>
              <w:t>Page 4</w:t>
            </w:r>
          </w:p>
        </w:tc>
        <w:tc>
          <w:tcPr>
            <w:tcW w:w="3870" w:type="dxa"/>
          </w:tcPr>
          <w:p w:rsidR="006F3015" w:rsidRDefault="006F3015" w:rsidP="00265B0F">
            <w:r>
              <w:t xml:space="preserve">Language </w:t>
            </w:r>
            <w:r w:rsidR="00014D6F">
              <w:t>c</w:t>
            </w:r>
            <w:r>
              <w:t xml:space="preserve">ombined to be </w:t>
            </w:r>
            <w:r w:rsidR="00014D6F">
              <w:t>c</w:t>
            </w:r>
            <w:r>
              <w:t>learer and more concise.</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Middle School Foundations Chart</w:t>
            </w:r>
          </w:p>
        </w:tc>
        <w:tc>
          <w:tcPr>
            <w:tcW w:w="1852" w:type="dxa"/>
          </w:tcPr>
          <w:p w:rsidR="006F3015" w:rsidRPr="00A32CD1" w:rsidRDefault="00CA1A16" w:rsidP="00265B0F">
            <w:pPr>
              <w:rPr>
                <w:b/>
              </w:rPr>
            </w:pPr>
            <w:r>
              <w:rPr>
                <w:b/>
              </w:rPr>
              <w:t>Page 6-9</w:t>
            </w:r>
          </w:p>
        </w:tc>
        <w:tc>
          <w:tcPr>
            <w:tcW w:w="3870" w:type="dxa"/>
          </w:tcPr>
          <w:p w:rsidR="006F3015" w:rsidRDefault="006F3015" w:rsidP="00265B0F">
            <w:r>
              <w:t>Chart is now divided by content areas to provide clear guidance on middle level requirements and options.</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 xml:space="preserve">Middle School Career Exploration </w:t>
            </w:r>
          </w:p>
        </w:tc>
        <w:tc>
          <w:tcPr>
            <w:tcW w:w="1852" w:type="dxa"/>
          </w:tcPr>
          <w:p w:rsidR="006F3015" w:rsidRPr="00A32CD1" w:rsidRDefault="00CA1A16" w:rsidP="00265B0F">
            <w:pPr>
              <w:rPr>
                <w:b/>
              </w:rPr>
            </w:pPr>
            <w:r>
              <w:rPr>
                <w:b/>
              </w:rPr>
              <w:t>Page 7</w:t>
            </w:r>
          </w:p>
        </w:tc>
        <w:tc>
          <w:tcPr>
            <w:tcW w:w="3870" w:type="dxa"/>
          </w:tcPr>
          <w:p w:rsidR="006F3015" w:rsidRDefault="006F3015" w:rsidP="00265B0F">
            <w:r>
              <w:t>Career Exploration will be integrated in grades 6-7.  A Career Exploration Exploratory type course, mini-course(s), or a CTE foundational course will be offered to all students based on the 16 career clusters.</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 xml:space="preserve">Computer Science </w:t>
            </w:r>
          </w:p>
        </w:tc>
        <w:tc>
          <w:tcPr>
            <w:tcW w:w="1852" w:type="dxa"/>
          </w:tcPr>
          <w:p w:rsidR="006F3015" w:rsidRPr="00A32CD1" w:rsidRDefault="00CA1A16" w:rsidP="00265B0F">
            <w:pPr>
              <w:rPr>
                <w:b/>
              </w:rPr>
            </w:pPr>
            <w:r>
              <w:rPr>
                <w:b/>
              </w:rPr>
              <w:t>Page 8</w:t>
            </w:r>
          </w:p>
        </w:tc>
        <w:tc>
          <w:tcPr>
            <w:tcW w:w="3870" w:type="dxa"/>
          </w:tcPr>
          <w:p w:rsidR="006F3015" w:rsidRDefault="006F3015" w:rsidP="00265B0F">
            <w:r>
              <w:t xml:space="preserve">Technology and Computer Science will take place in grades 6-8.  </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Social and Emotional System for Student Success</w:t>
            </w:r>
          </w:p>
        </w:tc>
        <w:tc>
          <w:tcPr>
            <w:tcW w:w="1852" w:type="dxa"/>
          </w:tcPr>
          <w:p w:rsidR="006F3015" w:rsidRPr="00A32CD1" w:rsidRDefault="00CA1A16" w:rsidP="00265B0F">
            <w:pPr>
              <w:rPr>
                <w:b/>
              </w:rPr>
            </w:pPr>
            <w:r>
              <w:rPr>
                <w:b/>
              </w:rPr>
              <w:t>Page 9</w:t>
            </w:r>
          </w:p>
        </w:tc>
        <w:tc>
          <w:tcPr>
            <w:tcW w:w="3870" w:type="dxa"/>
          </w:tcPr>
          <w:p w:rsidR="006F3015" w:rsidRDefault="006F3015" w:rsidP="00265B0F">
            <w:r>
              <w:t>Middle Schools will implement an integrated continuous advisory system. The system will be inclusive of the Student Success Standards.</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Foundations for High School Programming Chart</w:t>
            </w:r>
          </w:p>
        </w:tc>
        <w:tc>
          <w:tcPr>
            <w:tcW w:w="1852" w:type="dxa"/>
          </w:tcPr>
          <w:p w:rsidR="006F3015" w:rsidRDefault="00CA1A16" w:rsidP="00265B0F">
            <w:pPr>
              <w:rPr>
                <w:b/>
              </w:rPr>
            </w:pPr>
            <w:r>
              <w:rPr>
                <w:b/>
              </w:rPr>
              <w:t>Pages 9-14</w:t>
            </w:r>
          </w:p>
          <w:p w:rsidR="00CA1A16" w:rsidRPr="00A32CD1" w:rsidRDefault="00CA1A16" w:rsidP="00265B0F">
            <w:pPr>
              <w:rPr>
                <w:b/>
              </w:rPr>
            </w:pPr>
          </w:p>
        </w:tc>
        <w:tc>
          <w:tcPr>
            <w:tcW w:w="3870" w:type="dxa"/>
          </w:tcPr>
          <w:p w:rsidR="006F3015" w:rsidRDefault="006F3015" w:rsidP="00265B0F">
            <w:r>
              <w:t xml:space="preserve">Changes in Prescribed and personalized credits.  Prescribed courses are the courses that all students need to take.  Personalized credits allow students to select from course options.  The chart also includes the recommended college and career readiness pathway of courses.  Students should always check with their post-secondary </w:t>
            </w:r>
            <w:r>
              <w:lastRenderedPageBreak/>
              <w:t>education/training institution to make sure courses are accepted.</w:t>
            </w:r>
          </w:p>
          <w:p w:rsidR="006F3015" w:rsidRDefault="006F3015" w:rsidP="00265B0F">
            <w:r>
              <w:t>Minimum required graduation credits remain at 22.</w:t>
            </w:r>
          </w:p>
        </w:tc>
        <w:tc>
          <w:tcPr>
            <w:tcW w:w="4950" w:type="dxa"/>
          </w:tcPr>
          <w:p w:rsidR="006F3015" w:rsidRDefault="006F3015" w:rsidP="00265B0F"/>
        </w:tc>
      </w:tr>
      <w:tr w:rsidR="006F3015" w:rsidTr="006F3015">
        <w:tc>
          <w:tcPr>
            <w:tcW w:w="2283" w:type="dxa"/>
          </w:tcPr>
          <w:p w:rsidR="006F3015" w:rsidRPr="00A32CD1" w:rsidRDefault="006F3015" w:rsidP="00265B0F">
            <w:pPr>
              <w:rPr>
                <w:b/>
              </w:rPr>
            </w:pPr>
            <w:r w:rsidRPr="00A32CD1">
              <w:rPr>
                <w:b/>
              </w:rPr>
              <w:t xml:space="preserve">Social Studies </w:t>
            </w:r>
          </w:p>
        </w:tc>
        <w:tc>
          <w:tcPr>
            <w:tcW w:w="1852" w:type="dxa"/>
          </w:tcPr>
          <w:p w:rsidR="006F3015" w:rsidRPr="00A32CD1" w:rsidRDefault="00CA1A16" w:rsidP="00265B0F">
            <w:pPr>
              <w:rPr>
                <w:b/>
              </w:rPr>
            </w:pPr>
            <w:r>
              <w:rPr>
                <w:b/>
              </w:rPr>
              <w:t>Page 11</w:t>
            </w:r>
          </w:p>
        </w:tc>
        <w:tc>
          <w:tcPr>
            <w:tcW w:w="3870" w:type="dxa"/>
          </w:tcPr>
          <w:p w:rsidR="006F3015" w:rsidRDefault="008E5CB4" w:rsidP="00265B0F">
            <w:r>
              <w:t>Credits Remain at 4</w:t>
            </w:r>
          </w:p>
        </w:tc>
        <w:tc>
          <w:tcPr>
            <w:tcW w:w="4950" w:type="dxa"/>
          </w:tcPr>
          <w:p w:rsidR="006F3015" w:rsidRDefault="006F3015" w:rsidP="00265B0F"/>
        </w:tc>
      </w:tr>
      <w:tr w:rsidR="006F3015" w:rsidTr="006F3015">
        <w:tc>
          <w:tcPr>
            <w:tcW w:w="2283" w:type="dxa"/>
          </w:tcPr>
          <w:p w:rsidR="006F3015" w:rsidRPr="00A32CD1" w:rsidRDefault="006F3015" w:rsidP="00B452CC">
            <w:pPr>
              <w:rPr>
                <w:b/>
              </w:rPr>
            </w:pPr>
            <w:r w:rsidRPr="00A32CD1">
              <w:rPr>
                <w:b/>
              </w:rPr>
              <w:t>Wellness Education (Physical Education)</w:t>
            </w:r>
          </w:p>
        </w:tc>
        <w:tc>
          <w:tcPr>
            <w:tcW w:w="1852" w:type="dxa"/>
          </w:tcPr>
          <w:p w:rsidR="006F3015" w:rsidRPr="00A32CD1" w:rsidRDefault="00CA1A16" w:rsidP="00B452CC">
            <w:pPr>
              <w:rPr>
                <w:b/>
              </w:rPr>
            </w:pPr>
            <w:r>
              <w:rPr>
                <w:b/>
              </w:rPr>
              <w:t>Page 11 and Pages 35-36</w:t>
            </w:r>
          </w:p>
        </w:tc>
        <w:tc>
          <w:tcPr>
            <w:tcW w:w="3870" w:type="dxa"/>
          </w:tcPr>
          <w:p w:rsidR="006F3015" w:rsidRDefault="006F3015" w:rsidP="00B452CC">
            <w:r>
              <w:t>Additions of Extracurricular/Interscholastic PE Graded and Non-Graded.  See Glossary for definition of each.</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Career and Technical Education</w:t>
            </w:r>
          </w:p>
        </w:tc>
        <w:tc>
          <w:tcPr>
            <w:tcW w:w="1852" w:type="dxa"/>
          </w:tcPr>
          <w:p w:rsidR="006F3015" w:rsidRPr="00A32CD1" w:rsidRDefault="00CA1A16" w:rsidP="00B452CC">
            <w:pPr>
              <w:rPr>
                <w:b/>
              </w:rPr>
            </w:pPr>
            <w:r>
              <w:rPr>
                <w:b/>
              </w:rPr>
              <w:t>Pages 14-15</w:t>
            </w:r>
          </w:p>
        </w:tc>
        <w:tc>
          <w:tcPr>
            <w:tcW w:w="3870" w:type="dxa"/>
          </w:tcPr>
          <w:p w:rsidR="006F3015" w:rsidRDefault="006F3015" w:rsidP="00B452CC">
            <w:r>
              <w:t>The Addition of a CTE specific chart allows clear direction on high school CTE requirements and options.</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Social and Emotional Advisory System for Student Success</w:t>
            </w:r>
          </w:p>
        </w:tc>
        <w:tc>
          <w:tcPr>
            <w:tcW w:w="1852" w:type="dxa"/>
          </w:tcPr>
          <w:p w:rsidR="006F3015" w:rsidRPr="00A32CD1" w:rsidRDefault="00CA1A16" w:rsidP="00B452CC">
            <w:pPr>
              <w:rPr>
                <w:b/>
              </w:rPr>
            </w:pPr>
            <w:r>
              <w:rPr>
                <w:b/>
              </w:rPr>
              <w:t>Page 13-14</w:t>
            </w:r>
          </w:p>
        </w:tc>
        <w:tc>
          <w:tcPr>
            <w:tcW w:w="3870" w:type="dxa"/>
          </w:tcPr>
          <w:p w:rsidR="006F3015" w:rsidRDefault="006F3015" w:rsidP="00B452CC">
            <w:r>
              <w:t xml:space="preserve">High Schools will implement an integrated continuous advisory system that’s inclusive of the </w:t>
            </w:r>
            <w:r w:rsidR="00014D6F">
              <w:t>S</w:t>
            </w:r>
            <w:r>
              <w:t xml:space="preserve">tudent’s </w:t>
            </w:r>
            <w:r w:rsidR="00014D6F">
              <w:t>S</w:t>
            </w:r>
            <w:r>
              <w:t xml:space="preserve">uccess </w:t>
            </w:r>
            <w:r w:rsidR="00014D6F">
              <w:t>S</w:t>
            </w:r>
            <w:r>
              <w:t>tandards</w:t>
            </w:r>
          </w:p>
        </w:tc>
        <w:tc>
          <w:tcPr>
            <w:tcW w:w="4950" w:type="dxa"/>
          </w:tcPr>
          <w:p w:rsidR="006F3015" w:rsidRDefault="006F3015" w:rsidP="00B452CC"/>
        </w:tc>
      </w:tr>
      <w:tr w:rsidR="006F3015" w:rsidTr="006F3015">
        <w:tc>
          <w:tcPr>
            <w:tcW w:w="2283" w:type="dxa"/>
          </w:tcPr>
          <w:p w:rsidR="006F3015" w:rsidRPr="00A32CD1" w:rsidRDefault="00CA1A16" w:rsidP="00B452CC">
            <w:pPr>
              <w:rPr>
                <w:b/>
              </w:rPr>
            </w:pPr>
            <w:r>
              <w:rPr>
                <w:b/>
              </w:rPr>
              <w:t>Course Substitutions</w:t>
            </w:r>
          </w:p>
        </w:tc>
        <w:tc>
          <w:tcPr>
            <w:tcW w:w="1852" w:type="dxa"/>
          </w:tcPr>
          <w:p w:rsidR="006F3015" w:rsidRPr="00A32CD1" w:rsidRDefault="00CA1A16" w:rsidP="00B452CC">
            <w:pPr>
              <w:rPr>
                <w:b/>
              </w:rPr>
            </w:pPr>
            <w:r>
              <w:rPr>
                <w:b/>
              </w:rPr>
              <w:t xml:space="preserve">Page </w:t>
            </w:r>
            <w:r w:rsidR="008E5CB4">
              <w:rPr>
                <w:b/>
              </w:rPr>
              <w:t>15</w:t>
            </w:r>
            <w:r>
              <w:rPr>
                <w:b/>
              </w:rPr>
              <w:t xml:space="preserve"> </w:t>
            </w:r>
          </w:p>
        </w:tc>
        <w:tc>
          <w:tcPr>
            <w:tcW w:w="3870" w:type="dxa"/>
          </w:tcPr>
          <w:p w:rsidR="006F3015" w:rsidRDefault="006F3015" w:rsidP="00B452CC">
            <w:r>
              <w:t>Revised language to clarify course substitutions.</w:t>
            </w:r>
          </w:p>
        </w:tc>
        <w:tc>
          <w:tcPr>
            <w:tcW w:w="4950" w:type="dxa"/>
          </w:tcPr>
          <w:p w:rsidR="006F3015" w:rsidRDefault="006F3015" w:rsidP="00B452CC"/>
        </w:tc>
      </w:tr>
      <w:tr w:rsidR="006F3015" w:rsidTr="006F3015">
        <w:tc>
          <w:tcPr>
            <w:tcW w:w="2283" w:type="dxa"/>
          </w:tcPr>
          <w:p w:rsidR="006F3015" w:rsidRPr="00A32CD1" w:rsidRDefault="00CA1A16" w:rsidP="00B452CC">
            <w:pPr>
              <w:rPr>
                <w:b/>
              </w:rPr>
            </w:pPr>
            <w:r>
              <w:rPr>
                <w:b/>
              </w:rPr>
              <w:t>Transfer Students</w:t>
            </w:r>
          </w:p>
        </w:tc>
        <w:tc>
          <w:tcPr>
            <w:tcW w:w="1852" w:type="dxa"/>
          </w:tcPr>
          <w:p w:rsidR="006F3015" w:rsidRPr="00A32CD1" w:rsidRDefault="00CA1A16" w:rsidP="00B452CC">
            <w:pPr>
              <w:rPr>
                <w:b/>
              </w:rPr>
            </w:pPr>
            <w:r>
              <w:rPr>
                <w:b/>
              </w:rPr>
              <w:t xml:space="preserve">Page </w:t>
            </w:r>
            <w:r w:rsidR="008E5CB4">
              <w:rPr>
                <w:b/>
              </w:rPr>
              <w:t>16-17</w:t>
            </w:r>
          </w:p>
        </w:tc>
        <w:tc>
          <w:tcPr>
            <w:tcW w:w="3870" w:type="dxa"/>
          </w:tcPr>
          <w:p w:rsidR="006F3015" w:rsidRDefault="006F3015" w:rsidP="00B452CC">
            <w:r>
              <w:t>Clarifies language around transfer credits.</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Math Every Year of high school</w:t>
            </w:r>
          </w:p>
        </w:tc>
        <w:tc>
          <w:tcPr>
            <w:tcW w:w="1852" w:type="dxa"/>
          </w:tcPr>
          <w:p w:rsidR="006F3015" w:rsidRPr="00A32CD1" w:rsidRDefault="00CA1A16" w:rsidP="00B452CC">
            <w:pPr>
              <w:rPr>
                <w:b/>
              </w:rPr>
            </w:pPr>
            <w:r>
              <w:rPr>
                <w:b/>
              </w:rPr>
              <w:t>Page 25</w:t>
            </w:r>
          </w:p>
        </w:tc>
        <w:tc>
          <w:tcPr>
            <w:tcW w:w="3870" w:type="dxa"/>
          </w:tcPr>
          <w:p w:rsidR="006F3015" w:rsidRDefault="006F3015" w:rsidP="00B452CC">
            <w:r>
              <w:t>While research recommends students take math every year this allows it to become a county decision.</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Uniform Grading Scale</w:t>
            </w:r>
          </w:p>
        </w:tc>
        <w:tc>
          <w:tcPr>
            <w:tcW w:w="1852" w:type="dxa"/>
          </w:tcPr>
          <w:p w:rsidR="006F3015" w:rsidRPr="00A32CD1" w:rsidRDefault="00D65825" w:rsidP="00B452CC">
            <w:pPr>
              <w:rPr>
                <w:b/>
              </w:rPr>
            </w:pPr>
            <w:r>
              <w:rPr>
                <w:b/>
              </w:rPr>
              <w:t>Page 29</w:t>
            </w:r>
          </w:p>
        </w:tc>
        <w:tc>
          <w:tcPr>
            <w:tcW w:w="3870" w:type="dxa"/>
          </w:tcPr>
          <w:p w:rsidR="006F3015" w:rsidRDefault="006F3015" w:rsidP="00B452CC">
            <w:r>
              <w:t>Dual Credit was added to requirements of weighted grades</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Appendix A – Required County Policies</w:t>
            </w:r>
          </w:p>
        </w:tc>
        <w:tc>
          <w:tcPr>
            <w:tcW w:w="1852" w:type="dxa"/>
          </w:tcPr>
          <w:p w:rsidR="006F3015" w:rsidRPr="00A32CD1" w:rsidRDefault="006F3015" w:rsidP="00B452CC">
            <w:pPr>
              <w:rPr>
                <w:b/>
              </w:rPr>
            </w:pPr>
            <w:r w:rsidRPr="00A32CD1">
              <w:rPr>
                <w:b/>
              </w:rPr>
              <w:t xml:space="preserve">Page </w:t>
            </w:r>
            <w:r w:rsidR="00D65825">
              <w:rPr>
                <w:b/>
              </w:rPr>
              <w:t>40</w:t>
            </w:r>
          </w:p>
        </w:tc>
        <w:tc>
          <w:tcPr>
            <w:tcW w:w="3870" w:type="dxa"/>
          </w:tcPr>
          <w:p w:rsidR="006F3015" w:rsidRDefault="006F3015" w:rsidP="00B452CC">
            <w:r>
              <w:t>Note Addition of Homeschool and Instructional Resources Policies</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Appendix B – Required Training</w:t>
            </w:r>
          </w:p>
        </w:tc>
        <w:tc>
          <w:tcPr>
            <w:tcW w:w="1852" w:type="dxa"/>
          </w:tcPr>
          <w:p w:rsidR="006F3015" w:rsidRPr="00A32CD1" w:rsidRDefault="006F3015" w:rsidP="00B452CC">
            <w:pPr>
              <w:rPr>
                <w:b/>
              </w:rPr>
            </w:pPr>
            <w:r w:rsidRPr="00A32CD1">
              <w:rPr>
                <w:b/>
              </w:rPr>
              <w:t xml:space="preserve">Page </w:t>
            </w:r>
            <w:r w:rsidR="00D65825">
              <w:rPr>
                <w:b/>
              </w:rPr>
              <w:t>41</w:t>
            </w:r>
          </w:p>
        </w:tc>
        <w:tc>
          <w:tcPr>
            <w:tcW w:w="3870" w:type="dxa"/>
          </w:tcPr>
          <w:p w:rsidR="006F3015" w:rsidRDefault="006F3015" w:rsidP="00B452CC">
            <w:r>
              <w:t xml:space="preserve">Note Addition of AP® Teacher exemption. </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Appendix C – Virtual Learning</w:t>
            </w:r>
          </w:p>
        </w:tc>
        <w:tc>
          <w:tcPr>
            <w:tcW w:w="1852" w:type="dxa"/>
          </w:tcPr>
          <w:p w:rsidR="006F3015" w:rsidRPr="00A32CD1" w:rsidRDefault="006F3015" w:rsidP="00B452CC">
            <w:pPr>
              <w:rPr>
                <w:b/>
              </w:rPr>
            </w:pPr>
            <w:r w:rsidRPr="00A32CD1">
              <w:rPr>
                <w:b/>
              </w:rPr>
              <w:t xml:space="preserve">Page </w:t>
            </w:r>
            <w:r w:rsidR="00D65825">
              <w:rPr>
                <w:b/>
              </w:rPr>
              <w:t>42</w:t>
            </w:r>
          </w:p>
        </w:tc>
        <w:tc>
          <w:tcPr>
            <w:tcW w:w="3870" w:type="dxa"/>
          </w:tcPr>
          <w:p w:rsidR="006F3015" w:rsidRDefault="006F3015" w:rsidP="00A32CD1">
            <w:r>
              <w:t>Note</w:t>
            </w:r>
            <w:r w:rsidR="008E5CB4">
              <w:t>:</w:t>
            </w:r>
            <w:r>
              <w:t xml:space="preserve"> Counties will offer a full-time virtual option for students in grades 6-12, either through a county policy and </w:t>
            </w:r>
            <w:r>
              <w:lastRenderedPageBreak/>
              <w:t xml:space="preserve">vendor or the West Virginia Virtual School. </w:t>
            </w:r>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sidRPr="00A32CD1">
              <w:rPr>
                <w:b/>
              </w:rPr>
              <w:t>Appendix D - Personalized Education Plan Development and Requirements</w:t>
            </w:r>
          </w:p>
        </w:tc>
        <w:tc>
          <w:tcPr>
            <w:tcW w:w="1852" w:type="dxa"/>
          </w:tcPr>
          <w:p w:rsidR="006F3015" w:rsidRPr="00A32CD1" w:rsidRDefault="006F3015" w:rsidP="00B452CC">
            <w:pPr>
              <w:rPr>
                <w:b/>
              </w:rPr>
            </w:pPr>
            <w:r w:rsidRPr="00A32CD1">
              <w:rPr>
                <w:b/>
              </w:rPr>
              <w:t xml:space="preserve">Page </w:t>
            </w:r>
            <w:r w:rsidR="00D65825">
              <w:rPr>
                <w:b/>
              </w:rPr>
              <w:t>45</w:t>
            </w:r>
          </w:p>
        </w:tc>
        <w:tc>
          <w:tcPr>
            <w:tcW w:w="3870" w:type="dxa"/>
          </w:tcPr>
          <w:p w:rsidR="006F3015" w:rsidRDefault="006F3015" w:rsidP="00A32CD1">
            <w:r>
              <w:t>Step-By-Step procedure for personalized education plans grades 8-12</w:t>
            </w:r>
            <w:bookmarkStart w:id="0" w:name="_GoBack"/>
            <w:bookmarkEnd w:id="0"/>
          </w:p>
        </w:tc>
        <w:tc>
          <w:tcPr>
            <w:tcW w:w="4950" w:type="dxa"/>
          </w:tcPr>
          <w:p w:rsidR="006F3015" w:rsidRDefault="006F3015" w:rsidP="00B452CC"/>
        </w:tc>
      </w:tr>
      <w:tr w:rsidR="006F3015" w:rsidTr="006F3015">
        <w:tc>
          <w:tcPr>
            <w:tcW w:w="2283" w:type="dxa"/>
          </w:tcPr>
          <w:p w:rsidR="006F3015" w:rsidRPr="00A32CD1" w:rsidRDefault="006F3015" w:rsidP="00B452CC">
            <w:pPr>
              <w:rPr>
                <w:b/>
              </w:rPr>
            </w:pPr>
            <w:r>
              <w:rPr>
                <w:b/>
              </w:rPr>
              <w:t>Glossary of Terms</w:t>
            </w:r>
          </w:p>
        </w:tc>
        <w:tc>
          <w:tcPr>
            <w:tcW w:w="1852" w:type="dxa"/>
          </w:tcPr>
          <w:p w:rsidR="006F3015" w:rsidRPr="00A32CD1" w:rsidRDefault="006F3015" w:rsidP="00B452CC">
            <w:pPr>
              <w:rPr>
                <w:b/>
              </w:rPr>
            </w:pPr>
            <w:r>
              <w:rPr>
                <w:b/>
              </w:rPr>
              <w:t xml:space="preserve">Pages </w:t>
            </w:r>
            <w:r w:rsidR="008E5CB4">
              <w:rPr>
                <w:b/>
              </w:rPr>
              <w:t>33-39</w:t>
            </w:r>
          </w:p>
        </w:tc>
        <w:tc>
          <w:tcPr>
            <w:tcW w:w="3870" w:type="dxa"/>
          </w:tcPr>
          <w:p w:rsidR="006F3015" w:rsidRDefault="006F3015" w:rsidP="00A32CD1">
            <w:r>
              <w:t>Update and Addition of Terms</w:t>
            </w:r>
          </w:p>
        </w:tc>
        <w:tc>
          <w:tcPr>
            <w:tcW w:w="4950" w:type="dxa"/>
          </w:tcPr>
          <w:p w:rsidR="006F3015" w:rsidRDefault="006F3015" w:rsidP="00B452CC"/>
        </w:tc>
      </w:tr>
    </w:tbl>
    <w:p w:rsidR="00265B0F" w:rsidRDefault="008838F4">
      <w:r>
        <w:tab/>
      </w:r>
    </w:p>
    <w:sectPr w:rsidR="00265B0F" w:rsidSect="00265B0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721" w:rsidRDefault="003A7721" w:rsidP="00A32CD1">
      <w:pPr>
        <w:spacing w:after="0" w:line="240" w:lineRule="auto"/>
      </w:pPr>
      <w:r>
        <w:separator/>
      </w:r>
    </w:p>
  </w:endnote>
  <w:endnote w:type="continuationSeparator" w:id="0">
    <w:p w:rsidR="003A7721" w:rsidRDefault="003A7721" w:rsidP="00A3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721" w:rsidRDefault="003A7721" w:rsidP="00A32CD1">
      <w:pPr>
        <w:spacing w:after="0" w:line="240" w:lineRule="auto"/>
      </w:pPr>
      <w:r>
        <w:separator/>
      </w:r>
    </w:p>
  </w:footnote>
  <w:footnote w:type="continuationSeparator" w:id="0">
    <w:p w:rsidR="003A7721" w:rsidRDefault="003A7721" w:rsidP="00A32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D1" w:rsidRPr="00856BD5" w:rsidRDefault="003A7721" w:rsidP="00856BD5">
    <w:pPr>
      <w:pStyle w:val="Header"/>
      <w:jc w:val="center"/>
      <w:rPr>
        <w:b/>
        <w:sz w:val="24"/>
        <w:szCs w:val="24"/>
      </w:rPr>
    </w:pPr>
    <w:sdt>
      <w:sdtPr>
        <w:rPr>
          <w:b/>
          <w:sz w:val="24"/>
          <w:szCs w:val="24"/>
        </w:rPr>
        <w:id w:val="692107448"/>
        <w:docPartObj>
          <w:docPartGallery w:val="Watermarks"/>
          <w:docPartUnique/>
        </w:docPartObj>
      </w:sdtPr>
      <w:sdtEndPr/>
      <w:sdtContent>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856BD5" w:rsidRPr="00856BD5">
      <w:rPr>
        <w:b/>
        <w:sz w:val="24"/>
        <w:szCs w:val="24"/>
      </w:rPr>
      <w:t>Policy 2510 Key Revisions 2020</w:t>
    </w:r>
  </w:p>
  <w:p w:rsidR="00A32CD1" w:rsidRDefault="00A32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4206D"/>
    <w:multiLevelType w:val="hybridMultilevel"/>
    <w:tmpl w:val="5FAA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F"/>
    <w:rsid w:val="00014D6F"/>
    <w:rsid w:val="00037FB1"/>
    <w:rsid w:val="00136BD1"/>
    <w:rsid w:val="00265B0F"/>
    <w:rsid w:val="00311A9C"/>
    <w:rsid w:val="003572F2"/>
    <w:rsid w:val="003A7721"/>
    <w:rsid w:val="005F6AD1"/>
    <w:rsid w:val="006956B5"/>
    <w:rsid w:val="006F3015"/>
    <w:rsid w:val="007566DA"/>
    <w:rsid w:val="00856BD5"/>
    <w:rsid w:val="008838F4"/>
    <w:rsid w:val="008E42A7"/>
    <w:rsid w:val="008E5CB4"/>
    <w:rsid w:val="00954F7C"/>
    <w:rsid w:val="00A32CD1"/>
    <w:rsid w:val="00B452CC"/>
    <w:rsid w:val="00BA0C52"/>
    <w:rsid w:val="00CA1A16"/>
    <w:rsid w:val="00D65825"/>
    <w:rsid w:val="00E12E75"/>
    <w:rsid w:val="00E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5F9745"/>
  <w15:chartTrackingRefBased/>
  <w15:docId w15:val="{8C9D80E1-4729-4DE1-B60B-F1FF1D5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F4"/>
    <w:pPr>
      <w:ind w:left="720"/>
      <w:contextualSpacing/>
    </w:pPr>
  </w:style>
  <w:style w:type="paragraph" w:styleId="BalloonText">
    <w:name w:val="Balloon Text"/>
    <w:basedOn w:val="Normal"/>
    <w:link w:val="BalloonTextChar"/>
    <w:uiPriority w:val="99"/>
    <w:semiHidden/>
    <w:unhideWhenUsed/>
    <w:rsid w:val="0075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DA"/>
    <w:rPr>
      <w:rFonts w:ascii="Segoe UI" w:hAnsi="Segoe UI" w:cs="Segoe UI"/>
      <w:sz w:val="18"/>
      <w:szCs w:val="18"/>
    </w:rPr>
  </w:style>
  <w:style w:type="paragraph" w:styleId="Header">
    <w:name w:val="header"/>
    <w:basedOn w:val="Normal"/>
    <w:link w:val="HeaderChar"/>
    <w:uiPriority w:val="99"/>
    <w:unhideWhenUsed/>
    <w:rsid w:val="00A3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D1"/>
  </w:style>
  <w:style w:type="paragraph" w:styleId="Footer">
    <w:name w:val="footer"/>
    <w:basedOn w:val="Normal"/>
    <w:link w:val="FooterChar"/>
    <w:uiPriority w:val="99"/>
    <w:unhideWhenUsed/>
    <w:rsid w:val="00A3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C618-9ABF-45ED-BF5D-C8A8F61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Wiseman</dc:creator>
  <cp:keywords/>
  <dc:description/>
  <cp:lastModifiedBy>Joey Wiseman</cp:lastModifiedBy>
  <cp:revision>2</cp:revision>
  <cp:lastPrinted>2019-10-03T18:59:00Z</cp:lastPrinted>
  <dcterms:created xsi:type="dcterms:W3CDTF">2020-03-06T20:17:00Z</dcterms:created>
  <dcterms:modified xsi:type="dcterms:W3CDTF">2020-03-06T20:17:00Z</dcterms:modified>
</cp:coreProperties>
</file>