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0A3A" w14:textId="2848F0E2" w:rsidR="00557C93" w:rsidRPr="0078630A" w:rsidRDefault="00B34923" w:rsidP="00366AC8">
      <w:pPr>
        <w:ind w:left="720" w:hanging="630"/>
        <w:jc w:val="both"/>
        <w:rPr>
          <w:rFonts w:cstheme="minorHAnsi"/>
          <w:sz w:val="24"/>
          <w:szCs w:val="24"/>
        </w:rPr>
      </w:pPr>
      <w:r w:rsidRPr="0078630A">
        <w:rPr>
          <w:rFonts w:cstheme="minorHAnsi"/>
          <w:sz w:val="24"/>
          <w:szCs w:val="24"/>
        </w:rPr>
        <w:t>Additional FAQs for the 202</w:t>
      </w:r>
      <w:r w:rsidR="00557C93" w:rsidRPr="0078630A">
        <w:rPr>
          <w:rFonts w:cstheme="minorHAnsi"/>
          <w:sz w:val="24"/>
          <w:szCs w:val="24"/>
        </w:rPr>
        <w:t>4</w:t>
      </w:r>
      <w:r w:rsidRPr="0078630A">
        <w:rPr>
          <w:rFonts w:cstheme="minorHAnsi"/>
          <w:sz w:val="24"/>
          <w:szCs w:val="24"/>
        </w:rPr>
        <w:t xml:space="preserve"> 21</w:t>
      </w:r>
      <w:r w:rsidRPr="0078630A">
        <w:rPr>
          <w:rFonts w:cstheme="minorHAnsi"/>
          <w:sz w:val="24"/>
          <w:szCs w:val="24"/>
          <w:vertAlign w:val="superscript"/>
        </w:rPr>
        <w:t>st</w:t>
      </w:r>
      <w:r w:rsidRPr="0078630A">
        <w:rPr>
          <w:rFonts w:cstheme="minorHAnsi"/>
          <w:sz w:val="24"/>
          <w:szCs w:val="24"/>
        </w:rPr>
        <w:t xml:space="preserve"> Century Community Learning Center Application Process</w:t>
      </w:r>
    </w:p>
    <w:p w14:paraId="2EBAACEC" w14:textId="0B8C2CAC" w:rsidR="00B34923" w:rsidRDefault="00B34923" w:rsidP="00201903">
      <w:pPr>
        <w:pStyle w:val="NormalWeb"/>
        <w:numPr>
          <w:ilvl w:val="0"/>
          <w:numId w:val="2"/>
        </w:numPr>
        <w:shd w:val="clear" w:color="auto" w:fill="FFFFFF"/>
        <w:jc w:val="both"/>
        <w:rPr>
          <w:rFonts w:asciiTheme="minorHAnsi" w:hAnsiTheme="minorHAnsi" w:cstheme="minorHAnsi"/>
          <w:color w:val="6FC040"/>
          <w:sz w:val="24"/>
          <w:szCs w:val="24"/>
        </w:rPr>
      </w:pPr>
      <w:r w:rsidRPr="0078630A">
        <w:rPr>
          <w:rFonts w:asciiTheme="minorHAnsi" w:hAnsiTheme="minorHAnsi" w:cstheme="minorHAnsi"/>
          <w:color w:val="201F1E"/>
          <w:sz w:val="24"/>
          <w:szCs w:val="24"/>
        </w:rPr>
        <w:t xml:space="preserve">There is a private school in the attendance area of one of the schools we’re including in our proposal, but it is not accredited. Do we need to consult non-accredited private school as part of the private school consultation process? </w:t>
      </w:r>
      <w:r w:rsidRPr="0078630A">
        <w:rPr>
          <w:rFonts w:asciiTheme="minorHAnsi" w:hAnsiTheme="minorHAnsi" w:cstheme="minorHAnsi"/>
          <w:color w:val="6FC040"/>
          <w:sz w:val="24"/>
          <w:szCs w:val="24"/>
        </w:rPr>
        <w:t>- Yes, you will need to consult with them even if they're not accredited.</w:t>
      </w:r>
    </w:p>
    <w:p w14:paraId="0BB0752E" w14:textId="77777777" w:rsidR="00201903" w:rsidRPr="0078630A" w:rsidRDefault="00201903" w:rsidP="00201903">
      <w:pPr>
        <w:pStyle w:val="NormalWeb"/>
        <w:shd w:val="clear" w:color="auto" w:fill="FFFFFF"/>
        <w:ind w:left="450"/>
        <w:jc w:val="both"/>
        <w:rPr>
          <w:rFonts w:asciiTheme="minorHAnsi" w:hAnsiTheme="minorHAnsi" w:cstheme="minorHAnsi"/>
          <w:color w:val="201F1E"/>
          <w:sz w:val="24"/>
          <w:szCs w:val="24"/>
        </w:rPr>
      </w:pPr>
    </w:p>
    <w:p w14:paraId="4A88B213" w14:textId="49BA85F9" w:rsidR="00B34923" w:rsidRDefault="00B34923" w:rsidP="00366AC8">
      <w:pPr>
        <w:pStyle w:val="NormalWeb"/>
        <w:shd w:val="clear" w:color="auto" w:fill="FFFFFF"/>
        <w:ind w:left="720" w:hanging="630"/>
        <w:jc w:val="both"/>
        <w:rPr>
          <w:rFonts w:asciiTheme="minorHAnsi" w:hAnsiTheme="minorHAnsi" w:cstheme="minorHAnsi"/>
          <w:color w:val="6FC040"/>
          <w:sz w:val="24"/>
          <w:szCs w:val="24"/>
        </w:rPr>
      </w:pPr>
      <w:r w:rsidRPr="0078630A">
        <w:rPr>
          <w:rFonts w:asciiTheme="minorHAnsi" w:hAnsiTheme="minorHAnsi" w:cstheme="minorHAnsi"/>
          <w:color w:val="201F1E"/>
          <w:sz w:val="24"/>
          <w:szCs w:val="24"/>
        </w:rPr>
        <w:t>2.    The Private School Consultation Form requires the signatures of the Applicant and Superintendent. Since</w:t>
      </w:r>
      <w:r w:rsidR="008207DE">
        <w:rPr>
          <w:rFonts w:asciiTheme="minorHAnsi" w:hAnsiTheme="minorHAnsi" w:cstheme="minorHAnsi"/>
          <w:color w:val="201F1E"/>
          <w:sz w:val="24"/>
          <w:szCs w:val="24"/>
        </w:rPr>
        <w:t xml:space="preserve"> X</w:t>
      </w:r>
      <w:r w:rsidRPr="0078630A">
        <w:rPr>
          <w:rFonts w:asciiTheme="minorHAnsi" w:hAnsiTheme="minorHAnsi" w:cstheme="minorHAnsi"/>
          <w:color w:val="201F1E"/>
          <w:sz w:val="24"/>
          <w:szCs w:val="24"/>
        </w:rPr>
        <w:t xml:space="preserve"> County Schools is the fiscal agent on our application, should the Superintendent sign on both lines? Or should we have the Lead Administrator sign as the Applicant? </w:t>
      </w:r>
      <w:r w:rsidRPr="0078630A">
        <w:rPr>
          <w:rFonts w:asciiTheme="minorHAnsi" w:hAnsiTheme="minorHAnsi" w:cstheme="minorHAnsi"/>
          <w:color w:val="6FC040"/>
          <w:sz w:val="24"/>
          <w:szCs w:val="24"/>
        </w:rPr>
        <w:t xml:space="preserve">– </w:t>
      </w:r>
      <w:r w:rsidR="00F41510">
        <w:rPr>
          <w:rFonts w:asciiTheme="minorHAnsi" w:hAnsiTheme="minorHAnsi" w:cstheme="minorHAnsi"/>
          <w:color w:val="6FC040"/>
          <w:sz w:val="24"/>
          <w:szCs w:val="24"/>
        </w:rPr>
        <w:t>Have</w:t>
      </w:r>
      <w:r w:rsidRPr="0078630A">
        <w:rPr>
          <w:rFonts w:asciiTheme="minorHAnsi" w:hAnsiTheme="minorHAnsi" w:cstheme="minorHAnsi"/>
          <w:color w:val="6FC040"/>
          <w:sz w:val="24"/>
          <w:szCs w:val="24"/>
        </w:rPr>
        <w:t xml:space="preserve"> the Superintendent sign both lines.</w:t>
      </w:r>
    </w:p>
    <w:p w14:paraId="12E88D9B" w14:textId="77777777" w:rsidR="00201903" w:rsidRPr="0078630A" w:rsidRDefault="00201903" w:rsidP="00366AC8">
      <w:pPr>
        <w:pStyle w:val="NormalWeb"/>
        <w:shd w:val="clear" w:color="auto" w:fill="FFFFFF"/>
        <w:ind w:left="720" w:hanging="630"/>
        <w:jc w:val="both"/>
        <w:rPr>
          <w:rFonts w:asciiTheme="minorHAnsi" w:hAnsiTheme="minorHAnsi" w:cstheme="minorHAnsi"/>
          <w:color w:val="201F1E"/>
          <w:sz w:val="24"/>
          <w:szCs w:val="24"/>
        </w:rPr>
      </w:pPr>
    </w:p>
    <w:p w14:paraId="792462A8" w14:textId="2CCEB2B3" w:rsidR="00B34923" w:rsidRDefault="00B34923" w:rsidP="00366AC8">
      <w:pPr>
        <w:pStyle w:val="NormalWeb"/>
        <w:shd w:val="clear" w:color="auto" w:fill="FFFFFF"/>
        <w:ind w:left="720" w:hanging="630"/>
        <w:jc w:val="both"/>
        <w:rPr>
          <w:rFonts w:asciiTheme="minorHAnsi" w:hAnsiTheme="minorHAnsi" w:cstheme="minorHAnsi"/>
          <w:color w:val="6FC040"/>
          <w:sz w:val="24"/>
          <w:szCs w:val="24"/>
        </w:rPr>
      </w:pPr>
      <w:r w:rsidRPr="0078630A">
        <w:rPr>
          <w:rFonts w:asciiTheme="minorHAnsi" w:hAnsiTheme="minorHAnsi" w:cstheme="minorHAnsi"/>
          <w:color w:val="201F1E"/>
          <w:sz w:val="24"/>
          <w:szCs w:val="24"/>
        </w:rPr>
        <w:t>3.   Will WVDE accept electronic signatures on the signature forms (like the Co-Applicant/Partner MOUs), or do we need to get blue ink signatures? -</w:t>
      </w:r>
      <w:r w:rsidRPr="0078630A">
        <w:rPr>
          <w:rFonts w:asciiTheme="minorHAnsi" w:hAnsiTheme="minorHAnsi" w:cstheme="minorHAnsi"/>
          <w:color w:val="6FC040"/>
          <w:sz w:val="24"/>
          <w:szCs w:val="24"/>
        </w:rPr>
        <w:t xml:space="preserve"> Yes, we accept electronic signatures. ​</w:t>
      </w:r>
    </w:p>
    <w:p w14:paraId="511ED7C2" w14:textId="77777777" w:rsidR="00201903" w:rsidRPr="0078630A" w:rsidRDefault="00201903" w:rsidP="00366AC8">
      <w:pPr>
        <w:pStyle w:val="NormalWeb"/>
        <w:shd w:val="clear" w:color="auto" w:fill="FFFFFF"/>
        <w:ind w:left="720" w:hanging="630"/>
        <w:jc w:val="both"/>
        <w:rPr>
          <w:rFonts w:asciiTheme="minorHAnsi" w:hAnsiTheme="minorHAnsi" w:cstheme="minorHAnsi"/>
          <w:color w:val="201F1E"/>
          <w:sz w:val="24"/>
          <w:szCs w:val="24"/>
        </w:rPr>
      </w:pPr>
    </w:p>
    <w:p w14:paraId="03E9CC7C" w14:textId="2D91066B" w:rsidR="00B34923" w:rsidRDefault="00B34923" w:rsidP="00366AC8">
      <w:pPr>
        <w:pStyle w:val="NormalWeb"/>
        <w:shd w:val="clear" w:color="auto" w:fill="FFFFFF"/>
        <w:ind w:left="720" w:hanging="630"/>
        <w:jc w:val="both"/>
        <w:rPr>
          <w:rFonts w:asciiTheme="minorHAnsi" w:hAnsiTheme="minorHAnsi" w:cstheme="minorHAnsi"/>
          <w:color w:val="6FC040"/>
          <w:sz w:val="24"/>
          <w:szCs w:val="24"/>
        </w:rPr>
      </w:pPr>
      <w:r w:rsidRPr="0078630A">
        <w:rPr>
          <w:rFonts w:asciiTheme="minorHAnsi" w:hAnsiTheme="minorHAnsi" w:cstheme="minorHAnsi"/>
          <w:color w:val="201F1E"/>
          <w:sz w:val="24"/>
          <w:szCs w:val="24"/>
        </w:rPr>
        <w:t xml:space="preserve">4.   Can the responsibilities of the Collaborative Liaison and Evaluator be fulfilled by other positions on our staffing plan? For example, one of the Program Coordinator’s responsibilities is to ensure active communication between school personnel and site personnel, and the Program Coordinator and Program Specialist are both responsible for monitoring, collecting, and (with support from our larger monitoring and evaluation team) evaluating program data. </w:t>
      </w:r>
      <w:r w:rsidRPr="0078630A">
        <w:rPr>
          <w:rFonts w:asciiTheme="minorHAnsi" w:hAnsiTheme="minorHAnsi" w:cstheme="minorHAnsi"/>
          <w:color w:val="6FC040"/>
          <w:sz w:val="24"/>
          <w:szCs w:val="24"/>
        </w:rPr>
        <w:t>Yes, it's okay for more than one person to fulfill the responsibilities of a role.</w:t>
      </w:r>
    </w:p>
    <w:p w14:paraId="6FFC6874" w14:textId="77777777" w:rsidR="00201903" w:rsidRPr="0078630A" w:rsidRDefault="00201903" w:rsidP="00366AC8">
      <w:pPr>
        <w:pStyle w:val="NormalWeb"/>
        <w:shd w:val="clear" w:color="auto" w:fill="FFFFFF"/>
        <w:ind w:left="720" w:hanging="630"/>
        <w:jc w:val="both"/>
        <w:rPr>
          <w:rFonts w:asciiTheme="minorHAnsi" w:hAnsiTheme="minorHAnsi" w:cstheme="minorHAnsi"/>
          <w:color w:val="6FC040"/>
          <w:sz w:val="24"/>
          <w:szCs w:val="24"/>
        </w:rPr>
      </w:pPr>
    </w:p>
    <w:p w14:paraId="2CA7C11F" w14:textId="655C612E" w:rsidR="00E91B13" w:rsidRDefault="00E91B13" w:rsidP="00366AC8">
      <w:pPr>
        <w:pStyle w:val="NormalWeb"/>
        <w:shd w:val="clear" w:color="auto" w:fill="FFFFFF"/>
        <w:ind w:left="720" w:hanging="630"/>
        <w:jc w:val="both"/>
        <w:rPr>
          <w:rFonts w:asciiTheme="minorHAnsi" w:hAnsiTheme="minorHAnsi" w:cstheme="minorHAnsi"/>
          <w:color w:val="6FC040"/>
          <w:sz w:val="24"/>
          <w:szCs w:val="24"/>
        </w:rPr>
      </w:pPr>
      <w:r w:rsidRPr="0078630A">
        <w:rPr>
          <w:rFonts w:asciiTheme="minorHAnsi" w:hAnsiTheme="minorHAnsi" w:cstheme="minorHAnsi"/>
          <w:sz w:val="24"/>
          <w:szCs w:val="24"/>
        </w:rPr>
        <w:t xml:space="preserve">5. When you add data to the grant application, should the data be in a list/table format or a narrative?  </w:t>
      </w:r>
      <w:r w:rsidRPr="0078630A">
        <w:rPr>
          <w:rFonts w:asciiTheme="minorHAnsi" w:hAnsiTheme="minorHAnsi" w:cstheme="minorHAnsi"/>
          <w:color w:val="6FC040"/>
          <w:sz w:val="24"/>
          <w:szCs w:val="24"/>
        </w:rPr>
        <w:t>You can do either but most often a chart or table format in the narrative makes it much easier for the peer reviewers to read and understand.</w:t>
      </w:r>
    </w:p>
    <w:p w14:paraId="77CB29F2" w14:textId="77777777" w:rsidR="00201903" w:rsidRPr="0078630A" w:rsidRDefault="00201903" w:rsidP="00366AC8">
      <w:pPr>
        <w:pStyle w:val="NormalWeb"/>
        <w:shd w:val="clear" w:color="auto" w:fill="FFFFFF"/>
        <w:ind w:left="720" w:hanging="630"/>
        <w:jc w:val="both"/>
        <w:rPr>
          <w:rFonts w:asciiTheme="minorHAnsi" w:hAnsiTheme="minorHAnsi" w:cstheme="minorHAnsi"/>
          <w:color w:val="6FC040"/>
          <w:sz w:val="24"/>
          <w:szCs w:val="24"/>
        </w:rPr>
      </w:pPr>
    </w:p>
    <w:p w14:paraId="20A92647" w14:textId="71E057E6" w:rsidR="005E55FD" w:rsidRDefault="005E55FD" w:rsidP="00366AC8">
      <w:pPr>
        <w:pStyle w:val="NormalWeb"/>
        <w:shd w:val="clear" w:color="auto" w:fill="FFFFFF"/>
        <w:ind w:left="720" w:hanging="630"/>
        <w:jc w:val="both"/>
        <w:rPr>
          <w:rFonts w:asciiTheme="minorHAnsi" w:hAnsiTheme="minorHAnsi" w:cstheme="minorHAnsi"/>
          <w:color w:val="70AD47" w:themeColor="accent6"/>
          <w:sz w:val="24"/>
          <w:szCs w:val="24"/>
        </w:rPr>
      </w:pPr>
      <w:r w:rsidRPr="0078630A">
        <w:rPr>
          <w:rFonts w:asciiTheme="minorHAnsi" w:hAnsiTheme="minorHAnsi" w:cstheme="minorHAnsi"/>
          <w:sz w:val="24"/>
          <w:szCs w:val="24"/>
        </w:rPr>
        <w:t>6.</w:t>
      </w:r>
      <w:r w:rsidRPr="0078630A">
        <w:rPr>
          <w:rFonts w:asciiTheme="minorHAnsi" w:hAnsiTheme="minorHAnsi" w:cstheme="minorHAnsi"/>
          <w:color w:val="201F1E"/>
          <w:sz w:val="24"/>
          <w:szCs w:val="24"/>
        </w:rPr>
        <w:t xml:space="preserve"> Where are the lists of Comprehensive Support and Improvement (CSI), Additional Targeted Support and CSI Additional targeted Support schools?  </w:t>
      </w:r>
      <w:r w:rsidRPr="0078630A">
        <w:rPr>
          <w:rFonts w:asciiTheme="minorHAnsi" w:hAnsiTheme="minorHAnsi" w:cstheme="minorHAnsi"/>
          <w:color w:val="70AD47" w:themeColor="accent6"/>
          <w:sz w:val="24"/>
          <w:szCs w:val="24"/>
        </w:rPr>
        <w:t xml:space="preserve">The lists may be found on the </w:t>
      </w:r>
      <w:r w:rsidR="001C3651" w:rsidRPr="0078630A">
        <w:rPr>
          <w:rFonts w:asciiTheme="minorHAnsi" w:hAnsiTheme="minorHAnsi" w:cstheme="minorHAnsi"/>
          <w:color w:val="70AD47" w:themeColor="accent6"/>
          <w:sz w:val="24"/>
          <w:szCs w:val="24"/>
        </w:rPr>
        <w:t>Balanced Scorecard webpage.</w:t>
      </w:r>
      <w:r w:rsidR="00C3447D" w:rsidRPr="0078630A">
        <w:rPr>
          <w:rFonts w:asciiTheme="minorHAnsi" w:hAnsiTheme="minorHAnsi" w:cstheme="minorHAnsi"/>
          <w:color w:val="70AD47" w:themeColor="accent6"/>
          <w:sz w:val="24"/>
          <w:szCs w:val="24"/>
        </w:rPr>
        <w:t xml:space="preserve"> </w:t>
      </w:r>
      <w:hyperlink r:id="rId8" w:history="1">
        <w:r w:rsidR="00C3447D" w:rsidRPr="0078630A">
          <w:rPr>
            <w:rStyle w:val="Hyperlink"/>
            <w:rFonts w:asciiTheme="minorHAnsi" w:hAnsiTheme="minorHAnsi" w:cstheme="minorHAnsi"/>
            <w:color w:val="70AD47" w:themeColor="accent6"/>
            <w:sz w:val="24"/>
            <w:szCs w:val="24"/>
          </w:rPr>
          <w:t>WV Balanced Scorecard (k12.wv.us)</w:t>
        </w:r>
      </w:hyperlink>
      <w:r w:rsidR="00C3447D" w:rsidRPr="0078630A">
        <w:rPr>
          <w:rFonts w:asciiTheme="minorHAnsi" w:hAnsiTheme="minorHAnsi" w:cstheme="minorHAnsi"/>
          <w:color w:val="70AD47" w:themeColor="accent6"/>
          <w:sz w:val="24"/>
          <w:szCs w:val="24"/>
        </w:rPr>
        <w:t xml:space="preserve"> Using the left side tab, click Identified Schools for the data.</w:t>
      </w:r>
      <w:r w:rsidR="00002C32" w:rsidRPr="0078630A">
        <w:rPr>
          <w:rFonts w:asciiTheme="minorHAnsi" w:hAnsiTheme="minorHAnsi" w:cstheme="minorHAnsi"/>
          <w:color w:val="70AD47" w:themeColor="accent6"/>
          <w:sz w:val="24"/>
          <w:szCs w:val="24"/>
        </w:rPr>
        <w:t xml:space="preserve">  Priority points will be provided only if </w:t>
      </w:r>
      <w:r w:rsidR="00DF60E1" w:rsidRPr="0078630A">
        <w:rPr>
          <w:rFonts w:asciiTheme="minorHAnsi" w:hAnsiTheme="minorHAnsi" w:cstheme="minorHAnsi"/>
          <w:color w:val="70AD47" w:themeColor="accent6"/>
          <w:sz w:val="24"/>
          <w:szCs w:val="24"/>
        </w:rPr>
        <w:t xml:space="preserve">all </w:t>
      </w:r>
      <w:r w:rsidR="00002C32" w:rsidRPr="0078630A">
        <w:rPr>
          <w:rFonts w:asciiTheme="minorHAnsi" w:hAnsiTheme="minorHAnsi" w:cstheme="minorHAnsi"/>
          <w:color w:val="70AD47" w:themeColor="accent6"/>
          <w:sz w:val="24"/>
          <w:szCs w:val="24"/>
        </w:rPr>
        <w:t xml:space="preserve">the school you </w:t>
      </w:r>
      <w:r w:rsidR="00DF60E1" w:rsidRPr="0078630A">
        <w:rPr>
          <w:rFonts w:asciiTheme="minorHAnsi" w:hAnsiTheme="minorHAnsi" w:cstheme="minorHAnsi"/>
          <w:color w:val="70AD47" w:themeColor="accent6"/>
          <w:sz w:val="24"/>
          <w:szCs w:val="24"/>
        </w:rPr>
        <w:t xml:space="preserve">propose to </w:t>
      </w:r>
      <w:r w:rsidR="00002C32" w:rsidRPr="0078630A">
        <w:rPr>
          <w:rFonts w:asciiTheme="minorHAnsi" w:hAnsiTheme="minorHAnsi" w:cstheme="minorHAnsi"/>
          <w:color w:val="70AD47" w:themeColor="accent6"/>
          <w:sz w:val="24"/>
          <w:szCs w:val="24"/>
        </w:rPr>
        <w:t>serve</w:t>
      </w:r>
      <w:r w:rsidR="00DF60E1" w:rsidRPr="0078630A">
        <w:rPr>
          <w:rFonts w:asciiTheme="minorHAnsi" w:hAnsiTheme="minorHAnsi" w:cstheme="minorHAnsi"/>
          <w:color w:val="70AD47" w:themeColor="accent6"/>
          <w:sz w:val="24"/>
          <w:szCs w:val="24"/>
        </w:rPr>
        <w:t xml:space="preserve"> in your application are classified as one of these schools.</w:t>
      </w:r>
      <w:r w:rsidR="0078630A" w:rsidRPr="0078630A">
        <w:rPr>
          <w:rFonts w:asciiTheme="minorHAnsi" w:hAnsiTheme="minorHAnsi" w:cstheme="minorHAnsi"/>
          <w:color w:val="70AD47" w:themeColor="accent6"/>
          <w:sz w:val="24"/>
          <w:szCs w:val="24"/>
        </w:rPr>
        <w:t xml:space="preserve"> </w:t>
      </w:r>
    </w:p>
    <w:p w14:paraId="1B3CC5AE" w14:textId="77777777" w:rsidR="00201903" w:rsidRDefault="00201903" w:rsidP="00366AC8">
      <w:pPr>
        <w:pStyle w:val="NormalWeb"/>
        <w:shd w:val="clear" w:color="auto" w:fill="FFFFFF"/>
        <w:ind w:left="720" w:hanging="630"/>
        <w:jc w:val="both"/>
        <w:rPr>
          <w:rFonts w:asciiTheme="minorHAnsi" w:hAnsiTheme="minorHAnsi" w:cstheme="minorHAnsi"/>
          <w:color w:val="70AD47" w:themeColor="accent6"/>
          <w:sz w:val="24"/>
          <w:szCs w:val="24"/>
        </w:rPr>
      </w:pPr>
    </w:p>
    <w:p w14:paraId="0D72EAD7" w14:textId="50D286AE" w:rsidR="0078630A" w:rsidRDefault="00134D2E" w:rsidP="00366AC8">
      <w:pPr>
        <w:pStyle w:val="NormalWeb"/>
        <w:shd w:val="clear" w:color="auto" w:fill="FFFFFF"/>
        <w:ind w:left="720" w:hanging="630"/>
        <w:jc w:val="both"/>
        <w:rPr>
          <w:rFonts w:asciiTheme="minorHAnsi" w:hAnsiTheme="minorHAnsi" w:cstheme="minorHAnsi"/>
          <w:color w:val="70AD47" w:themeColor="accent6"/>
          <w:sz w:val="24"/>
          <w:szCs w:val="24"/>
        </w:rPr>
      </w:pPr>
      <w:r>
        <w:rPr>
          <w:rFonts w:asciiTheme="minorHAnsi" w:hAnsiTheme="minorHAnsi" w:cstheme="minorHAnsi"/>
          <w:sz w:val="24"/>
          <w:szCs w:val="24"/>
        </w:rPr>
        <w:t>7.</w:t>
      </w:r>
      <w:r>
        <w:rPr>
          <w:rFonts w:asciiTheme="minorHAnsi" w:hAnsiTheme="minorHAnsi" w:cstheme="minorHAnsi"/>
          <w:color w:val="70AD47" w:themeColor="accent6"/>
          <w:sz w:val="24"/>
          <w:szCs w:val="24"/>
        </w:rPr>
        <w:t xml:space="preserve"> </w:t>
      </w:r>
      <w:r w:rsidRPr="00B44F89">
        <w:rPr>
          <w:rFonts w:asciiTheme="minorHAnsi" w:hAnsiTheme="minorHAnsi" w:cstheme="minorHAnsi"/>
          <w:sz w:val="24"/>
          <w:szCs w:val="24"/>
        </w:rPr>
        <w:t xml:space="preserve">We want to provide an </w:t>
      </w:r>
      <w:r w:rsidR="00B44F89" w:rsidRPr="00B44F89">
        <w:rPr>
          <w:rFonts w:asciiTheme="minorHAnsi" w:hAnsiTheme="minorHAnsi" w:cstheme="minorHAnsi"/>
          <w:sz w:val="24"/>
          <w:szCs w:val="24"/>
        </w:rPr>
        <w:t>all-virtual</w:t>
      </w:r>
      <w:r w:rsidRPr="00B44F89">
        <w:rPr>
          <w:rFonts w:asciiTheme="minorHAnsi" w:hAnsiTheme="minorHAnsi" w:cstheme="minorHAnsi"/>
          <w:sz w:val="24"/>
          <w:szCs w:val="24"/>
        </w:rPr>
        <w:t xml:space="preserve"> afterschool program, is there any prohibition?  </w:t>
      </w:r>
      <w:r w:rsidRPr="00B44F89">
        <w:rPr>
          <w:rFonts w:asciiTheme="minorHAnsi" w:hAnsiTheme="minorHAnsi" w:cstheme="minorHAnsi"/>
          <w:color w:val="70AD47" w:themeColor="accent6"/>
          <w:sz w:val="24"/>
          <w:szCs w:val="24"/>
        </w:rPr>
        <w:t xml:space="preserve">At this time there is no prohibition.  However, </w:t>
      </w:r>
      <w:r w:rsidR="000D30A7" w:rsidRPr="00B44F89">
        <w:rPr>
          <w:rFonts w:asciiTheme="minorHAnsi" w:hAnsiTheme="minorHAnsi" w:cstheme="minorHAnsi"/>
          <w:color w:val="70AD47" w:themeColor="accent6"/>
          <w:sz w:val="24"/>
          <w:szCs w:val="24"/>
        </w:rPr>
        <w:t xml:space="preserve">hosting a program entirely online is not </w:t>
      </w:r>
      <w:r w:rsidR="001D2EA4">
        <w:rPr>
          <w:rFonts w:asciiTheme="minorHAnsi" w:hAnsiTheme="minorHAnsi" w:cstheme="minorHAnsi"/>
          <w:color w:val="70AD47" w:themeColor="accent6"/>
          <w:sz w:val="24"/>
          <w:szCs w:val="24"/>
        </w:rPr>
        <w:t xml:space="preserve">a </w:t>
      </w:r>
      <w:r w:rsidR="000D30A7" w:rsidRPr="00B44F89">
        <w:rPr>
          <w:rFonts w:asciiTheme="minorHAnsi" w:hAnsiTheme="minorHAnsi" w:cstheme="minorHAnsi"/>
          <w:color w:val="70AD47" w:themeColor="accent6"/>
          <w:sz w:val="24"/>
          <w:szCs w:val="24"/>
        </w:rPr>
        <w:t>best practice</w:t>
      </w:r>
      <w:r w:rsidR="00B44F89" w:rsidRPr="00B44F89">
        <w:rPr>
          <w:rFonts w:asciiTheme="minorHAnsi" w:hAnsiTheme="minorHAnsi" w:cstheme="minorHAnsi"/>
          <w:color w:val="70AD47" w:themeColor="accent6"/>
          <w:sz w:val="24"/>
          <w:szCs w:val="24"/>
        </w:rPr>
        <w:t xml:space="preserve">.  </w:t>
      </w:r>
      <w:r w:rsidR="00722F2B">
        <w:rPr>
          <w:rFonts w:asciiTheme="minorHAnsi" w:hAnsiTheme="minorHAnsi" w:cstheme="minorHAnsi"/>
          <w:color w:val="70AD47" w:themeColor="accent6"/>
          <w:sz w:val="24"/>
          <w:szCs w:val="24"/>
        </w:rPr>
        <w:t xml:space="preserve">Virtual programs must have defined times that do not interfere with any school day hours (be the school virtual or in-person).  </w:t>
      </w:r>
      <w:r w:rsidR="008212C7">
        <w:rPr>
          <w:rFonts w:asciiTheme="minorHAnsi" w:hAnsiTheme="minorHAnsi" w:cstheme="minorHAnsi"/>
          <w:color w:val="70AD47" w:themeColor="accent6"/>
          <w:sz w:val="24"/>
          <w:szCs w:val="24"/>
        </w:rPr>
        <w:t xml:space="preserve">Any afterschool program may not operate when the school/s are in </w:t>
      </w:r>
      <w:r w:rsidR="004B7BC3">
        <w:rPr>
          <w:rFonts w:asciiTheme="minorHAnsi" w:hAnsiTheme="minorHAnsi" w:cstheme="minorHAnsi"/>
          <w:color w:val="70AD47" w:themeColor="accent6"/>
          <w:sz w:val="24"/>
          <w:szCs w:val="24"/>
        </w:rPr>
        <w:t>session.</w:t>
      </w:r>
    </w:p>
    <w:p w14:paraId="01BCE860" w14:textId="77777777" w:rsidR="00201903" w:rsidRPr="00B44F89" w:rsidRDefault="00201903" w:rsidP="00366AC8">
      <w:pPr>
        <w:pStyle w:val="NormalWeb"/>
        <w:shd w:val="clear" w:color="auto" w:fill="FFFFFF"/>
        <w:ind w:left="720" w:hanging="630"/>
        <w:jc w:val="both"/>
        <w:rPr>
          <w:rFonts w:asciiTheme="minorHAnsi" w:hAnsiTheme="minorHAnsi" w:cstheme="minorHAnsi"/>
          <w:color w:val="70AD47" w:themeColor="accent6"/>
          <w:sz w:val="24"/>
          <w:szCs w:val="24"/>
        </w:rPr>
      </w:pPr>
    </w:p>
    <w:p w14:paraId="6B0B0672" w14:textId="3A0AC3AF" w:rsidR="00170906" w:rsidRPr="00055C16" w:rsidRDefault="00B42596" w:rsidP="00366AC8">
      <w:pPr>
        <w:ind w:left="720" w:hanging="630"/>
        <w:jc w:val="both"/>
        <w:rPr>
          <w:rFonts w:cstheme="minorHAnsi"/>
          <w:sz w:val="24"/>
          <w:szCs w:val="24"/>
        </w:rPr>
      </w:pPr>
      <w:r>
        <w:rPr>
          <w:rFonts w:ascii="Times New Roman" w:hAnsi="Times New Roman" w:cs="Times New Roman"/>
          <w:color w:val="201F1E"/>
          <w:sz w:val="24"/>
          <w:szCs w:val="24"/>
        </w:rPr>
        <w:t xml:space="preserve">8. </w:t>
      </w:r>
      <w:r w:rsidRPr="001A7A41">
        <w:rPr>
          <w:rFonts w:cstheme="minorHAnsi"/>
          <w:color w:val="201F1E"/>
          <w:sz w:val="24"/>
          <w:szCs w:val="24"/>
        </w:rPr>
        <w:t xml:space="preserve">There is new language under </w:t>
      </w:r>
      <w:r w:rsidR="0021293B" w:rsidRPr="001A7A41">
        <w:rPr>
          <w:rFonts w:cstheme="minorHAnsi"/>
          <w:color w:val="201F1E"/>
          <w:sz w:val="24"/>
          <w:szCs w:val="24"/>
        </w:rPr>
        <w:t>the Application</w:t>
      </w:r>
      <w:r w:rsidR="00630811" w:rsidRPr="001A7A41">
        <w:rPr>
          <w:rFonts w:cstheme="minorHAnsi"/>
          <w:color w:val="201F1E"/>
          <w:sz w:val="24"/>
          <w:szCs w:val="24"/>
        </w:rPr>
        <w:t xml:space="preserve"> Collaboration</w:t>
      </w:r>
      <w:r w:rsidR="0021293B" w:rsidRPr="001A7A41">
        <w:rPr>
          <w:rFonts w:cstheme="minorHAnsi"/>
          <w:color w:val="201F1E"/>
          <w:sz w:val="24"/>
          <w:szCs w:val="24"/>
        </w:rPr>
        <w:t xml:space="preserve"> Section that </w:t>
      </w:r>
      <w:r w:rsidR="00841440" w:rsidRPr="001A7A41">
        <w:rPr>
          <w:rFonts w:cstheme="minorHAnsi"/>
          <w:color w:val="201F1E"/>
          <w:sz w:val="24"/>
          <w:szCs w:val="24"/>
        </w:rPr>
        <w:t>state</w:t>
      </w:r>
      <w:r w:rsidR="00901579" w:rsidRPr="001A7A41">
        <w:rPr>
          <w:rFonts w:cstheme="minorHAnsi"/>
          <w:color w:val="201F1E"/>
          <w:sz w:val="24"/>
          <w:szCs w:val="24"/>
        </w:rPr>
        <w:t>s</w:t>
      </w:r>
      <w:r w:rsidR="00841440" w:rsidRPr="001A7A41">
        <w:rPr>
          <w:rFonts w:cstheme="minorHAnsi"/>
          <w:color w:val="201F1E"/>
          <w:sz w:val="24"/>
          <w:szCs w:val="24"/>
        </w:rPr>
        <w:t>, “data</w:t>
      </w:r>
      <w:r w:rsidR="0021293B" w:rsidRPr="001A7A41">
        <w:rPr>
          <w:rFonts w:cstheme="minorHAnsi"/>
          <w:color w:val="201F1E"/>
          <w:sz w:val="24"/>
          <w:szCs w:val="24"/>
        </w:rPr>
        <w:t xml:space="preserve"> sharing agreement is part of the MOU signed by the principal of the school where students are served and is uploaded in the “Related Document</w:t>
      </w:r>
      <w:r w:rsidR="00CB7CBE" w:rsidRPr="001A7A41">
        <w:rPr>
          <w:rFonts w:cstheme="minorHAnsi"/>
          <w:color w:val="201F1E"/>
          <w:sz w:val="24"/>
          <w:szCs w:val="24"/>
        </w:rPr>
        <w:t xml:space="preserve">s” </w:t>
      </w:r>
      <w:r w:rsidR="00901579" w:rsidRPr="001A7A41">
        <w:rPr>
          <w:rFonts w:cstheme="minorHAnsi"/>
          <w:color w:val="201F1E"/>
          <w:sz w:val="24"/>
          <w:szCs w:val="24"/>
        </w:rPr>
        <w:t>section</w:t>
      </w:r>
      <w:r w:rsidR="00F136D6" w:rsidRPr="001A7A41">
        <w:rPr>
          <w:rFonts w:cstheme="minorHAnsi"/>
          <w:color w:val="201F1E"/>
          <w:sz w:val="24"/>
          <w:szCs w:val="24"/>
        </w:rPr>
        <w:t>.</w:t>
      </w:r>
      <w:r w:rsidR="00901579" w:rsidRPr="001A7A41">
        <w:rPr>
          <w:rFonts w:cstheme="minorHAnsi"/>
          <w:color w:val="201F1E"/>
          <w:sz w:val="24"/>
          <w:szCs w:val="24"/>
        </w:rPr>
        <w:t>” Is</w:t>
      </w:r>
      <w:r w:rsidR="00CB7CBE" w:rsidRPr="001A7A41">
        <w:rPr>
          <w:rFonts w:cstheme="minorHAnsi"/>
          <w:color w:val="201F1E"/>
          <w:sz w:val="24"/>
          <w:szCs w:val="24"/>
        </w:rPr>
        <w:t xml:space="preserve"> there a new requirement around how the data sharing process should be explained or how the data is shared?  I</w:t>
      </w:r>
      <w:r w:rsidR="00E01A06" w:rsidRPr="001A7A41">
        <w:rPr>
          <w:rFonts w:cstheme="minorHAnsi"/>
          <w:color w:val="201F1E"/>
          <w:sz w:val="24"/>
          <w:szCs w:val="24"/>
        </w:rPr>
        <w:t>s</w:t>
      </w:r>
      <w:r w:rsidR="00CB7CBE" w:rsidRPr="001A7A41">
        <w:rPr>
          <w:rFonts w:cstheme="minorHAnsi"/>
          <w:color w:val="201F1E"/>
          <w:sz w:val="24"/>
          <w:szCs w:val="24"/>
        </w:rPr>
        <w:t xml:space="preserve"> </w:t>
      </w:r>
      <w:r w:rsidR="00CB7CBE" w:rsidRPr="001A7A41">
        <w:rPr>
          <w:rFonts w:cstheme="minorHAnsi"/>
          <w:color w:val="201F1E"/>
          <w:sz w:val="24"/>
          <w:szCs w:val="24"/>
        </w:rPr>
        <w:lastRenderedPageBreak/>
        <w:t>there a new “data sharing agreement” or clause that an application is to use?</w:t>
      </w:r>
      <w:r w:rsidR="00AB3A19" w:rsidRPr="001A7A41">
        <w:rPr>
          <w:rFonts w:cstheme="minorHAnsi"/>
          <w:color w:val="201F1E"/>
          <w:sz w:val="24"/>
          <w:szCs w:val="24"/>
        </w:rPr>
        <w:t xml:space="preserve">  </w:t>
      </w:r>
      <w:r w:rsidR="00170906" w:rsidRPr="00170906">
        <w:rPr>
          <w:rFonts w:cstheme="minorHAnsi"/>
          <w:color w:val="70AD47" w:themeColor="accent6"/>
          <w:sz w:val="24"/>
          <w:szCs w:val="24"/>
        </w:rPr>
        <w:t>21</w:t>
      </w:r>
      <w:r w:rsidR="00170906" w:rsidRPr="00170906">
        <w:rPr>
          <w:rFonts w:cstheme="minorHAnsi"/>
          <w:color w:val="70AD47" w:themeColor="accent6"/>
          <w:sz w:val="24"/>
          <w:szCs w:val="24"/>
          <w:vertAlign w:val="superscript"/>
        </w:rPr>
        <w:t>st</w:t>
      </w:r>
      <w:r w:rsidR="00170906" w:rsidRPr="00170906">
        <w:rPr>
          <w:rFonts w:cstheme="minorHAnsi"/>
          <w:color w:val="70AD47" w:themeColor="accent6"/>
          <w:sz w:val="24"/>
          <w:szCs w:val="24"/>
        </w:rPr>
        <w:t xml:space="preserve"> CCLC Coordinators noticed a disconnect in past applications regarding data sharing agreements.  Specifically, evidence of an agreement between the school’s leadership and the applicant was lacking.  As such, this RFP language sought to clarify expectations about data sharing agreements and specify that such agreements should be developed between school leadership (i.e. principal) and the applicant. While there is not an explicit agreement or clause provided, it is expected that each school principal will be involved in the proposal development process and have a clear understanding of their school’s responsibilities if the proposal receives funding.  This understanding is to ensure that data regarding students’ academic progress is available to the afterschool program for the purposes of assessing students’ academic performance and program evaluation.  As each applicant may need different data from the schools (i.e. grades, absenteeism, </w:t>
      </w:r>
      <w:r w:rsidR="00A01D2E">
        <w:rPr>
          <w:rFonts w:cstheme="minorHAnsi"/>
          <w:color w:val="70AD47" w:themeColor="accent6"/>
          <w:sz w:val="24"/>
          <w:szCs w:val="24"/>
        </w:rPr>
        <w:t>GSA,</w:t>
      </w:r>
      <w:r w:rsidR="00170906" w:rsidRPr="00170906">
        <w:rPr>
          <w:rFonts w:cstheme="minorHAnsi"/>
          <w:color w:val="70AD47" w:themeColor="accent6"/>
          <w:sz w:val="24"/>
          <w:szCs w:val="24"/>
        </w:rPr>
        <w:t xml:space="preserve"> benchmark data, etc.), 21</w:t>
      </w:r>
      <w:r w:rsidR="00170906" w:rsidRPr="00170906">
        <w:rPr>
          <w:rFonts w:cstheme="minorHAnsi"/>
          <w:color w:val="70AD47" w:themeColor="accent6"/>
          <w:sz w:val="24"/>
          <w:szCs w:val="24"/>
          <w:vertAlign w:val="superscript"/>
        </w:rPr>
        <w:t>st</w:t>
      </w:r>
      <w:r w:rsidR="00170906" w:rsidRPr="00170906">
        <w:rPr>
          <w:rFonts w:cstheme="minorHAnsi"/>
          <w:color w:val="70AD47" w:themeColor="accent6"/>
          <w:sz w:val="24"/>
          <w:szCs w:val="24"/>
        </w:rPr>
        <w:t xml:space="preserve"> CCLC has not issued standard language for the MOU.</w:t>
      </w:r>
      <w:r w:rsidR="00170906" w:rsidRPr="00170906">
        <w:rPr>
          <w:rFonts w:ascii="Times New Roman" w:hAnsi="Times New Roman" w:cs="Times New Roman"/>
          <w:color w:val="70AD47" w:themeColor="accent6"/>
          <w:sz w:val="24"/>
          <w:szCs w:val="24"/>
        </w:rPr>
        <w:t xml:space="preserve">  </w:t>
      </w:r>
    </w:p>
    <w:p w14:paraId="44CF879C" w14:textId="14C374EB" w:rsidR="00412983" w:rsidRPr="00083FF6" w:rsidRDefault="009808CC" w:rsidP="00366AC8">
      <w:pPr>
        <w:ind w:left="720" w:hanging="630"/>
        <w:jc w:val="both"/>
        <w:rPr>
          <w:rFonts w:cstheme="minorHAnsi"/>
          <w:color w:val="70AD47" w:themeColor="accent6"/>
          <w:sz w:val="24"/>
          <w:szCs w:val="24"/>
        </w:rPr>
      </w:pPr>
      <w:r w:rsidRPr="00B54EB2">
        <w:rPr>
          <w:rFonts w:cstheme="minorHAnsi"/>
          <w:sz w:val="24"/>
          <w:szCs w:val="24"/>
        </w:rPr>
        <w:t xml:space="preserve">9. </w:t>
      </w:r>
      <w:r w:rsidR="00AC33BE" w:rsidRPr="00B54EB2">
        <w:rPr>
          <w:rFonts w:cstheme="minorHAnsi"/>
          <w:sz w:val="24"/>
          <w:szCs w:val="24"/>
        </w:rPr>
        <w:t>What does it mean in the RFP General Application Guidelines, “All proposals become the property of the State of West Virginia</w:t>
      </w:r>
      <w:r w:rsidR="00003369" w:rsidRPr="00B54EB2">
        <w:rPr>
          <w:rFonts w:cstheme="minorHAnsi"/>
          <w:sz w:val="24"/>
          <w:szCs w:val="24"/>
        </w:rPr>
        <w:t xml:space="preserve">?”  </w:t>
      </w:r>
      <w:r w:rsidR="00412983" w:rsidRPr="00083FF6">
        <w:rPr>
          <w:rFonts w:cstheme="minorHAnsi"/>
          <w:color w:val="70AD47" w:themeColor="accent6"/>
          <w:sz w:val="24"/>
          <w:szCs w:val="24"/>
        </w:rPr>
        <w:t>WVDE reserves the right to use the proposals or parts of the proposals, primarily to provide technical assistance or training to staff, peer reviewers, subgrantees, or applicants. WVDE will also list top scoring applications on the WVDE 21</w:t>
      </w:r>
      <w:r w:rsidR="00412983" w:rsidRPr="00083FF6">
        <w:rPr>
          <w:rFonts w:cstheme="minorHAnsi"/>
          <w:color w:val="70AD47" w:themeColor="accent6"/>
          <w:sz w:val="24"/>
          <w:szCs w:val="24"/>
          <w:vertAlign w:val="superscript"/>
        </w:rPr>
        <w:t>st</w:t>
      </w:r>
      <w:r w:rsidR="00412983" w:rsidRPr="00083FF6">
        <w:rPr>
          <w:rFonts w:cstheme="minorHAnsi"/>
          <w:color w:val="70AD47" w:themeColor="accent6"/>
          <w:sz w:val="24"/>
          <w:szCs w:val="24"/>
        </w:rPr>
        <w:t xml:space="preserve"> CCLC website as examples.  Should a </w:t>
      </w:r>
      <w:r w:rsidR="00393FAA">
        <w:rPr>
          <w:rFonts w:cstheme="minorHAnsi"/>
          <w:color w:val="70AD47" w:themeColor="accent6"/>
          <w:sz w:val="24"/>
          <w:szCs w:val="24"/>
        </w:rPr>
        <w:t>Freedom of Information</w:t>
      </w:r>
      <w:r w:rsidR="00544AD2">
        <w:rPr>
          <w:rFonts w:cstheme="minorHAnsi"/>
          <w:color w:val="70AD47" w:themeColor="accent6"/>
          <w:sz w:val="24"/>
          <w:szCs w:val="24"/>
        </w:rPr>
        <w:t xml:space="preserve"> (FOIA)</w:t>
      </w:r>
      <w:r w:rsidR="00412983" w:rsidRPr="00083FF6">
        <w:rPr>
          <w:rFonts w:cstheme="minorHAnsi"/>
          <w:color w:val="70AD47" w:themeColor="accent6"/>
          <w:sz w:val="24"/>
          <w:szCs w:val="24"/>
        </w:rPr>
        <w:t xml:space="preserve"> request for applications be sought or other entity, such as a state elected senator or representative or federal agency, request applications, WVDE would provide such documents.  WVDE will not use the proposals to develop other grant applications or proposals.</w:t>
      </w:r>
    </w:p>
    <w:p w14:paraId="34A99005" w14:textId="77777777" w:rsidR="00064B00" w:rsidRPr="00064B00" w:rsidRDefault="00267AC7" w:rsidP="00366AC8">
      <w:pPr>
        <w:ind w:left="720" w:hanging="630"/>
        <w:jc w:val="both"/>
        <w:rPr>
          <w:rFonts w:cstheme="minorHAnsi"/>
          <w:color w:val="70AD47" w:themeColor="accent6"/>
        </w:rPr>
      </w:pPr>
      <w:r w:rsidRPr="0073145A">
        <w:rPr>
          <w:rFonts w:cstheme="minorHAnsi"/>
          <w:sz w:val="24"/>
          <w:szCs w:val="24"/>
        </w:rPr>
        <w:t>10</w:t>
      </w:r>
      <w:r w:rsidR="0073145A">
        <w:rPr>
          <w:rFonts w:cstheme="minorHAnsi"/>
          <w:sz w:val="24"/>
          <w:szCs w:val="24"/>
        </w:rPr>
        <w:t>.</w:t>
      </w:r>
      <w:r w:rsidRPr="0073145A">
        <w:rPr>
          <w:rFonts w:cstheme="minorHAnsi"/>
          <w:sz w:val="24"/>
          <w:szCs w:val="24"/>
        </w:rPr>
        <w:t xml:space="preserve"> </w:t>
      </w:r>
      <w:r w:rsidR="00514925" w:rsidRPr="0073145A">
        <w:rPr>
          <w:rFonts w:cstheme="minorHAnsi"/>
          <w:sz w:val="24"/>
          <w:szCs w:val="24"/>
        </w:rPr>
        <w:t xml:space="preserve">Do students have to be enrolled in the public school system to be part of the afterschool program? </w:t>
      </w:r>
      <w:r w:rsidR="00064B00" w:rsidRPr="00064B00">
        <w:rPr>
          <w:rFonts w:cstheme="minorHAnsi"/>
          <w:color w:val="70AD47" w:themeColor="accent6"/>
        </w:rPr>
        <w:t>No, any at-risk student including those that attend homeschool or private schools may participate.  The students, however, must be in the attendance area of the school that is being served with this grant.  That school, of course, must either be a Title 1 school or have a population which is 50% or more low SES.</w:t>
      </w:r>
    </w:p>
    <w:p w14:paraId="51B31E82" w14:textId="67392A65" w:rsidR="00A91313" w:rsidRPr="0073145A" w:rsidRDefault="00514925" w:rsidP="00366AC8">
      <w:pPr>
        <w:pStyle w:val="NormalWeb"/>
        <w:shd w:val="clear" w:color="auto" w:fill="FFFFFF"/>
        <w:ind w:left="720" w:hanging="630"/>
        <w:jc w:val="both"/>
        <w:rPr>
          <w:rFonts w:asciiTheme="minorHAnsi" w:hAnsiTheme="minorHAnsi" w:cstheme="minorHAnsi"/>
          <w:color w:val="70AD47" w:themeColor="accent6"/>
          <w:sz w:val="24"/>
          <w:szCs w:val="24"/>
        </w:rPr>
      </w:pPr>
      <w:r w:rsidRPr="0073145A">
        <w:rPr>
          <w:rFonts w:asciiTheme="minorHAnsi" w:hAnsiTheme="minorHAnsi" w:cstheme="minorHAnsi"/>
          <w:color w:val="201F1E"/>
          <w:sz w:val="24"/>
          <w:szCs w:val="24"/>
        </w:rPr>
        <w:t>11</w:t>
      </w:r>
      <w:r w:rsidR="00752C67" w:rsidRPr="0073145A">
        <w:rPr>
          <w:rFonts w:asciiTheme="minorHAnsi" w:hAnsiTheme="minorHAnsi" w:cstheme="minorHAnsi"/>
          <w:color w:val="201F1E"/>
          <w:sz w:val="24"/>
          <w:szCs w:val="24"/>
        </w:rPr>
        <w:t xml:space="preserve">. May a cook be hired to provide meals for the afterschool program? </w:t>
      </w:r>
      <w:r w:rsidR="00752C67" w:rsidRPr="0073145A">
        <w:rPr>
          <w:rFonts w:asciiTheme="minorHAnsi" w:hAnsiTheme="minorHAnsi" w:cstheme="minorHAnsi"/>
          <w:color w:val="70AD47" w:themeColor="accent6"/>
          <w:sz w:val="24"/>
          <w:szCs w:val="24"/>
        </w:rPr>
        <w:t>Yes</w:t>
      </w:r>
    </w:p>
    <w:p w14:paraId="347A77D8" w14:textId="77777777" w:rsidR="00752C67" w:rsidRPr="0073145A" w:rsidRDefault="00752C67" w:rsidP="00366AC8">
      <w:pPr>
        <w:pStyle w:val="NormalWeb"/>
        <w:shd w:val="clear" w:color="auto" w:fill="FFFFFF"/>
        <w:ind w:left="720" w:hanging="630"/>
        <w:jc w:val="both"/>
        <w:rPr>
          <w:rFonts w:asciiTheme="minorHAnsi" w:hAnsiTheme="minorHAnsi" w:cstheme="minorHAnsi"/>
          <w:color w:val="201F1E"/>
          <w:sz w:val="24"/>
          <w:szCs w:val="24"/>
        </w:rPr>
      </w:pPr>
    </w:p>
    <w:p w14:paraId="1449385F" w14:textId="3CFFC88F" w:rsidR="00752C67" w:rsidRDefault="00752C67" w:rsidP="00366AC8">
      <w:pPr>
        <w:pStyle w:val="NormalWeb"/>
        <w:shd w:val="clear" w:color="auto" w:fill="FFFFFF"/>
        <w:ind w:left="720" w:hanging="630"/>
        <w:jc w:val="both"/>
        <w:rPr>
          <w:rFonts w:asciiTheme="minorHAnsi" w:hAnsiTheme="minorHAnsi" w:cstheme="minorHAnsi"/>
          <w:color w:val="70AD47" w:themeColor="accent6"/>
          <w:sz w:val="24"/>
          <w:szCs w:val="24"/>
        </w:rPr>
      </w:pPr>
      <w:r w:rsidRPr="0073145A">
        <w:rPr>
          <w:rFonts w:asciiTheme="minorHAnsi" w:hAnsiTheme="minorHAnsi" w:cstheme="minorHAnsi"/>
          <w:color w:val="201F1E"/>
          <w:sz w:val="24"/>
          <w:szCs w:val="24"/>
        </w:rPr>
        <w:t xml:space="preserve">12. May Saturdays be used for parent engagement activities? </w:t>
      </w:r>
      <w:r w:rsidRPr="0073145A">
        <w:rPr>
          <w:rFonts w:asciiTheme="minorHAnsi" w:hAnsiTheme="minorHAnsi" w:cstheme="minorHAnsi"/>
          <w:color w:val="70AD47" w:themeColor="accent6"/>
          <w:sz w:val="24"/>
          <w:szCs w:val="24"/>
        </w:rPr>
        <w:t xml:space="preserve">Yes, </w:t>
      </w:r>
      <w:r w:rsidR="006613C7" w:rsidRPr="0073145A">
        <w:rPr>
          <w:rFonts w:asciiTheme="minorHAnsi" w:hAnsiTheme="minorHAnsi" w:cstheme="minorHAnsi"/>
          <w:color w:val="70AD47" w:themeColor="accent6"/>
          <w:sz w:val="24"/>
          <w:szCs w:val="24"/>
        </w:rPr>
        <w:t xml:space="preserve">family engagement </w:t>
      </w:r>
      <w:r w:rsidRPr="0073145A">
        <w:rPr>
          <w:rFonts w:asciiTheme="minorHAnsi" w:hAnsiTheme="minorHAnsi" w:cstheme="minorHAnsi"/>
          <w:color w:val="70AD47" w:themeColor="accent6"/>
          <w:sz w:val="24"/>
          <w:szCs w:val="24"/>
        </w:rPr>
        <w:t>programming</w:t>
      </w:r>
      <w:r w:rsidR="006613C7" w:rsidRPr="0073145A">
        <w:rPr>
          <w:rFonts w:asciiTheme="minorHAnsi" w:hAnsiTheme="minorHAnsi" w:cstheme="minorHAnsi"/>
          <w:color w:val="70AD47" w:themeColor="accent6"/>
          <w:sz w:val="24"/>
          <w:szCs w:val="24"/>
        </w:rPr>
        <w:t xml:space="preserve"> or the occasional out-of-school time enrichment programming for students</w:t>
      </w:r>
      <w:r w:rsidR="00810C01">
        <w:rPr>
          <w:rFonts w:asciiTheme="minorHAnsi" w:hAnsiTheme="minorHAnsi" w:cstheme="minorHAnsi"/>
          <w:color w:val="70AD47" w:themeColor="accent6"/>
          <w:sz w:val="24"/>
          <w:szCs w:val="24"/>
        </w:rPr>
        <w:t xml:space="preserve"> may be on Saturdays</w:t>
      </w:r>
      <w:r w:rsidR="006613C7" w:rsidRPr="0073145A">
        <w:rPr>
          <w:rFonts w:asciiTheme="minorHAnsi" w:hAnsiTheme="minorHAnsi" w:cstheme="minorHAnsi"/>
          <w:color w:val="70AD47" w:themeColor="accent6"/>
          <w:sz w:val="24"/>
          <w:szCs w:val="24"/>
        </w:rPr>
        <w:t>.</w:t>
      </w:r>
    </w:p>
    <w:p w14:paraId="6BEC86B8" w14:textId="77777777" w:rsidR="00A84B61" w:rsidRPr="0073145A" w:rsidRDefault="00A84B61" w:rsidP="00366AC8">
      <w:pPr>
        <w:pStyle w:val="NormalWeb"/>
        <w:shd w:val="clear" w:color="auto" w:fill="FFFFFF"/>
        <w:ind w:left="720" w:hanging="630"/>
        <w:jc w:val="both"/>
        <w:rPr>
          <w:rFonts w:asciiTheme="minorHAnsi" w:hAnsiTheme="minorHAnsi" w:cstheme="minorHAnsi"/>
          <w:color w:val="70AD47" w:themeColor="accent6"/>
          <w:sz w:val="24"/>
          <w:szCs w:val="24"/>
        </w:rPr>
      </w:pPr>
    </w:p>
    <w:p w14:paraId="5A738BED" w14:textId="0505DB4F" w:rsidR="00EA4642" w:rsidRDefault="00156A06" w:rsidP="00366AC8">
      <w:pPr>
        <w:pStyle w:val="NormalWeb"/>
        <w:shd w:val="clear" w:color="auto" w:fill="FFFFFF"/>
        <w:ind w:left="720" w:hanging="630"/>
        <w:jc w:val="both"/>
        <w:rPr>
          <w:rFonts w:ascii="Times New Roman" w:hAnsi="Times New Roman" w:cs="Times New Roman"/>
          <w:color w:val="70AD47" w:themeColor="accent6"/>
          <w:sz w:val="24"/>
          <w:szCs w:val="24"/>
        </w:rPr>
      </w:pPr>
      <w:r>
        <w:rPr>
          <w:rFonts w:ascii="Times New Roman" w:hAnsi="Times New Roman" w:cs="Times New Roman"/>
          <w:color w:val="201F1E"/>
          <w:sz w:val="24"/>
          <w:szCs w:val="24"/>
        </w:rPr>
        <w:t xml:space="preserve">13. Who is considered the community in a virtual program?  </w:t>
      </w:r>
      <w:r w:rsidRPr="00A5031F">
        <w:rPr>
          <w:rFonts w:ascii="Times New Roman" w:hAnsi="Times New Roman" w:cs="Times New Roman"/>
          <w:color w:val="70AD47" w:themeColor="accent6"/>
          <w:sz w:val="24"/>
          <w:szCs w:val="24"/>
        </w:rPr>
        <w:t>Virtual programs must utilize partners that are virtual as well</w:t>
      </w:r>
      <w:r w:rsidR="00E84DD9" w:rsidRPr="00A5031F">
        <w:rPr>
          <w:rFonts w:ascii="Times New Roman" w:hAnsi="Times New Roman" w:cs="Times New Roman"/>
          <w:color w:val="70AD47" w:themeColor="accent6"/>
          <w:sz w:val="24"/>
          <w:szCs w:val="24"/>
        </w:rPr>
        <w:t xml:space="preserve">, especially if their students and families are only virtual and are not meeting in </w:t>
      </w:r>
      <w:r w:rsidR="00A5031F" w:rsidRPr="00A5031F">
        <w:rPr>
          <w:rFonts w:ascii="Times New Roman" w:hAnsi="Times New Roman" w:cs="Times New Roman"/>
          <w:color w:val="70AD47" w:themeColor="accent6"/>
          <w:sz w:val="24"/>
          <w:szCs w:val="24"/>
        </w:rPr>
        <w:t>person.</w:t>
      </w:r>
    </w:p>
    <w:p w14:paraId="5A738976" w14:textId="77777777" w:rsidR="00107D30" w:rsidRDefault="00107D30" w:rsidP="00366AC8">
      <w:pPr>
        <w:pStyle w:val="NormalWeb"/>
        <w:shd w:val="clear" w:color="auto" w:fill="FFFFFF"/>
        <w:ind w:left="720" w:hanging="630"/>
        <w:jc w:val="both"/>
        <w:rPr>
          <w:rFonts w:ascii="Times New Roman" w:hAnsi="Times New Roman" w:cs="Times New Roman"/>
          <w:sz w:val="24"/>
          <w:szCs w:val="24"/>
        </w:rPr>
      </w:pPr>
    </w:p>
    <w:p w14:paraId="06000248" w14:textId="4A37F724" w:rsidR="00107D30" w:rsidRDefault="00107D30" w:rsidP="00366AC8">
      <w:pPr>
        <w:pStyle w:val="NormalWeb"/>
        <w:shd w:val="clear" w:color="auto" w:fill="FFFFFF"/>
        <w:ind w:left="720" w:hanging="630"/>
        <w:jc w:val="both"/>
        <w:rPr>
          <w:rFonts w:ascii="Times New Roman" w:hAnsi="Times New Roman" w:cs="Times New Roman"/>
          <w:color w:val="70AD47" w:themeColor="accent6"/>
          <w:sz w:val="24"/>
          <w:szCs w:val="24"/>
        </w:rPr>
      </w:pPr>
      <w:r>
        <w:rPr>
          <w:rFonts w:ascii="Times New Roman" w:hAnsi="Times New Roman" w:cs="Times New Roman"/>
          <w:sz w:val="24"/>
          <w:szCs w:val="24"/>
        </w:rPr>
        <w:t xml:space="preserve">14. May a joint partner share </w:t>
      </w:r>
      <w:r w:rsidR="00813E41">
        <w:rPr>
          <w:rFonts w:ascii="Times New Roman" w:hAnsi="Times New Roman" w:cs="Times New Roman"/>
          <w:sz w:val="24"/>
          <w:szCs w:val="24"/>
        </w:rPr>
        <w:t xml:space="preserve">grant </w:t>
      </w:r>
      <w:r w:rsidR="00825BC0">
        <w:rPr>
          <w:rFonts w:ascii="Times New Roman" w:hAnsi="Times New Roman" w:cs="Times New Roman"/>
          <w:sz w:val="24"/>
          <w:szCs w:val="24"/>
        </w:rPr>
        <w:t>funds</w:t>
      </w:r>
      <w:r>
        <w:rPr>
          <w:rFonts w:ascii="Times New Roman" w:hAnsi="Times New Roman" w:cs="Times New Roman"/>
          <w:sz w:val="24"/>
          <w:szCs w:val="24"/>
        </w:rPr>
        <w:t xml:space="preserve">?  </w:t>
      </w:r>
      <w:r w:rsidRPr="00813E41">
        <w:rPr>
          <w:rFonts w:ascii="Times New Roman" w:hAnsi="Times New Roman" w:cs="Times New Roman"/>
          <w:color w:val="70AD47" w:themeColor="accent6"/>
          <w:sz w:val="24"/>
          <w:szCs w:val="24"/>
        </w:rPr>
        <w:t xml:space="preserve">Yes, the description on page 4 under Partnership and co-Applicant should read, “The </w:t>
      </w:r>
      <w:r w:rsidR="00C75890" w:rsidRPr="00813E41">
        <w:rPr>
          <w:rFonts w:ascii="Times New Roman" w:hAnsi="Times New Roman" w:cs="Times New Roman"/>
          <w:color w:val="70AD47" w:themeColor="accent6"/>
          <w:sz w:val="24"/>
          <w:szCs w:val="24"/>
        </w:rPr>
        <w:t xml:space="preserve">purpose of the co-applicant is to </w:t>
      </w:r>
      <w:r w:rsidR="00464BC0" w:rsidRPr="00813E41">
        <w:rPr>
          <w:rFonts w:ascii="Times New Roman" w:hAnsi="Times New Roman" w:cs="Times New Roman"/>
          <w:color w:val="70AD47" w:themeColor="accent6"/>
          <w:sz w:val="24"/>
          <w:szCs w:val="24"/>
        </w:rPr>
        <w:t>provide support</w:t>
      </w:r>
      <w:r w:rsidR="00C75890" w:rsidRPr="00813E41">
        <w:rPr>
          <w:rFonts w:ascii="Times New Roman" w:hAnsi="Times New Roman" w:cs="Times New Roman"/>
          <w:color w:val="70AD47" w:themeColor="accent6"/>
          <w:sz w:val="24"/>
          <w:szCs w:val="24"/>
        </w:rPr>
        <w:t xml:space="preserve"> to enhance program service and </w:t>
      </w:r>
      <w:r w:rsidR="00464BC0" w:rsidRPr="00813E41">
        <w:rPr>
          <w:rFonts w:ascii="Times New Roman" w:hAnsi="Times New Roman" w:cs="Times New Roman"/>
          <w:color w:val="70AD47" w:themeColor="accent6"/>
          <w:sz w:val="24"/>
          <w:szCs w:val="24"/>
        </w:rPr>
        <w:t xml:space="preserve">activities and </w:t>
      </w:r>
      <w:r w:rsidR="00464BC0" w:rsidRPr="00813E41">
        <w:rPr>
          <w:rFonts w:ascii="Times New Roman" w:hAnsi="Times New Roman" w:cs="Times New Roman"/>
          <w:b/>
          <w:bCs/>
          <w:color w:val="70AD47" w:themeColor="accent6"/>
          <w:sz w:val="24"/>
          <w:szCs w:val="24"/>
        </w:rPr>
        <w:t>may share</w:t>
      </w:r>
      <w:r w:rsidR="00464BC0" w:rsidRPr="00813E41">
        <w:rPr>
          <w:rFonts w:ascii="Times New Roman" w:hAnsi="Times New Roman" w:cs="Times New Roman"/>
          <w:color w:val="70AD47" w:themeColor="accent6"/>
          <w:sz w:val="24"/>
          <w:szCs w:val="24"/>
        </w:rPr>
        <w:t xml:space="preserve"> jointly in grant funds</w:t>
      </w:r>
      <w:r w:rsidR="005E4B4C">
        <w:rPr>
          <w:rFonts w:ascii="Times New Roman" w:hAnsi="Times New Roman" w:cs="Times New Roman"/>
          <w:color w:val="70AD47" w:themeColor="accent6"/>
          <w:sz w:val="24"/>
          <w:szCs w:val="24"/>
        </w:rPr>
        <w:t>.</w:t>
      </w:r>
      <w:r w:rsidR="00813E41">
        <w:rPr>
          <w:rFonts w:ascii="Times New Roman" w:hAnsi="Times New Roman" w:cs="Times New Roman"/>
          <w:color w:val="70AD47" w:themeColor="accent6"/>
          <w:sz w:val="24"/>
          <w:szCs w:val="24"/>
        </w:rPr>
        <w:t>”</w:t>
      </w:r>
    </w:p>
    <w:p w14:paraId="06C09901" w14:textId="77777777" w:rsidR="005E4B4C" w:rsidRDefault="005E4B4C" w:rsidP="00366AC8">
      <w:pPr>
        <w:pStyle w:val="NormalWeb"/>
        <w:shd w:val="clear" w:color="auto" w:fill="FFFFFF"/>
        <w:ind w:left="720" w:hanging="630"/>
        <w:jc w:val="both"/>
        <w:rPr>
          <w:rFonts w:ascii="Times New Roman" w:hAnsi="Times New Roman" w:cs="Times New Roman"/>
          <w:color w:val="70AD47" w:themeColor="accent6"/>
          <w:sz w:val="24"/>
          <w:szCs w:val="24"/>
        </w:rPr>
      </w:pPr>
    </w:p>
    <w:sectPr w:rsidR="005E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512C"/>
    <w:multiLevelType w:val="hybridMultilevel"/>
    <w:tmpl w:val="9734314C"/>
    <w:lvl w:ilvl="0" w:tplc="C0506C52">
      <w:start w:val="1"/>
      <w:numFmt w:val="bullet"/>
      <w:lvlText w:val="•"/>
      <w:lvlJc w:val="left"/>
      <w:pPr>
        <w:tabs>
          <w:tab w:val="num" w:pos="720"/>
        </w:tabs>
        <w:ind w:left="720" w:hanging="360"/>
      </w:pPr>
      <w:rPr>
        <w:rFonts w:ascii="Arial" w:hAnsi="Arial" w:hint="default"/>
      </w:rPr>
    </w:lvl>
    <w:lvl w:ilvl="1" w:tplc="F15C0368" w:tentative="1">
      <w:start w:val="1"/>
      <w:numFmt w:val="bullet"/>
      <w:lvlText w:val="•"/>
      <w:lvlJc w:val="left"/>
      <w:pPr>
        <w:tabs>
          <w:tab w:val="num" w:pos="1440"/>
        </w:tabs>
        <w:ind w:left="1440" w:hanging="360"/>
      </w:pPr>
      <w:rPr>
        <w:rFonts w:ascii="Arial" w:hAnsi="Arial" w:hint="default"/>
      </w:rPr>
    </w:lvl>
    <w:lvl w:ilvl="2" w:tplc="F44227B2" w:tentative="1">
      <w:start w:val="1"/>
      <w:numFmt w:val="bullet"/>
      <w:lvlText w:val="•"/>
      <w:lvlJc w:val="left"/>
      <w:pPr>
        <w:tabs>
          <w:tab w:val="num" w:pos="2160"/>
        </w:tabs>
        <w:ind w:left="2160" w:hanging="360"/>
      </w:pPr>
      <w:rPr>
        <w:rFonts w:ascii="Arial" w:hAnsi="Arial" w:hint="default"/>
      </w:rPr>
    </w:lvl>
    <w:lvl w:ilvl="3" w:tplc="63F07D30" w:tentative="1">
      <w:start w:val="1"/>
      <w:numFmt w:val="bullet"/>
      <w:lvlText w:val="•"/>
      <w:lvlJc w:val="left"/>
      <w:pPr>
        <w:tabs>
          <w:tab w:val="num" w:pos="2880"/>
        </w:tabs>
        <w:ind w:left="2880" w:hanging="360"/>
      </w:pPr>
      <w:rPr>
        <w:rFonts w:ascii="Arial" w:hAnsi="Arial" w:hint="default"/>
      </w:rPr>
    </w:lvl>
    <w:lvl w:ilvl="4" w:tplc="013A80EA" w:tentative="1">
      <w:start w:val="1"/>
      <w:numFmt w:val="bullet"/>
      <w:lvlText w:val="•"/>
      <w:lvlJc w:val="left"/>
      <w:pPr>
        <w:tabs>
          <w:tab w:val="num" w:pos="3600"/>
        </w:tabs>
        <w:ind w:left="3600" w:hanging="360"/>
      </w:pPr>
      <w:rPr>
        <w:rFonts w:ascii="Arial" w:hAnsi="Arial" w:hint="default"/>
      </w:rPr>
    </w:lvl>
    <w:lvl w:ilvl="5" w:tplc="2E2E0E9E" w:tentative="1">
      <w:start w:val="1"/>
      <w:numFmt w:val="bullet"/>
      <w:lvlText w:val="•"/>
      <w:lvlJc w:val="left"/>
      <w:pPr>
        <w:tabs>
          <w:tab w:val="num" w:pos="4320"/>
        </w:tabs>
        <w:ind w:left="4320" w:hanging="360"/>
      </w:pPr>
      <w:rPr>
        <w:rFonts w:ascii="Arial" w:hAnsi="Arial" w:hint="default"/>
      </w:rPr>
    </w:lvl>
    <w:lvl w:ilvl="6" w:tplc="1CE00436" w:tentative="1">
      <w:start w:val="1"/>
      <w:numFmt w:val="bullet"/>
      <w:lvlText w:val="•"/>
      <w:lvlJc w:val="left"/>
      <w:pPr>
        <w:tabs>
          <w:tab w:val="num" w:pos="5040"/>
        </w:tabs>
        <w:ind w:left="5040" w:hanging="360"/>
      </w:pPr>
      <w:rPr>
        <w:rFonts w:ascii="Arial" w:hAnsi="Arial" w:hint="default"/>
      </w:rPr>
    </w:lvl>
    <w:lvl w:ilvl="7" w:tplc="D9147DD8" w:tentative="1">
      <w:start w:val="1"/>
      <w:numFmt w:val="bullet"/>
      <w:lvlText w:val="•"/>
      <w:lvlJc w:val="left"/>
      <w:pPr>
        <w:tabs>
          <w:tab w:val="num" w:pos="5760"/>
        </w:tabs>
        <w:ind w:left="5760" w:hanging="360"/>
      </w:pPr>
      <w:rPr>
        <w:rFonts w:ascii="Arial" w:hAnsi="Arial" w:hint="default"/>
      </w:rPr>
    </w:lvl>
    <w:lvl w:ilvl="8" w:tplc="6A0EFD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A76531"/>
    <w:multiLevelType w:val="hybridMultilevel"/>
    <w:tmpl w:val="86DABE92"/>
    <w:lvl w:ilvl="0" w:tplc="298C5350">
      <w:start w:val="1"/>
      <w:numFmt w:val="decimal"/>
      <w:lvlText w:val="%1."/>
      <w:lvlJc w:val="left"/>
      <w:pPr>
        <w:ind w:left="450" w:hanging="360"/>
      </w:pPr>
      <w:rPr>
        <w:rFonts w:hint="default"/>
        <w:color w:val="201F1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630207381">
    <w:abstractNumId w:val="0"/>
  </w:num>
  <w:num w:numId="2" w16cid:durableId="203372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23"/>
    <w:rsid w:val="00002C32"/>
    <w:rsid w:val="00003369"/>
    <w:rsid w:val="00024A12"/>
    <w:rsid w:val="000373D3"/>
    <w:rsid w:val="00055C16"/>
    <w:rsid w:val="00064B00"/>
    <w:rsid w:val="00083FF6"/>
    <w:rsid w:val="000D30A7"/>
    <w:rsid w:val="00107D30"/>
    <w:rsid w:val="001347C7"/>
    <w:rsid w:val="00134D2E"/>
    <w:rsid w:val="00156A06"/>
    <w:rsid w:val="00170906"/>
    <w:rsid w:val="001A222B"/>
    <w:rsid w:val="001A4C72"/>
    <w:rsid w:val="001A7A41"/>
    <w:rsid w:val="001C3651"/>
    <w:rsid w:val="001D2EA4"/>
    <w:rsid w:val="001D4055"/>
    <w:rsid w:val="001F07E4"/>
    <w:rsid w:val="00201903"/>
    <w:rsid w:val="0021293B"/>
    <w:rsid w:val="0026663A"/>
    <w:rsid w:val="00267AC7"/>
    <w:rsid w:val="00273D33"/>
    <w:rsid w:val="00297497"/>
    <w:rsid w:val="002C3B13"/>
    <w:rsid w:val="002D1E6F"/>
    <w:rsid w:val="002D342B"/>
    <w:rsid w:val="002F27D0"/>
    <w:rsid w:val="0033156A"/>
    <w:rsid w:val="00354BF2"/>
    <w:rsid w:val="00366AC8"/>
    <w:rsid w:val="00393FAA"/>
    <w:rsid w:val="003A11BD"/>
    <w:rsid w:val="003A63B1"/>
    <w:rsid w:val="003C3C9C"/>
    <w:rsid w:val="00412983"/>
    <w:rsid w:val="00464BC0"/>
    <w:rsid w:val="004B4780"/>
    <w:rsid w:val="004B7BC3"/>
    <w:rsid w:val="00503F96"/>
    <w:rsid w:val="00514925"/>
    <w:rsid w:val="00544AD2"/>
    <w:rsid w:val="00557C93"/>
    <w:rsid w:val="005B6105"/>
    <w:rsid w:val="005D02F3"/>
    <w:rsid w:val="005E1622"/>
    <w:rsid w:val="005E4B4C"/>
    <w:rsid w:val="005E55FD"/>
    <w:rsid w:val="00630811"/>
    <w:rsid w:val="00631BAA"/>
    <w:rsid w:val="00644617"/>
    <w:rsid w:val="006613C7"/>
    <w:rsid w:val="0068150E"/>
    <w:rsid w:val="006C2895"/>
    <w:rsid w:val="006F2C8F"/>
    <w:rsid w:val="00722F2B"/>
    <w:rsid w:val="0073145A"/>
    <w:rsid w:val="00752C67"/>
    <w:rsid w:val="0078630A"/>
    <w:rsid w:val="00792EB6"/>
    <w:rsid w:val="007E0295"/>
    <w:rsid w:val="007F1B2F"/>
    <w:rsid w:val="0080103F"/>
    <w:rsid w:val="00810C01"/>
    <w:rsid w:val="00813E41"/>
    <w:rsid w:val="008207DE"/>
    <w:rsid w:val="008212C7"/>
    <w:rsid w:val="00825BC0"/>
    <w:rsid w:val="00841440"/>
    <w:rsid w:val="008A052C"/>
    <w:rsid w:val="008D369F"/>
    <w:rsid w:val="008E010B"/>
    <w:rsid w:val="00901579"/>
    <w:rsid w:val="00965312"/>
    <w:rsid w:val="009808CC"/>
    <w:rsid w:val="009A07E1"/>
    <w:rsid w:val="009B2861"/>
    <w:rsid w:val="009C46A5"/>
    <w:rsid w:val="009E28D7"/>
    <w:rsid w:val="009F762F"/>
    <w:rsid w:val="00A01D2E"/>
    <w:rsid w:val="00A222DB"/>
    <w:rsid w:val="00A3187A"/>
    <w:rsid w:val="00A5031F"/>
    <w:rsid w:val="00A84B61"/>
    <w:rsid w:val="00A91313"/>
    <w:rsid w:val="00AA606F"/>
    <w:rsid w:val="00AB3A19"/>
    <w:rsid w:val="00AC33BE"/>
    <w:rsid w:val="00AC465C"/>
    <w:rsid w:val="00B34923"/>
    <w:rsid w:val="00B42596"/>
    <w:rsid w:val="00B44F89"/>
    <w:rsid w:val="00B47708"/>
    <w:rsid w:val="00B47C67"/>
    <w:rsid w:val="00B527BC"/>
    <w:rsid w:val="00B54EB2"/>
    <w:rsid w:val="00B645FA"/>
    <w:rsid w:val="00BD3597"/>
    <w:rsid w:val="00C179DC"/>
    <w:rsid w:val="00C3447D"/>
    <w:rsid w:val="00C75890"/>
    <w:rsid w:val="00C94076"/>
    <w:rsid w:val="00CB7CBE"/>
    <w:rsid w:val="00D43973"/>
    <w:rsid w:val="00DA0C48"/>
    <w:rsid w:val="00DA215E"/>
    <w:rsid w:val="00DF60E1"/>
    <w:rsid w:val="00E01A06"/>
    <w:rsid w:val="00E37202"/>
    <w:rsid w:val="00E47C4A"/>
    <w:rsid w:val="00E53A5E"/>
    <w:rsid w:val="00E84DD9"/>
    <w:rsid w:val="00E91B13"/>
    <w:rsid w:val="00EA4642"/>
    <w:rsid w:val="00EC6B69"/>
    <w:rsid w:val="00F11082"/>
    <w:rsid w:val="00F136D6"/>
    <w:rsid w:val="00F41510"/>
    <w:rsid w:val="00F758EB"/>
    <w:rsid w:val="00FB1322"/>
    <w:rsid w:val="00FC4F84"/>
    <w:rsid w:val="00FC5B05"/>
    <w:rsid w:val="00FC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AFFB"/>
  <w15:chartTrackingRefBased/>
  <w15:docId w15:val="{35AF52BD-8047-4E85-B33D-DE0F48BE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923"/>
    <w:pPr>
      <w:spacing w:after="0" w:line="240" w:lineRule="auto"/>
    </w:pPr>
    <w:rPr>
      <w:rFonts w:ascii="Calibri" w:hAnsi="Calibri" w:cs="Calibri"/>
    </w:rPr>
  </w:style>
  <w:style w:type="character" w:styleId="Hyperlink">
    <w:name w:val="Hyperlink"/>
    <w:basedOn w:val="DefaultParagraphFont"/>
    <w:uiPriority w:val="99"/>
    <w:semiHidden/>
    <w:unhideWhenUsed/>
    <w:rsid w:val="00C3447D"/>
    <w:rPr>
      <w:color w:val="0000FF"/>
      <w:u w:val="single"/>
    </w:rPr>
  </w:style>
  <w:style w:type="paragraph" w:styleId="ListParagraph">
    <w:name w:val="List Paragraph"/>
    <w:basedOn w:val="Normal"/>
    <w:uiPriority w:val="34"/>
    <w:qFormat/>
    <w:rsid w:val="00064B0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30399">
      <w:bodyDiv w:val="1"/>
      <w:marLeft w:val="0"/>
      <w:marRight w:val="0"/>
      <w:marTop w:val="0"/>
      <w:marBottom w:val="0"/>
      <w:divBdr>
        <w:top w:val="none" w:sz="0" w:space="0" w:color="auto"/>
        <w:left w:val="none" w:sz="0" w:space="0" w:color="auto"/>
        <w:bottom w:val="none" w:sz="0" w:space="0" w:color="auto"/>
        <w:right w:val="none" w:sz="0" w:space="0" w:color="auto"/>
      </w:divBdr>
    </w:div>
    <w:div w:id="848955871">
      <w:bodyDiv w:val="1"/>
      <w:marLeft w:val="0"/>
      <w:marRight w:val="0"/>
      <w:marTop w:val="0"/>
      <w:marBottom w:val="0"/>
      <w:divBdr>
        <w:top w:val="none" w:sz="0" w:space="0" w:color="auto"/>
        <w:left w:val="none" w:sz="0" w:space="0" w:color="auto"/>
        <w:bottom w:val="none" w:sz="0" w:space="0" w:color="auto"/>
        <w:right w:val="none" w:sz="0" w:space="0" w:color="auto"/>
      </w:divBdr>
    </w:div>
    <w:div w:id="1261839500">
      <w:bodyDiv w:val="1"/>
      <w:marLeft w:val="0"/>
      <w:marRight w:val="0"/>
      <w:marTop w:val="0"/>
      <w:marBottom w:val="0"/>
      <w:divBdr>
        <w:top w:val="none" w:sz="0" w:space="0" w:color="auto"/>
        <w:left w:val="none" w:sz="0" w:space="0" w:color="auto"/>
        <w:bottom w:val="none" w:sz="0" w:space="0" w:color="auto"/>
        <w:right w:val="none" w:sz="0" w:space="0" w:color="auto"/>
      </w:divBdr>
      <w:divsChild>
        <w:div w:id="1776050615">
          <w:marLeft w:val="360"/>
          <w:marRight w:val="0"/>
          <w:marTop w:val="200"/>
          <w:marBottom w:val="0"/>
          <w:divBdr>
            <w:top w:val="none" w:sz="0" w:space="0" w:color="auto"/>
            <w:left w:val="none" w:sz="0" w:space="0" w:color="auto"/>
            <w:bottom w:val="none" w:sz="0" w:space="0" w:color="auto"/>
            <w:right w:val="none" w:sz="0" w:space="0" w:color="auto"/>
          </w:divBdr>
        </w:div>
      </w:divsChild>
    </w:div>
    <w:div w:id="13754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eis.k12.wv.us/essa/dashboard.html?year=202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A3174C1B8144AA50A1394ECE83C7C" ma:contentTypeVersion="18" ma:contentTypeDescription="Create a new document." ma:contentTypeScope="" ma:versionID="bc7e4096d9eb9994866445fdc22e01de">
  <xsd:schema xmlns:xsd="http://www.w3.org/2001/XMLSchema" xmlns:xs="http://www.w3.org/2001/XMLSchema" xmlns:p="http://schemas.microsoft.com/office/2006/metadata/properties" xmlns:ns2="39282169-5cfa-4001-9002-b922dd550a54" xmlns:ns3="f0a2090e-64ff-4da7-8f0c-cab0399f815a" targetNamespace="http://schemas.microsoft.com/office/2006/metadata/properties" ma:root="true" ma:fieldsID="0308d7efeb05e19514813b63d17d0199" ns2:_="" ns3:_="">
    <xsd:import namespace="39282169-5cfa-4001-9002-b922dd550a54"/>
    <xsd:import namespace="f0a2090e-64ff-4da7-8f0c-cab0399f8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82169-5cfa-4001-9002-b922dd55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a2090e-64ff-4da7-8f0c-cab0399f815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7fbd34-87f2-4eb4-ac81-9295439ea3a1}" ma:internalName="TaxCatchAll" ma:showField="CatchAllData" ma:web="f0a2090e-64ff-4da7-8f0c-cab0399f81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a2090e-64ff-4da7-8f0c-cab0399f815a" xsi:nil="true"/>
    <lcf76f155ced4ddcb4097134ff3c332f xmlns="39282169-5cfa-4001-9002-b922dd550a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137C1E-F635-45AD-A5B1-DC8220E19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82169-5cfa-4001-9002-b922dd550a54"/>
    <ds:schemaRef ds:uri="f0a2090e-64ff-4da7-8f0c-cab0399f8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17F96-8A1A-48B4-942B-CDB3DADA62C3}">
  <ds:schemaRefs>
    <ds:schemaRef ds:uri="http://schemas.microsoft.com/sharepoint/v3/contenttype/forms"/>
  </ds:schemaRefs>
</ds:datastoreItem>
</file>

<file path=customXml/itemProps3.xml><?xml version="1.0" encoding="utf-8"?>
<ds:datastoreItem xmlns:ds="http://schemas.openxmlformats.org/officeDocument/2006/customXml" ds:itemID="{AE46FA3A-3187-4581-9BFC-5C697BEAEABB}">
  <ds:schemaRefs>
    <ds:schemaRef ds:uri="http://schemas.microsoft.com/office/2006/metadata/properties"/>
    <ds:schemaRef ds:uri="http://schemas.microsoft.com/office/infopath/2007/PartnerControls"/>
    <ds:schemaRef ds:uri="f0a2090e-64ff-4da7-8f0c-cab0399f815a"/>
    <ds:schemaRef ds:uri="39282169-5cfa-4001-9002-b922dd550a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WV Department of Education</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Swint</dc:creator>
  <cp:keywords/>
  <dc:description/>
  <cp:lastModifiedBy>Sherry Swint</cp:lastModifiedBy>
  <cp:revision>2</cp:revision>
  <dcterms:created xsi:type="dcterms:W3CDTF">2024-03-12T12:10:00Z</dcterms:created>
  <dcterms:modified xsi:type="dcterms:W3CDTF">2024-03-12T12:10:00Z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2022-03-03T13:08:17Z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de549aac-e537-41a1-8c00-bc859725441c</vt:lpwstr>
  </property>
  <property fmtid="{D5CDD505-2E9C-101B-9397-08002B2CF9AE}" pid="8" name="MSIP_Label_460f4a70-4b6c-4bd4-a002-31edb9c00abe_ContentBits">
    <vt:lpwstr>0</vt:lpwstr>
  </property>
  <property fmtid="{D5CDD505-2E9C-101B-9397-08002B2CF9AE}" pid="9" name="ContentTypeId">
    <vt:lpwstr>0x0101001C7A3174C1B8144AA50A1394ECE83C7C</vt:lpwstr>
  </property>
  <property fmtid="{D5CDD505-2E9C-101B-9397-08002B2CF9AE}" pid="10" name="MediaServiceImageTags">
    <vt:lpwstr/>
  </property>
</Properties>
</file>