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2AC4A" w14:textId="7DDD5839" w:rsidR="0077674B" w:rsidRPr="00205F6A" w:rsidRDefault="00205F6A" w:rsidP="00205F6A">
      <w:pPr>
        <w:pStyle w:val="Heading1"/>
      </w:pPr>
      <w:r w:rsidRPr="00205F6A">
        <w:drawing>
          <wp:anchor distT="0" distB="0" distL="114300" distR="114300" simplePos="0" relativeHeight="251658240" behindDoc="0" locked="0" layoutInCell="1" allowOverlap="1" wp14:anchorId="50EBC1DD" wp14:editId="656310D2">
            <wp:simplePos x="0" y="0"/>
            <wp:positionH relativeFrom="column">
              <wp:posOffset>5036820</wp:posOffset>
            </wp:positionH>
            <wp:positionV relativeFrom="page">
              <wp:posOffset>708660</wp:posOffset>
            </wp:positionV>
            <wp:extent cx="914400" cy="914400"/>
            <wp:effectExtent l="0" t="0" r="0" b="0"/>
            <wp:wrapSquare wrapText="bothSides"/>
            <wp:docPr id="1329788880" name="Picture 1" descr="West 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88880" name="Picture 1" descr="West Virginia Department of Education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77674B" w:rsidRPr="00205F6A">
        <w:t>Indicator 13: Secondary Transition</w:t>
      </w:r>
      <w:r w:rsidR="00A338E6" w:rsidRPr="00205F6A">
        <w:t xml:space="preserve"> </w:t>
      </w:r>
      <w:r w:rsidR="00AA2EB2" w:rsidRPr="00205F6A">
        <w:t>Plan</w:t>
      </w:r>
      <w:r w:rsidRPr="00205F6A">
        <w:br/>
      </w:r>
      <w:r w:rsidR="00A338E6" w:rsidRPr="00425D66">
        <w:rPr>
          <w:rFonts w:ascii="Fira Sans Medium" w:hAnsi="Fira Sans Medium"/>
          <w:b w:val="0"/>
          <w:bCs w:val="0"/>
          <w:i/>
          <w:iCs/>
          <w:sz w:val="28"/>
          <w:szCs w:val="28"/>
        </w:rPr>
        <w:t>Monitoring Process</w:t>
      </w:r>
    </w:p>
    <w:p w14:paraId="0C9869C7" w14:textId="0B7B62DE" w:rsidR="00205F6A" w:rsidRDefault="00205F6A" w:rsidP="00BA0609">
      <w:pPr>
        <w:pStyle w:val="BodyText"/>
      </w:pPr>
      <w:r>
        <w:rPr>
          <w:noProof/>
        </w:rPr>
        <mc:AlternateContent>
          <mc:Choice Requires="wps">
            <w:drawing>
              <wp:anchor distT="0" distB="0" distL="114300" distR="114300" simplePos="0" relativeHeight="251659264" behindDoc="0" locked="0" layoutInCell="1" allowOverlap="1" wp14:anchorId="178CA1A3" wp14:editId="6E94CE91">
                <wp:simplePos x="0" y="0"/>
                <wp:positionH relativeFrom="column">
                  <wp:posOffset>-6350</wp:posOffset>
                </wp:positionH>
                <wp:positionV relativeFrom="paragraph">
                  <wp:posOffset>142289</wp:posOffset>
                </wp:positionV>
                <wp:extent cx="5074571" cy="0"/>
                <wp:effectExtent l="0" t="0" r="5715" b="12700"/>
                <wp:wrapNone/>
                <wp:docPr id="190019285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74571" cy="0"/>
                        </a:xfrm>
                        <a:prstGeom prst="line">
                          <a:avLst/>
                        </a:prstGeom>
                        <a:ln w="12700">
                          <a:solidFill>
                            <a:srgbClr val="E5AD2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486C6" id="Straight Connector 2"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1.2pt" to="399.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" strokecolor="#e5ad23" strokeweight="1pt">
                <v:stroke joinstyle="miter"/>
              </v:line>
            </w:pict>
          </mc:Fallback>
        </mc:AlternateContent>
      </w:r>
    </w:p>
    <w:p w14:paraId="13BBD03B" w14:textId="601479FB" w:rsidR="00A6178A" w:rsidRPr="00366807" w:rsidRDefault="00A6178A" w:rsidP="00BA0609">
      <w:pPr>
        <w:pStyle w:val="BodyText"/>
      </w:pPr>
      <w:r w:rsidRPr="00366807">
        <w:t xml:space="preserve">This is a compliance indicator that measures the percentage of youth with IEPs aged 14 and above with an IEP that includes appropriate measurable postsecondary goals that are annually updated and based upon an age-appropriate transition assessment, transition services, including courses of study, that will reasonably enable the student to meet those postsecondary goals, and annual IEP goals related to the student’s transition service needs. </w:t>
      </w:r>
      <w:r w:rsidR="00131E27" w:rsidRPr="00366807">
        <w:t xml:space="preserve">The </w:t>
      </w:r>
      <w:r w:rsidR="0026443D" w:rsidRPr="00366807">
        <w:t xml:space="preserve">target for this indicator is </w:t>
      </w:r>
      <w:r w:rsidR="008B4A32" w:rsidRPr="00366807">
        <w:t>1</w:t>
      </w:r>
      <w:r w:rsidR="00131E27" w:rsidRPr="00366807">
        <w:t xml:space="preserve">00% compliance on </w:t>
      </w:r>
      <w:r w:rsidR="008B4A32" w:rsidRPr="00366807">
        <w:t>the</w:t>
      </w:r>
      <w:r w:rsidR="00131E27" w:rsidRPr="00366807">
        <w:t xml:space="preserve"> annual Indicator 13 data pull</w:t>
      </w:r>
      <w:r w:rsidR="008B4A32" w:rsidRPr="00366807">
        <w:t xml:space="preserve">. There are a total of ten (10) items reviewed and </w:t>
      </w:r>
      <w:r w:rsidR="008B4A32" w:rsidRPr="00366807">
        <w:rPr>
          <w:b/>
          <w:bCs/>
        </w:rPr>
        <w:t>if any one item is deemed noncompliant, the entire secondary transition plan is considered noncompliant</w:t>
      </w:r>
      <w:r w:rsidR="008B4A32" w:rsidRPr="00366807">
        <w:t>.</w:t>
      </w:r>
    </w:p>
    <w:p w14:paraId="76E13C97" w14:textId="77777777" w:rsidR="0028636C" w:rsidRPr="00366807" w:rsidRDefault="0028636C" w:rsidP="00BA0609">
      <w:pPr>
        <w:pStyle w:val="Heading2"/>
      </w:pPr>
      <w:r w:rsidRPr="00366807">
        <w:t xml:space="preserve">The LEA is </w:t>
      </w:r>
      <w:r w:rsidRPr="00BA0609">
        <w:t>considered noncompliant when the following occurs</w:t>
      </w:r>
      <w:r w:rsidRPr="00366807">
        <w:t>:</w:t>
      </w:r>
    </w:p>
    <w:p w14:paraId="39DE736D" w14:textId="31C52B4A" w:rsidR="0028636C" w:rsidRPr="00366807" w:rsidRDefault="0028636C" w:rsidP="00BA0609">
      <w:pPr>
        <w:pStyle w:val="BodyText"/>
      </w:pPr>
      <w:r w:rsidRPr="00366807">
        <w:t xml:space="preserve">The </w:t>
      </w:r>
      <w:r w:rsidR="004D6909" w:rsidRPr="00366807">
        <w:t>local educational agency (</w:t>
      </w:r>
      <w:r w:rsidRPr="00366807">
        <w:t>LEA</w:t>
      </w:r>
      <w:r w:rsidR="004D6909" w:rsidRPr="00366807">
        <w:t>)</w:t>
      </w:r>
      <w:r w:rsidRPr="00366807">
        <w:t xml:space="preserve"> is identified as having a transition plan that does not contain all the required elements as outlined in federal and</w:t>
      </w:r>
      <w:r w:rsidR="002D29FE" w:rsidRPr="00366807">
        <w:t>/or</w:t>
      </w:r>
      <w:r w:rsidRPr="00366807">
        <w:t xml:space="preserve"> state regulations, including evidence related to:</w:t>
      </w:r>
    </w:p>
    <w:p w14:paraId="25FEFF21" w14:textId="77777777" w:rsidR="0028636C" w:rsidRPr="00230BC5" w:rsidRDefault="0028636C" w:rsidP="00EC5E68">
      <w:pPr>
        <w:pStyle w:val="ListParagraph"/>
        <w:numPr>
          <w:ilvl w:val="1"/>
          <w:numId w:val="8"/>
        </w:numPr>
        <w:spacing w:after="240"/>
        <w:ind w:left="990" w:hanging="270"/>
        <w:rPr>
          <w:rFonts w:ascii="Fira Sans Light" w:hAnsi="Fira Sans Light"/>
          <w:color w:val="000000" w:themeColor="text1"/>
          <w:sz w:val="21"/>
          <w:szCs w:val="21"/>
        </w:rPr>
      </w:pPr>
      <w:r w:rsidRPr="00230BC5">
        <w:rPr>
          <w:rFonts w:ascii="Fira Sans Light" w:hAnsi="Fira Sans Light"/>
          <w:color w:val="000000" w:themeColor="text1"/>
          <w:sz w:val="21"/>
          <w:szCs w:val="21"/>
        </w:rPr>
        <w:t>appropriate measurable post-secondary goals that are annually updated and based upon age-appropriate transition assessments,</w:t>
      </w:r>
    </w:p>
    <w:p w14:paraId="428E695C" w14:textId="77777777" w:rsidR="0028636C" w:rsidRPr="00230BC5" w:rsidRDefault="0028636C" w:rsidP="00EC5E68">
      <w:pPr>
        <w:pStyle w:val="ListParagraph"/>
        <w:numPr>
          <w:ilvl w:val="1"/>
          <w:numId w:val="8"/>
        </w:numPr>
        <w:spacing w:after="240"/>
        <w:ind w:left="990" w:hanging="270"/>
        <w:rPr>
          <w:rFonts w:ascii="Fira Sans Light" w:hAnsi="Fira Sans Light"/>
          <w:color w:val="000000" w:themeColor="text1"/>
          <w:sz w:val="21"/>
          <w:szCs w:val="21"/>
        </w:rPr>
      </w:pPr>
      <w:r w:rsidRPr="00230BC5">
        <w:rPr>
          <w:rFonts w:ascii="Fira Sans Light" w:hAnsi="Fira Sans Light"/>
          <w:color w:val="000000" w:themeColor="text1"/>
          <w:sz w:val="21"/>
          <w:szCs w:val="21"/>
        </w:rPr>
        <w:t>courses of study and transition services that will enable the student to meet their post-secondary goals,</w:t>
      </w:r>
    </w:p>
    <w:p w14:paraId="6C6CB620" w14:textId="77777777" w:rsidR="0028636C" w:rsidRPr="00230BC5" w:rsidRDefault="0028636C" w:rsidP="00EC5E68">
      <w:pPr>
        <w:pStyle w:val="ListParagraph"/>
        <w:numPr>
          <w:ilvl w:val="1"/>
          <w:numId w:val="8"/>
        </w:numPr>
        <w:spacing w:after="240"/>
        <w:ind w:left="990" w:hanging="270"/>
        <w:rPr>
          <w:rFonts w:ascii="Fira Sans Light" w:hAnsi="Fira Sans Light"/>
          <w:color w:val="000000" w:themeColor="text1"/>
          <w:sz w:val="21"/>
          <w:szCs w:val="21"/>
        </w:rPr>
      </w:pPr>
      <w:r w:rsidRPr="00230BC5">
        <w:rPr>
          <w:rFonts w:ascii="Fira Sans Light" w:hAnsi="Fira Sans Light"/>
          <w:color w:val="000000" w:themeColor="text1"/>
          <w:sz w:val="21"/>
          <w:szCs w:val="21"/>
        </w:rPr>
        <w:t>annual IEP goal(s) related to the student’s transition services and needs,</w:t>
      </w:r>
    </w:p>
    <w:p w14:paraId="2193E350" w14:textId="77777777" w:rsidR="0028636C" w:rsidRPr="00230BC5" w:rsidRDefault="0028636C" w:rsidP="00EC5E68">
      <w:pPr>
        <w:pStyle w:val="ListParagraph"/>
        <w:numPr>
          <w:ilvl w:val="1"/>
          <w:numId w:val="8"/>
        </w:numPr>
        <w:spacing w:after="240"/>
        <w:ind w:left="990" w:hanging="270"/>
        <w:rPr>
          <w:rFonts w:ascii="Fira Sans Light" w:hAnsi="Fira Sans Light"/>
          <w:color w:val="000000" w:themeColor="text1"/>
          <w:sz w:val="21"/>
          <w:szCs w:val="21"/>
        </w:rPr>
      </w:pPr>
      <w:r w:rsidRPr="00230BC5">
        <w:rPr>
          <w:rFonts w:ascii="Fira Sans Light" w:hAnsi="Fira Sans Light"/>
          <w:color w:val="000000" w:themeColor="text1"/>
          <w:sz w:val="21"/>
          <w:szCs w:val="21"/>
        </w:rPr>
        <w:t>the student having been invited to the transition meeting, and</w:t>
      </w:r>
    </w:p>
    <w:p w14:paraId="418426F0" w14:textId="16D0771C" w:rsidR="0028636C" w:rsidRPr="00230BC5" w:rsidRDefault="0028636C" w:rsidP="00EC5E68">
      <w:pPr>
        <w:pStyle w:val="ListParagraph"/>
        <w:numPr>
          <w:ilvl w:val="1"/>
          <w:numId w:val="8"/>
        </w:numPr>
        <w:spacing w:after="240"/>
        <w:ind w:left="990" w:hanging="270"/>
        <w:rPr>
          <w:rFonts w:ascii="Fira Sans Light" w:hAnsi="Fira Sans Light"/>
          <w:color w:val="000000" w:themeColor="text1"/>
          <w:sz w:val="21"/>
          <w:szCs w:val="21"/>
        </w:rPr>
      </w:pPr>
      <w:bookmarkStart w:id="0" w:name="_Int_PjXi2sZo"/>
      <w:r w:rsidRPr="00230BC5">
        <w:rPr>
          <w:rFonts w:ascii="Fira Sans Light" w:hAnsi="Fira Sans Light"/>
          <w:color w:val="000000" w:themeColor="text1"/>
          <w:sz w:val="21"/>
          <w:szCs w:val="21"/>
        </w:rPr>
        <w:t>with</w:t>
      </w:r>
      <w:bookmarkEnd w:id="0"/>
      <w:r w:rsidRPr="00230BC5">
        <w:rPr>
          <w:rFonts w:ascii="Fira Sans Light" w:hAnsi="Fira Sans Light"/>
          <w:color w:val="000000" w:themeColor="text1"/>
          <w:sz w:val="21"/>
          <w:szCs w:val="21"/>
        </w:rPr>
        <w:t xml:space="preserve"> annual parent consent, and when appropriate, outside agencies responsible for paying for transition services </w:t>
      </w:r>
      <w:r w:rsidR="00617654" w:rsidRPr="00230BC5">
        <w:rPr>
          <w:rFonts w:ascii="Fira Sans Light" w:hAnsi="Fira Sans Light"/>
          <w:color w:val="000000" w:themeColor="text1"/>
          <w:sz w:val="21"/>
          <w:szCs w:val="21"/>
        </w:rPr>
        <w:t>have</w:t>
      </w:r>
      <w:r w:rsidRPr="00230BC5">
        <w:rPr>
          <w:rFonts w:ascii="Fira Sans Light" w:hAnsi="Fira Sans Light"/>
          <w:color w:val="000000" w:themeColor="text1"/>
          <w:sz w:val="21"/>
          <w:szCs w:val="21"/>
        </w:rPr>
        <w:t xml:space="preserve"> been invited to the transition meeting.</w:t>
      </w:r>
    </w:p>
    <w:p w14:paraId="4AD31470" w14:textId="65612B25" w:rsidR="00F748EC" w:rsidRPr="00366807" w:rsidRDefault="0039400C" w:rsidP="00BA0609">
      <w:pPr>
        <w:pStyle w:val="BodyText"/>
      </w:pPr>
      <w:r w:rsidRPr="00366807">
        <w:t>Consistent with OSEP QA 23-01</w:t>
      </w:r>
      <w:r w:rsidR="009F6177" w:rsidRPr="00366807">
        <w:t>,</w:t>
      </w:r>
      <w:r w:rsidRPr="00366807">
        <w:t xml:space="preserve"> the State must verify that the LEA (1)</w:t>
      </w:r>
      <w:r w:rsidR="00950BAF" w:rsidRPr="00366807">
        <w:t xml:space="preserve"> is</w:t>
      </w:r>
      <w:r w:rsidRPr="00366807">
        <w:t xml:space="preserve"> correctly implementing the specific regulatory requirements (i.e., achieved 100% compliance with the relevant IDEA requirements) based on a review of updated data and information, and (2) has corrected </w:t>
      </w:r>
      <w:r w:rsidRPr="00366807">
        <w:rPr>
          <w:i/>
          <w:iCs/>
        </w:rPr>
        <w:t>each</w:t>
      </w:r>
      <w:r w:rsidRPr="00366807">
        <w:t xml:space="preserve"> individual case of student-specific noncompliance, unless the student is no longer within the jurisdiction of the LEA, and no outstanding corrective action exists under a State complaint or due process hearing for the student-specific compliance (OSEP QA 23-01, B-10).</w:t>
      </w:r>
      <w:r w:rsidR="00425627">
        <w:t xml:space="preserve"> </w:t>
      </w:r>
      <w:r w:rsidRPr="00366807">
        <w:t xml:space="preserve">In addition, “the State must ensure that when it identifies noncompliance with IDEA requirements, the noncompliance is corrected as soon as possible, and in no case later than one year after the State’s written notification of noncompliance” (OSEP QA23-01, B-13). </w:t>
      </w:r>
    </w:p>
    <w:p w14:paraId="3998B81C" w14:textId="289D0742" w:rsidR="0039400C" w:rsidRPr="00366807" w:rsidRDefault="0039400C" w:rsidP="00BA0609">
      <w:pPr>
        <w:pStyle w:val="BodyText"/>
      </w:pPr>
      <w:r w:rsidRPr="00366807">
        <w:t xml:space="preserve">This document outlines specific steps required by the LEA so that </w:t>
      </w:r>
      <w:r w:rsidR="00497ED9" w:rsidRPr="00366807">
        <w:t>the West Virginia Department of Education (WVDE) Office of Special Education (OSE)</w:t>
      </w:r>
      <w:r w:rsidR="00497ED9" w:rsidRPr="00366807" w:rsidDel="00497ED9">
        <w:t xml:space="preserve"> </w:t>
      </w:r>
      <w:r w:rsidR="006C4EF6" w:rsidRPr="00366807">
        <w:t>can</w:t>
      </w:r>
      <w:r w:rsidRPr="00366807">
        <w:t xml:space="preserve"> ensure that the LEA </w:t>
      </w:r>
      <w:r w:rsidR="0053043F" w:rsidRPr="00366807">
        <w:t xml:space="preserve">has </w:t>
      </w:r>
      <w:r w:rsidR="001213CA" w:rsidRPr="00366807">
        <w:t xml:space="preserve">corrected all instances of noncompliance and </w:t>
      </w:r>
      <w:r w:rsidRPr="00366807">
        <w:t xml:space="preserve">is correctly implementing the requirements of </w:t>
      </w:r>
      <w:r w:rsidR="006C4EF6" w:rsidRPr="00366807">
        <w:t>IDEA</w:t>
      </w:r>
      <w:r w:rsidR="0090621B" w:rsidRPr="00366807">
        <w:t xml:space="preserve">. </w:t>
      </w:r>
    </w:p>
    <w:p w14:paraId="104F4893" w14:textId="77777777" w:rsidR="00390625" w:rsidRPr="00230BC5" w:rsidRDefault="00390625" w:rsidP="00230BC5">
      <w:pPr>
        <w:pStyle w:val="Heading2"/>
      </w:pPr>
      <w:r w:rsidRPr="00230BC5">
        <w:t>Monitoring Process</w:t>
      </w:r>
    </w:p>
    <w:p w14:paraId="4C9FFBC1" w14:textId="7805F162" w:rsidR="00390625" w:rsidRPr="00366807" w:rsidRDefault="00BF284F" w:rsidP="00BA0609">
      <w:pPr>
        <w:pStyle w:val="BodyText"/>
      </w:pPr>
      <w:r w:rsidRPr="00366807">
        <w:t xml:space="preserve">To ensure LEAs meet </w:t>
      </w:r>
      <w:r w:rsidR="00390625" w:rsidRPr="00366807">
        <w:t>the regulatory requirements related to secondary transition plans for students with IEPs ages 14-21</w:t>
      </w:r>
      <w:r w:rsidR="004B7C97" w:rsidRPr="00366807">
        <w:t>,</w:t>
      </w:r>
      <w:r w:rsidR="00390625" w:rsidRPr="00366807">
        <w:t xml:space="preserve"> the </w:t>
      </w:r>
      <w:r w:rsidR="00385892" w:rsidRPr="00366807">
        <w:t xml:space="preserve">WVDE </w:t>
      </w:r>
      <w:r w:rsidR="00BF01AD" w:rsidRPr="00366807">
        <w:t>OSE</w:t>
      </w:r>
      <w:r w:rsidR="00390625" w:rsidRPr="00366807">
        <w:t xml:space="preserve"> monitors for Indicator 13 compliance on a four-year cycle. LEAs chosen are typically the same ones identified for cyclical monitoring during any given school year.</w:t>
      </w:r>
      <w:r w:rsidR="001E26A6">
        <w:t xml:space="preserve"> However, </w:t>
      </w:r>
      <w:r w:rsidR="001B286C">
        <w:t xml:space="preserve">LEAs identified on the four-year rotation may be subject to </w:t>
      </w:r>
      <w:r w:rsidR="001B286C">
        <w:lastRenderedPageBreak/>
        <w:t>realignment if credible allegations require more immediate action(s).</w:t>
      </w:r>
      <w:r w:rsidR="00967EEA" w:rsidRPr="00366807">
        <w:t xml:space="preserve"> </w:t>
      </w:r>
      <w:r w:rsidR="00562BCF" w:rsidRPr="00366807">
        <w:t xml:space="preserve">Reviews may also be conducted for </w:t>
      </w:r>
      <w:r w:rsidR="00FC07BC" w:rsidRPr="00366807">
        <w:t>new LEAs in their second year</w:t>
      </w:r>
      <w:r w:rsidR="00D628E4" w:rsidRPr="00366807">
        <w:t xml:space="preserve"> of operation</w:t>
      </w:r>
      <w:r w:rsidR="00562BCF" w:rsidRPr="00366807">
        <w:t xml:space="preserve">, or </w:t>
      </w:r>
      <w:r w:rsidR="003E7830" w:rsidRPr="00366807">
        <w:t xml:space="preserve">LEAs identified through the </w:t>
      </w:r>
      <w:r w:rsidR="00D628E4" w:rsidRPr="00366807">
        <w:t>S</w:t>
      </w:r>
      <w:r w:rsidR="003E7830" w:rsidRPr="00366807">
        <w:t xml:space="preserve">tate’s accountability </w:t>
      </w:r>
      <w:r w:rsidR="004E2980" w:rsidRPr="00366807">
        <w:t>system</w:t>
      </w:r>
      <w:r w:rsidR="00562BCF" w:rsidRPr="00366807">
        <w:t>.</w:t>
      </w:r>
      <w:r w:rsidR="00FC07BC" w:rsidRPr="00366807">
        <w:t xml:space="preserve"> </w:t>
      </w:r>
      <w:r w:rsidR="00967EEA" w:rsidRPr="00366807">
        <w:t xml:space="preserve">The results from the Indicator 13 </w:t>
      </w:r>
      <w:r w:rsidR="003F12A8" w:rsidRPr="00366807">
        <w:t>D</w:t>
      </w:r>
      <w:r w:rsidR="00967EEA" w:rsidRPr="00366807">
        <w:t xml:space="preserve">ata </w:t>
      </w:r>
      <w:r w:rsidR="003F12A8" w:rsidRPr="00366807">
        <w:t>P</w:t>
      </w:r>
      <w:r w:rsidR="00967EEA" w:rsidRPr="00366807">
        <w:t>ull become the LEA</w:t>
      </w:r>
      <w:r w:rsidR="00A71F95" w:rsidRPr="00366807">
        <w:t>’</w:t>
      </w:r>
      <w:r w:rsidR="00967EEA" w:rsidRPr="00366807">
        <w:t xml:space="preserve">s score for Indicator 13 in the </w:t>
      </w:r>
      <w:r w:rsidR="00967EEA" w:rsidRPr="00BA0609">
        <w:t>Annual Desk Audit</w:t>
      </w:r>
      <w:r w:rsidR="00967EEA" w:rsidRPr="00366807">
        <w:t xml:space="preserve"> (ADA) conducted in the spring for all </w:t>
      </w:r>
      <w:r w:rsidR="00EA57B1" w:rsidRPr="00366807">
        <w:t>State Performance Plan / Annual Performance Report (</w:t>
      </w:r>
      <w:r w:rsidR="00967EEA" w:rsidRPr="00366807">
        <w:t>SPP/APR</w:t>
      </w:r>
      <w:r w:rsidR="00EA57B1" w:rsidRPr="00366807">
        <w:t>)</w:t>
      </w:r>
      <w:r w:rsidR="00967EEA" w:rsidRPr="00366807">
        <w:t xml:space="preserve"> indicators, and it is one of the required </w:t>
      </w:r>
      <w:r w:rsidR="00B308C7" w:rsidRPr="00366807">
        <w:t>components</w:t>
      </w:r>
      <w:r w:rsidR="00967EEA" w:rsidRPr="00366807">
        <w:t xml:space="preserve"> in annual LEA Determinations. </w:t>
      </w:r>
      <w:r w:rsidR="00D47E30" w:rsidRPr="00366807">
        <w:t>T</w:t>
      </w:r>
      <w:r w:rsidR="0F975196" w:rsidRPr="00366807">
        <w:t>imely correction of noncompliance</w:t>
      </w:r>
      <w:r w:rsidR="00733A07" w:rsidRPr="00366807">
        <w:t xml:space="preserve"> </w:t>
      </w:r>
      <w:r w:rsidR="00D47E30" w:rsidRPr="00366807">
        <w:t xml:space="preserve">is </w:t>
      </w:r>
      <w:r w:rsidR="00253BB4">
        <w:t xml:space="preserve">also </w:t>
      </w:r>
      <w:r w:rsidR="00D47E30" w:rsidRPr="00366807">
        <w:t>reflected annually</w:t>
      </w:r>
      <w:r w:rsidR="5A27B675" w:rsidRPr="00366807">
        <w:t xml:space="preserve"> </w:t>
      </w:r>
      <w:r w:rsidR="009A1E5D">
        <w:t>o</w:t>
      </w:r>
      <w:r w:rsidR="00345712" w:rsidRPr="00366807">
        <w:t>n</w:t>
      </w:r>
      <w:r w:rsidR="5A27B675" w:rsidRPr="00366807">
        <w:t xml:space="preserve"> the LEA Determinations. </w:t>
      </w:r>
    </w:p>
    <w:p w14:paraId="1130D920" w14:textId="170A3637" w:rsidR="00F03053" w:rsidRPr="00366807" w:rsidRDefault="00F03053" w:rsidP="00BA0609">
      <w:pPr>
        <w:pStyle w:val="BodyText"/>
        <w:rPr>
          <w:color w:val="FF0000"/>
        </w:rPr>
      </w:pPr>
      <w:r w:rsidRPr="00366807">
        <w:t xml:space="preserve">If the LEA receives </w:t>
      </w:r>
      <w:r w:rsidR="005C0DFE" w:rsidRPr="00366807">
        <w:t xml:space="preserve">any </w:t>
      </w:r>
      <w:r w:rsidRPr="00366807">
        <w:t>written notification of noncompliance</w:t>
      </w:r>
      <w:r w:rsidR="005C0DFE" w:rsidRPr="00366807">
        <w:t xml:space="preserve"> for secondary transition plans</w:t>
      </w:r>
      <w:r w:rsidRPr="00366807">
        <w:t>, the</w:t>
      </w:r>
      <w:r w:rsidR="009C7223" w:rsidRPr="00366807">
        <w:t xml:space="preserve">y are required to participate in annual </w:t>
      </w:r>
      <w:r w:rsidR="003D3CB7" w:rsidRPr="00366807">
        <w:t>I</w:t>
      </w:r>
      <w:r w:rsidR="009C7223" w:rsidRPr="00366807">
        <w:t xml:space="preserve">ndicator 13 </w:t>
      </w:r>
      <w:r w:rsidR="003F12A8" w:rsidRPr="00366807">
        <w:t>D</w:t>
      </w:r>
      <w:r w:rsidR="008C719B" w:rsidRPr="00366807">
        <w:t xml:space="preserve">ata </w:t>
      </w:r>
      <w:r w:rsidR="003F12A8" w:rsidRPr="00366807">
        <w:t>P</w:t>
      </w:r>
      <w:r w:rsidR="008C719B" w:rsidRPr="00366807">
        <w:t xml:space="preserve">ulls until they </w:t>
      </w:r>
      <w:r w:rsidR="00103B7B" w:rsidRPr="00366807">
        <w:t xml:space="preserve">achieve </w:t>
      </w:r>
      <w:r w:rsidR="008C719B" w:rsidRPr="00366807">
        <w:t>100% compliance.</w:t>
      </w:r>
      <w:r w:rsidRPr="00366807">
        <w:rPr>
          <w:color w:val="FF0000"/>
        </w:rPr>
        <w:t xml:space="preserve"> </w:t>
      </w:r>
    </w:p>
    <w:p w14:paraId="4101C967" w14:textId="041D5D9A" w:rsidR="001D6227" w:rsidRPr="00366807" w:rsidRDefault="001D6227" w:rsidP="00BA0609">
      <w:pPr>
        <w:pStyle w:val="Heading2"/>
      </w:pPr>
      <w:r w:rsidRPr="00366807">
        <w:t>Technical Assistance and Professional Development Opportunities</w:t>
      </w:r>
      <w:r w:rsidR="00B95209" w:rsidRPr="00366807">
        <w:t xml:space="preserve"> (July – </w:t>
      </w:r>
      <w:r w:rsidR="00037101" w:rsidRPr="00366807">
        <w:t>January</w:t>
      </w:r>
      <w:r w:rsidR="00B95209" w:rsidRPr="00366807">
        <w:t>)</w:t>
      </w:r>
    </w:p>
    <w:p w14:paraId="1D8FB421" w14:textId="0070B5AD" w:rsidR="0089599B" w:rsidRPr="00366807" w:rsidRDefault="00B7127B" w:rsidP="00BA0609">
      <w:pPr>
        <w:pStyle w:val="BodyText"/>
      </w:pPr>
      <w:r w:rsidRPr="00366807">
        <w:t xml:space="preserve">Approximately six (6) months prior </w:t>
      </w:r>
      <w:r w:rsidR="00C2507D" w:rsidRPr="00366807">
        <w:t xml:space="preserve">to the annual </w:t>
      </w:r>
      <w:r w:rsidR="00103B7B" w:rsidRPr="00366807">
        <w:t>I</w:t>
      </w:r>
      <w:r w:rsidR="18574C9E" w:rsidRPr="00366807">
        <w:t>ndicator</w:t>
      </w:r>
      <w:r w:rsidR="00C2507D" w:rsidRPr="00366807">
        <w:t xml:space="preserve"> 13 </w:t>
      </w:r>
      <w:r w:rsidR="003F12A8" w:rsidRPr="00366807">
        <w:t>D</w:t>
      </w:r>
      <w:r w:rsidR="00C2507D" w:rsidRPr="00366807">
        <w:t xml:space="preserve">ata </w:t>
      </w:r>
      <w:r w:rsidR="003F12A8" w:rsidRPr="00366807">
        <w:t>P</w:t>
      </w:r>
      <w:r w:rsidR="00C2507D" w:rsidRPr="00366807">
        <w:t xml:space="preserve">ull, </w:t>
      </w:r>
      <w:r w:rsidR="001D6227" w:rsidRPr="00366807">
        <w:t xml:space="preserve">LEAs </w:t>
      </w:r>
      <w:r w:rsidR="00873E57" w:rsidRPr="00366807">
        <w:t xml:space="preserve">have multiple opportunities to engage in technical assistance and support </w:t>
      </w:r>
      <w:r w:rsidR="001D6227" w:rsidRPr="00366807">
        <w:t>to ensure they are</w:t>
      </w:r>
      <w:r w:rsidR="00736CC8" w:rsidRPr="00366807">
        <w:t xml:space="preserve"> </w:t>
      </w:r>
      <w:r w:rsidR="007A27E0" w:rsidRPr="00366807">
        <w:t xml:space="preserve">meeting the regulatory requirements for </w:t>
      </w:r>
      <w:r w:rsidR="001D6227" w:rsidRPr="00366807">
        <w:t>Indicator 13</w:t>
      </w:r>
      <w:r w:rsidR="007A27E0" w:rsidRPr="00366807">
        <w:t xml:space="preserve"> (i.e., 100% compliance on their annual Indicator 13 </w:t>
      </w:r>
      <w:r w:rsidR="003F12A8" w:rsidRPr="00366807">
        <w:t>D</w:t>
      </w:r>
      <w:r w:rsidR="007A27E0" w:rsidRPr="00366807">
        <w:t xml:space="preserve">ata </w:t>
      </w:r>
      <w:r w:rsidR="003F12A8" w:rsidRPr="00366807">
        <w:t>P</w:t>
      </w:r>
      <w:r w:rsidR="007A27E0" w:rsidRPr="00366807">
        <w:t>ull)</w:t>
      </w:r>
      <w:r w:rsidR="001D6227" w:rsidRPr="00366807">
        <w:t xml:space="preserve">. </w:t>
      </w:r>
      <w:r w:rsidR="19796C97" w:rsidRPr="00366807">
        <w:t>This includes</w:t>
      </w:r>
      <w:r w:rsidR="004441C8" w:rsidRPr="00366807">
        <w:t xml:space="preserve"> </w:t>
      </w:r>
      <w:r w:rsidR="0015549E" w:rsidRPr="00366807">
        <w:t xml:space="preserve">the option for LEAs </w:t>
      </w:r>
      <w:r w:rsidR="004441C8" w:rsidRPr="00366807">
        <w:t xml:space="preserve">to </w:t>
      </w:r>
      <w:r w:rsidR="19796C97" w:rsidRPr="00366807">
        <w:t>complet</w:t>
      </w:r>
      <w:r w:rsidR="004441C8" w:rsidRPr="00366807">
        <w:t>e</w:t>
      </w:r>
      <w:r w:rsidR="00BF6D01" w:rsidRPr="00366807">
        <w:t xml:space="preserve"> </w:t>
      </w:r>
      <w:r w:rsidR="006204D1" w:rsidRPr="00366807">
        <w:t>as a team</w:t>
      </w:r>
      <w:r w:rsidR="00253BB4">
        <w:t>,</w:t>
      </w:r>
      <w:r w:rsidR="006204D1" w:rsidRPr="00366807">
        <w:t xml:space="preserve"> or individually</w:t>
      </w:r>
      <w:r w:rsidR="00253BB4">
        <w:t>,</w:t>
      </w:r>
      <w:r w:rsidR="006204D1" w:rsidRPr="00366807">
        <w:t xml:space="preserve"> </w:t>
      </w:r>
      <w:r w:rsidR="00BF6D01" w:rsidRPr="00366807">
        <w:t xml:space="preserve">the </w:t>
      </w:r>
      <w:r w:rsidR="003A33A1" w:rsidRPr="00366807">
        <w:t>“</w:t>
      </w:r>
      <w:r w:rsidR="00BF6D01" w:rsidRPr="00366807">
        <w:rPr>
          <w:i/>
          <w:iCs/>
        </w:rPr>
        <w:t>Writing High Quality Secondary Transition Plans</w:t>
      </w:r>
      <w:r w:rsidR="003A33A1" w:rsidRPr="00366807">
        <w:t>”</w:t>
      </w:r>
      <w:r w:rsidR="00BF6D01" w:rsidRPr="00366807">
        <w:t xml:space="preserve"> Canvas course developed by the WVDE</w:t>
      </w:r>
      <w:r w:rsidR="00597720" w:rsidRPr="00366807">
        <w:t>,</w:t>
      </w:r>
      <w:r w:rsidR="00295336" w:rsidRPr="00366807">
        <w:t xml:space="preserve"> participat</w:t>
      </w:r>
      <w:r w:rsidR="00F3008F" w:rsidRPr="00366807">
        <w:t>e</w:t>
      </w:r>
      <w:r w:rsidR="00295336" w:rsidRPr="00366807">
        <w:t xml:space="preserve"> in bi-monthly office hours focused on secondary transition planning processes</w:t>
      </w:r>
      <w:r w:rsidR="008E696D" w:rsidRPr="00366807">
        <w:t>,</w:t>
      </w:r>
      <w:r w:rsidR="00295336" w:rsidRPr="00366807">
        <w:t xml:space="preserve"> </w:t>
      </w:r>
      <w:r w:rsidR="00BE5536" w:rsidRPr="00366807">
        <w:t>utiliz</w:t>
      </w:r>
      <w:r w:rsidR="00F3008F" w:rsidRPr="00366807">
        <w:t>e</w:t>
      </w:r>
      <w:r w:rsidR="00BE5536" w:rsidRPr="00366807">
        <w:t xml:space="preserve"> resources on the </w:t>
      </w:r>
      <w:r w:rsidR="00BE5536" w:rsidRPr="001D113E">
        <w:rPr>
          <w:rFonts w:eastAsia="ArialMT" w:cs="ArialMT"/>
          <w:kern w:val="0"/>
        </w:rPr>
        <w:t>WV Guideposts to Graduation website</w:t>
      </w:r>
      <w:r w:rsidR="008E696D" w:rsidRPr="00366807">
        <w:t>,</w:t>
      </w:r>
      <w:r w:rsidR="00561AAC" w:rsidRPr="00366807">
        <w:t xml:space="preserve"> </w:t>
      </w:r>
      <w:r w:rsidR="00FD2B37" w:rsidRPr="00366807">
        <w:t xml:space="preserve">and </w:t>
      </w:r>
      <w:r w:rsidR="009352FB" w:rsidRPr="00366807">
        <w:t xml:space="preserve">engage in </w:t>
      </w:r>
      <w:r w:rsidR="00082288" w:rsidRPr="00366807">
        <w:t xml:space="preserve">targeted </w:t>
      </w:r>
      <w:r w:rsidR="00FD2B37" w:rsidRPr="00366807">
        <w:t xml:space="preserve">or intensive </w:t>
      </w:r>
      <w:r w:rsidR="00082288" w:rsidRPr="00366807">
        <w:t xml:space="preserve">support </w:t>
      </w:r>
      <w:r w:rsidR="00561AAC" w:rsidRPr="00366807">
        <w:t>p</w:t>
      </w:r>
      <w:r w:rsidR="00082288" w:rsidRPr="00366807">
        <w:t>rovided by WVDE OSE staff.</w:t>
      </w:r>
    </w:p>
    <w:p w14:paraId="703CF8ED" w14:textId="488AF798" w:rsidR="001D6227" w:rsidRPr="00366807" w:rsidRDefault="006204D1" w:rsidP="00BA0609">
      <w:pPr>
        <w:pStyle w:val="BodyText"/>
      </w:pPr>
      <w:r>
        <w:t>In addition, i</w:t>
      </w:r>
      <w:r w:rsidR="008202D4" w:rsidRPr="00366807">
        <w:t xml:space="preserve">f the LEA wishes to </w:t>
      </w:r>
      <w:r w:rsidR="0089599B" w:rsidRPr="00366807">
        <w:t xml:space="preserve">conduct </w:t>
      </w:r>
      <w:r w:rsidR="00C44ACB" w:rsidRPr="00366807">
        <w:t xml:space="preserve">internal </w:t>
      </w:r>
      <w:r w:rsidR="001D6227" w:rsidRPr="00366807">
        <w:t>monitoring of</w:t>
      </w:r>
      <w:r w:rsidR="00736CC8" w:rsidRPr="00366807">
        <w:t xml:space="preserve"> </w:t>
      </w:r>
      <w:r w:rsidR="0089599B" w:rsidRPr="00366807">
        <w:t xml:space="preserve">their own </w:t>
      </w:r>
      <w:r w:rsidR="000B4922" w:rsidRPr="00366807">
        <w:t xml:space="preserve">secondary transition plans, WVDE </w:t>
      </w:r>
      <w:r w:rsidR="00227FC7" w:rsidRPr="00366807">
        <w:t xml:space="preserve">OSE </w:t>
      </w:r>
      <w:r w:rsidR="000B4922" w:rsidRPr="00366807">
        <w:t xml:space="preserve">has provided a </w:t>
      </w:r>
      <w:r w:rsidR="001D113E" w:rsidRPr="00477C98">
        <w:rPr>
          <w:rFonts w:ascii="Fira Sans" w:eastAsia="ArialMT" w:hAnsi="Fira Sans" w:cs="ArialMT"/>
          <w:kern w:val="0"/>
        </w:rPr>
        <w:t>Secondary Transition File Review Checklis</w:t>
      </w:r>
      <w:r w:rsidR="001D113E">
        <w:rPr>
          <w:rFonts w:ascii="Fira Sans" w:eastAsia="ArialMT" w:hAnsi="Fira Sans" w:cs="ArialMT"/>
          <w:kern w:val="0"/>
        </w:rPr>
        <w:t>t - 2024</w:t>
      </w:r>
      <w:r w:rsidR="001D113E" w:rsidRPr="00366807">
        <w:rPr>
          <w:rFonts w:eastAsia="ArialMT" w:cs="ArialMT"/>
          <w:color w:val="000000"/>
          <w:kern w:val="0"/>
        </w:rPr>
        <w:t xml:space="preserve"> </w:t>
      </w:r>
      <w:r w:rsidR="00C50AA1" w:rsidRPr="00366807">
        <w:t xml:space="preserve">which can be used </w:t>
      </w:r>
      <w:r w:rsidR="7D56D049" w:rsidRPr="00366807">
        <w:t xml:space="preserve">to </w:t>
      </w:r>
      <w:r w:rsidR="009E1092" w:rsidRPr="00366807">
        <w:t>walk LEAs through their self-</w:t>
      </w:r>
      <w:r w:rsidR="001D6227" w:rsidRPr="00366807">
        <w:t>review</w:t>
      </w:r>
      <w:r w:rsidR="009E1092" w:rsidRPr="00366807">
        <w:t>.</w:t>
      </w:r>
      <w:r w:rsidR="001D6227" w:rsidRPr="00366807">
        <w:t xml:space="preserve"> </w:t>
      </w:r>
      <w:r w:rsidR="009E1092" w:rsidRPr="00366807">
        <w:t xml:space="preserve">Following completion of the </w:t>
      </w:r>
      <w:r w:rsidR="00D21A5D" w:rsidRPr="00366807">
        <w:t xml:space="preserve">internal review, the LEA should </w:t>
      </w:r>
      <w:r w:rsidR="005A762D" w:rsidRPr="00366807">
        <w:t xml:space="preserve">correct any identified areas of noncompliance through a </w:t>
      </w:r>
      <w:r w:rsidR="00F82193">
        <w:t xml:space="preserve">full or </w:t>
      </w:r>
      <w:r w:rsidR="005A762D" w:rsidRPr="00366807">
        <w:t>targeted IEP meeting</w:t>
      </w:r>
      <w:r w:rsidR="00F82193">
        <w:t>,</w:t>
      </w:r>
      <w:r w:rsidR="005A762D" w:rsidRPr="00366807">
        <w:t xml:space="preserve"> or </w:t>
      </w:r>
      <w:r w:rsidR="00A65FAB" w:rsidRPr="00366807">
        <w:t xml:space="preserve">by </w:t>
      </w:r>
      <w:r w:rsidR="005A762D" w:rsidRPr="00366807">
        <w:t>a</w:t>
      </w:r>
      <w:r w:rsidR="00C44ACB" w:rsidRPr="00366807">
        <w:t xml:space="preserve">ppropriately </w:t>
      </w:r>
      <w:r w:rsidR="005A762D" w:rsidRPr="00366807">
        <w:t>amend</w:t>
      </w:r>
      <w:r w:rsidR="00C44ACB" w:rsidRPr="00366807">
        <w:t>ing the IEP</w:t>
      </w:r>
      <w:r w:rsidR="002D29FE" w:rsidRPr="00366807">
        <w:t xml:space="preserve"> if the noncompliance is the result of a clerical error</w:t>
      </w:r>
      <w:r w:rsidR="001D6227" w:rsidRPr="00366807">
        <w:t xml:space="preserve">. LEAs that </w:t>
      </w:r>
      <w:r w:rsidR="00B56682" w:rsidRPr="00366807">
        <w:t xml:space="preserve">regularly </w:t>
      </w:r>
      <w:r w:rsidR="001D6227" w:rsidRPr="00366807">
        <w:t xml:space="preserve">self-monitor </w:t>
      </w:r>
      <w:r w:rsidR="00C50AA1" w:rsidRPr="00366807">
        <w:t>secondary transition plans</w:t>
      </w:r>
      <w:r w:rsidR="001D6227" w:rsidRPr="00366807">
        <w:t xml:space="preserve"> tend to have </w:t>
      </w:r>
      <w:r w:rsidR="00AA5E3C" w:rsidRPr="00366807">
        <w:t xml:space="preserve">better </w:t>
      </w:r>
      <w:r w:rsidR="001D6227" w:rsidRPr="00366807">
        <w:t xml:space="preserve">compliance </w:t>
      </w:r>
      <w:r w:rsidR="00AA5E3C" w:rsidRPr="00366807">
        <w:t xml:space="preserve">results </w:t>
      </w:r>
      <w:r w:rsidR="001D6227" w:rsidRPr="00366807">
        <w:t xml:space="preserve">during the </w:t>
      </w:r>
      <w:r w:rsidR="007A27E0" w:rsidRPr="00366807">
        <w:t xml:space="preserve">annual </w:t>
      </w:r>
      <w:r w:rsidR="00C127B6" w:rsidRPr="00366807">
        <w:t xml:space="preserve">Indicator 13 </w:t>
      </w:r>
      <w:r w:rsidR="00380BF0" w:rsidRPr="00366807">
        <w:t>D</w:t>
      </w:r>
      <w:r w:rsidR="007A27E0" w:rsidRPr="00366807">
        <w:t>ata</w:t>
      </w:r>
      <w:r w:rsidR="001D6227" w:rsidRPr="00366807">
        <w:t xml:space="preserve"> </w:t>
      </w:r>
      <w:r w:rsidR="00380BF0" w:rsidRPr="00366807">
        <w:t>P</w:t>
      </w:r>
      <w:r w:rsidR="001D6227" w:rsidRPr="00366807">
        <w:t>ull.</w:t>
      </w:r>
      <w:r w:rsidR="00013AFC" w:rsidRPr="00366807">
        <w:t xml:space="preserve"> </w:t>
      </w:r>
      <w:r w:rsidR="00AE2897" w:rsidRPr="00366807">
        <w:t>S</w:t>
      </w:r>
      <w:r w:rsidR="00E176BD" w:rsidRPr="00366807">
        <w:t xml:space="preserve">econdary transition file review </w:t>
      </w:r>
      <w:r w:rsidR="00F31CB7" w:rsidRPr="00366807">
        <w:t>checklists used for internal monitoring</w:t>
      </w:r>
      <w:r w:rsidR="00265F6B" w:rsidRPr="00366807">
        <w:t>,</w:t>
      </w:r>
      <w:r w:rsidR="00F31CB7" w:rsidRPr="00366807">
        <w:t xml:space="preserve"> </w:t>
      </w:r>
      <w:r w:rsidR="00DD0FF0" w:rsidRPr="00366807">
        <w:t>at this optional level</w:t>
      </w:r>
      <w:r w:rsidR="00265F6B" w:rsidRPr="00366807">
        <w:t xml:space="preserve">, </w:t>
      </w:r>
      <w:r w:rsidR="00AE2897" w:rsidRPr="00366807">
        <w:t xml:space="preserve">should not be sent </w:t>
      </w:r>
      <w:r w:rsidR="00F31CB7" w:rsidRPr="00366807">
        <w:t>to WVDE</w:t>
      </w:r>
      <w:r w:rsidR="00D84335" w:rsidRPr="00366807">
        <w:t xml:space="preserve"> OSE</w:t>
      </w:r>
      <w:r w:rsidR="00F31CB7" w:rsidRPr="00366807">
        <w:t>.</w:t>
      </w:r>
    </w:p>
    <w:p w14:paraId="2B739AC5" w14:textId="3F756817" w:rsidR="007A27E0" w:rsidRPr="00366807" w:rsidRDefault="007A27E0" w:rsidP="00BA0609">
      <w:pPr>
        <w:pStyle w:val="Heading2"/>
      </w:pPr>
      <w:r w:rsidRPr="00366807">
        <w:t xml:space="preserve">Indicator 13 </w:t>
      </w:r>
      <w:r w:rsidR="006E7A05" w:rsidRPr="00366807">
        <w:t>D</w:t>
      </w:r>
      <w:r w:rsidRPr="00366807">
        <w:t xml:space="preserve">ata </w:t>
      </w:r>
      <w:r w:rsidR="006E7A05" w:rsidRPr="00366807">
        <w:t>P</w:t>
      </w:r>
      <w:r w:rsidRPr="00366807">
        <w:t>ull</w:t>
      </w:r>
      <w:r w:rsidR="00FF189B" w:rsidRPr="00366807">
        <w:t xml:space="preserve"> </w:t>
      </w:r>
      <w:r w:rsidR="00DD2373" w:rsidRPr="00366807">
        <w:t xml:space="preserve">from </w:t>
      </w:r>
      <w:r w:rsidR="00F7241D" w:rsidRPr="00366807">
        <w:t xml:space="preserve">State </w:t>
      </w:r>
      <w:r w:rsidR="006E7A05" w:rsidRPr="00366807">
        <w:t>D</w:t>
      </w:r>
      <w:r w:rsidR="00F7241D" w:rsidRPr="00366807">
        <w:t xml:space="preserve">ata </w:t>
      </w:r>
      <w:r w:rsidR="006E7A05" w:rsidRPr="00366807">
        <w:t>S</w:t>
      </w:r>
      <w:r w:rsidR="00F7241D" w:rsidRPr="00366807">
        <w:t>ystem (February – April)</w:t>
      </w:r>
    </w:p>
    <w:p w14:paraId="3A24C59D" w14:textId="37AC8393" w:rsidR="008D3676" w:rsidRPr="00366807" w:rsidRDefault="00F7241D" w:rsidP="00BA0609">
      <w:pPr>
        <w:pStyle w:val="BodyText"/>
      </w:pPr>
      <w:r w:rsidRPr="00366807">
        <w:t xml:space="preserve">The </w:t>
      </w:r>
      <w:r w:rsidR="007A27E0" w:rsidRPr="00366807">
        <w:t xml:space="preserve">Indicator 13 </w:t>
      </w:r>
      <w:r w:rsidR="00393D00" w:rsidRPr="00366807">
        <w:t>D</w:t>
      </w:r>
      <w:r w:rsidR="007A27E0" w:rsidRPr="00366807">
        <w:t xml:space="preserve">ata </w:t>
      </w:r>
      <w:r w:rsidR="00380BF0" w:rsidRPr="00366807">
        <w:t>P</w:t>
      </w:r>
      <w:r w:rsidR="007A27E0" w:rsidRPr="00366807">
        <w:t>ull</w:t>
      </w:r>
      <w:r w:rsidRPr="00366807">
        <w:t xml:space="preserve"> from the </w:t>
      </w:r>
      <w:r w:rsidR="001F7EFD" w:rsidRPr="00366807">
        <w:t>S</w:t>
      </w:r>
      <w:r w:rsidR="0DBD11D1" w:rsidRPr="00366807">
        <w:t>tate’s</w:t>
      </w:r>
      <w:r w:rsidR="004D76EB" w:rsidRPr="00366807">
        <w:t xml:space="preserve"> online data system (WVEIS)</w:t>
      </w:r>
      <w:r w:rsidR="007A27E0" w:rsidRPr="00366807">
        <w:t xml:space="preserve"> </w:t>
      </w:r>
      <w:r w:rsidR="008D3676" w:rsidRPr="00366807">
        <w:t xml:space="preserve">includes </w:t>
      </w:r>
      <w:r w:rsidR="00F25F77" w:rsidRPr="00366807">
        <w:t xml:space="preserve">having </w:t>
      </w:r>
      <w:r w:rsidR="00F25F77" w:rsidRPr="00366807">
        <w:rPr>
          <w:b/>
          <w:bCs/>
        </w:rPr>
        <w:t xml:space="preserve">a minimum of </w:t>
      </w:r>
      <w:r w:rsidR="00C26505" w:rsidRPr="00366807">
        <w:rPr>
          <w:b/>
          <w:bCs/>
        </w:rPr>
        <w:t>five</w:t>
      </w:r>
      <w:r w:rsidR="00F25F77" w:rsidRPr="00366807">
        <w:rPr>
          <w:b/>
          <w:bCs/>
        </w:rPr>
        <w:t xml:space="preserve"> (</w:t>
      </w:r>
      <w:r w:rsidR="00C26505" w:rsidRPr="00366807">
        <w:rPr>
          <w:b/>
          <w:bCs/>
        </w:rPr>
        <w:t>5</w:t>
      </w:r>
      <w:r w:rsidR="00F25F77" w:rsidRPr="00366807">
        <w:rPr>
          <w:b/>
          <w:bCs/>
        </w:rPr>
        <w:t>) and a maximum of ten (10)</w:t>
      </w:r>
      <w:r w:rsidR="00F25F77" w:rsidRPr="00366807">
        <w:t xml:space="preserve"> </w:t>
      </w:r>
      <w:r w:rsidR="00D84BE3" w:rsidRPr="00366807">
        <w:t>secondary</w:t>
      </w:r>
      <w:r w:rsidR="00F25F77" w:rsidRPr="00366807">
        <w:t xml:space="preserve"> </w:t>
      </w:r>
      <w:r w:rsidR="008C4E4B" w:rsidRPr="00366807">
        <w:t>transition plans</w:t>
      </w:r>
      <w:r w:rsidR="00CD0C4F" w:rsidRPr="00366807">
        <w:t xml:space="preserve"> randomly</w:t>
      </w:r>
      <w:r w:rsidR="008C4E4B" w:rsidRPr="00366807">
        <w:t xml:space="preserve"> pulled and reviewed by WVDE OSE staff. </w:t>
      </w:r>
      <w:r w:rsidR="00362449" w:rsidRPr="00366807">
        <w:t xml:space="preserve">This review follows the </w:t>
      </w:r>
      <w:r w:rsidR="001D113E" w:rsidRPr="00D73E54">
        <w:rPr>
          <w:rFonts w:eastAsia="ArialMT" w:cs="ArialMT"/>
          <w:kern w:val="0"/>
        </w:rPr>
        <w:t>Secondary Transition File Review Checklist - 2024</w:t>
      </w:r>
      <w:r w:rsidR="001D113E" w:rsidRPr="00366807">
        <w:rPr>
          <w:rFonts w:eastAsia="ArialMT" w:cs="ArialMT"/>
          <w:color w:val="000000"/>
          <w:kern w:val="0"/>
        </w:rPr>
        <w:t xml:space="preserve"> </w:t>
      </w:r>
      <w:r w:rsidR="00362449" w:rsidRPr="00366807">
        <w:t xml:space="preserve">to determine whether the </w:t>
      </w:r>
      <w:r w:rsidR="00E12371" w:rsidRPr="00366807">
        <w:t xml:space="preserve">secondary transition plan is considered compliant for Indicator 13. </w:t>
      </w:r>
      <w:bookmarkStart w:id="1" w:name="_Int_3et2d3KE"/>
      <w:r w:rsidR="005B20D0" w:rsidRPr="00366807">
        <w:t>As stated above, t</w:t>
      </w:r>
      <w:r w:rsidR="00C867F6" w:rsidRPr="00366807">
        <w:t>he</w:t>
      </w:r>
      <w:r w:rsidR="005B20D0" w:rsidRPr="00366807">
        <w:t xml:space="preserve"> checklist contains a</w:t>
      </w:r>
      <w:r w:rsidR="00C867F6" w:rsidRPr="00366807">
        <w:t xml:space="preserve"> total of ten (10) </w:t>
      </w:r>
      <w:r w:rsidR="005B20D0" w:rsidRPr="00366807">
        <w:t xml:space="preserve">compliance </w:t>
      </w:r>
      <w:r w:rsidR="00C867F6" w:rsidRPr="00366807">
        <w:t xml:space="preserve">items </w:t>
      </w:r>
      <w:r w:rsidR="005B20D0" w:rsidRPr="00366807">
        <w:t>and</w:t>
      </w:r>
      <w:r w:rsidR="00C867F6" w:rsidRPr="00366807">
        <w:t xml:space="preserve"> </w:t>
      </w:r>
      <w:r w:rsidR="00C867F6" w:rsidRPr="00366807">
        <w:rPr>
          <w:b/>
          <w:bCs/>
        </w:rPr>
        <w:t>if any one item is deemed noncompliant, the entire secondary transition plan is considered noncompliant</w:t>
      </w:r>
      <w:r w:rsidR="00C867F6" w:rsidRPr="00366807">
        <w:t>.</w:t>
      </w:r>
      <w:bookmarkEnd w:id="1"/>
      <w:r w:rsidR="00C867F6" w:rsidRPr="00366807">
        <w:t xml:space="preserve"> </w:t>
      </w:r>
      <w:r w:rsidR="00C559BC" w:rsidRPr="00366807">
        <w:t>If the LEA achieves 100% compliance</w:t>
      </w:r>
      <w:r w:rsidR="00325BBA" w:rsidRPr="00366807">
        <w:t xml:space="preserve"> </w:t>
      </w:r>
      <w:r w:rsidR="00C559BC" w:rsidRPr="00366807">
        <w:t>for this data review, no further action is required</w:t>
      </w:r>
      <w:r w:rsidR="005B20D0" w:rsidRPr="00366807">
        <w:t xml:space="preserve"> until the next </w:t>
      </w:r>
      <w:r w:rsidR="00BC6FB5" w:rsidRPr="00366807">
        <w:t>monitoring event</w:t>
      </w:r>
      <w:r w:rsidR="00C559BC" w:rsidRPr="00366807">
        <w:t>. If the LEA achieves less than 100% compliance</w:t>
      </w:r>
      <w:r w:rsidR="00325BBA" w:rsidRPr="00366807">
        <w:t>,</w:t>
      </w:r>
      <w:r w:rsidR="00C559BC" w:rsidRPr="00366807">
        <w:t xml:space="preserve"> </w:t>
      </w:r>
      <w:r w:rsidR="00AC3A32" w:rsidRPr="00366807">
        <w:t xml:space="preserve">written notification </w:t>
      </w:r>
      <w:r w:rsidR="00C559BC" w:rsidRPr="00366807">
        <w:t>of noncompliance is issued</w:t>
      </w:r>
      <w:r w:rsidR="001B0080" w:rsidRPr="00366807">
        <w:t xml:space="preserve"> and the process for correction of noncompliance begins.</w:t>
      </w:r>
    </w:p>
    <w:p w14:paraId="5535AD9E" w14:textId="1810D5B5" w:rsidR="005E66DE" w:rsidRPr="00366807" w:rsidRDefault="005E66DE" w:rsidP="00BA0609">
      <w:pPr>
        <w:pStyle w:val="BodyText"/>
      </w:pPr>
      <w:r w:rsidRPr="00366807">
        <w:rPr>
          <w:b/>
          <w:bCs/>
        </w:rPr>
        <w:t>NOTE</w:t>
      </w:r>
      <w:r w:rsidRPr="00366807">
        <w:t xml:space="preserve">: </w:t>
      </w:r>
      <w:r w:rsidR="00261C20" w:rsidRPr="00366807">
        <w:t xml:space="preserve">The number of </w:t>
      </w:r>
      <w:r w:rsidR="008474E1" w:rsidRPr="00366807">
        <w:t>files reviewed is b</w:t>
      </w:r>
      <w:r w:rsidR="00921D38" w:rsidRPr="00366807">
        <w:t>ased on the previous year’s</w:t>
      </w:r>
      <w:r w:rsidR="005D5E25" w:rsidRPr="00366807">
        <w:t xml:space="preserve"> December 1 child count</w:t>
      </w:r>
      <w:r w:rsidR="008474E1" w:rsidRPr="00366807">
        <w:t>. For</w:t>
      </w:r>
      <w:r w:rsidR="00F174F7" w:rsidRPr="00366807">
        <w:t xml:space="preserve"> LEAs with &gt;2500</w:t>
      </w:r>
      <w:r w:rsidR="005D5E25" w:rsidRPr="00366807">
        <w:t xml:space="preserve"> </w:t>
      </w:r>
      <w:r w:rsidR="00F174F7" w:rsidRPr="00366807">
        <w:t>students with disabilities (</w:t>
      </w:r>
      <w:r w:rsidR="00261C20" w:rsidRPr="00366807">
        <w:t>ex</w:t>
      </w:r>
      <w:r w:rsidR="00F174F7" w:rsidRPr="00366807">
        <w:t>cluding gifted/exceptionally gifted)</w:t>
      </w:r>
      <w:r w:rsidR="006F3AE2" w:rsidRPr="00366807">
        <w:t>,</w:t>
      </w:r>
      <w:r w:rsidR="00F174F7" w:rsidRPr="00366807">
        <w:t xml:space="preserve"> 10 files will be reviewed. All other </w:t>
      </w:r>
      <w:r w:rsidR="00AC20B8" w:rsidRPr="00366807">
        <w:t xml:space="preserve">LEAs </w:t>
      </w:r>
      <w:r w:rsidR="00F174F7" w:rsidRPr="00366807">
        <w:t xml:space="preserve">will </w:t>
      </w:r>
      <w:r w:rsidR="003632CB" w:rsidRPr="00366807">
        <w:t>have</w:t>
      </w:r>
      <w:r w:rsidR="00F174F7" w:rsidRPr="00366807">
        <w:t xml:space="preserve"> </w:t>
      </w:r>
      <w:r w:rsidR="00F51674" w:rsidRPr="00366807">
        <w:t>5 files</w:t>
      </w:r>
      <w:r w:rsidR="003632CB" w:rsidRPr="00366807">
        <w:t xml:space="preserve"> reviewed</w:t>
      </w:r>
      <w:r w:rsidR="00F51674" w:rsidRPr="00366807">
        <w:t>.</w:t>
      </w:r>
    </w:p>
    <w:p w14:paraId="3A1F46C1" w14:textId="5DC57A2C" w:rsidR="006C5FF8" w:rsidRPr="00366807" w:rsidRDefault="006C5FF8" w:rsidP="00BA0609">
      <w:pPr>
        <w:pStyle w:val="Heading2"/>
      </w:pPr>
      <w:r w:rsidRPr="00366807">
        <w:lastRenderedPageBreak/>
        <w:t xml:space="preserve">Written Notification of Noncompliance </w:t>
      </w:r>
      <w:r w:rsidR="0079321C" w:rsidRPr="00366807">
        <w:t>(Ju</w:t>
      </w:r>
      <w:r w:rsidR="00F36BDD" w:rsidRPr="00366807">
        <w:t>ne/July)</w:t>
      </w:r>
    </w:p>
    <w:p w14:paraId="79E1EADF" w14:textId="5A999EC1" w:rsidR="00DC23A0" w:rsidRPr="00366807" w:rsidRDefault="00B73669" w:rsidP="00BA0609">
      <w:pPr>
        <w:pStyle w:val="BodyText"/>
      </w:pPr>
      <w:r w:rsidRPr="00366807">
        <w:t>Consistent with WVDE OSE’s pr</w:t>
      </w:r>
      <w:r w:rsidR="00870F89" w:rsidRPr="00366807">
        <w:t xml:space="preserve">ocedures for </w:t>
      </w:r>
      <w:r w:rsidR="00B330A7" w:rsidRPr="00366807">
        <w:t>issuing l</w:t>
      </w:r>
      <w:r w:rsidR="006A6436" w:rsidRPr="00366807">
        <w:t>etters of noncompliance</w:t>
      </w:r>
      <w:r w:rsidR="009C14AC" w:rsidRPr="00366807">
        <w:t>, written notification</w:t>
      </w:r>
      <w:r w:rsidR="00B20D49" w:rsidRPr="00366807">
        <w:t>s</w:t>
      </w:r>
      <w:r w:rsidR="001753D0" w:rsidRPr="00366807">
        <w:t xml:space="preserve"> ident</w:t>
      </w:r>
      <w:r w:rsidR="00DA08FE" w:rsidRPr="00366807">
        <w:t xml:space="preserve">ifying </w:t>
      </w:r>
      <w:r w:rsidR="003632CB" w:rsidRPr="00366807">
        <w:t>I</w:t>
      </w:r>
      <w:r w:rsidR="003C4985" w:rsidRPr="00366807">
        <w:t>ndicator 13 noncompliance</w:t>
      </w:r>
      <w:r w:rsidR="006A6436" w:rsidRPr="00366807">
        <w:t xml:space="preserve"> are issued </w:t>
      </w:r>
      <w:r w:rsidR="003A10E1" w:rsidRPr="00366807">
        <w:t xml:space="preserve">generally </w:t>
      </w:r>
      <w:r w:rsidR="001B0080" w:rsidRPr="00366807">
        <w:t xml:space="preserve">within 90 days </w:t>
      </w:r>
      <w:r w:rsidR="009A10B3" w:rsidRPr="00366807">
        <w:t>from when</w:t>
      </w:r>
      <w:r w:rsidR="006A6436" w:rsidRPr="00366807">
        <w:t xml:space="preserve"> WVDE OSE staff </w:t>
      </w:r>
      <w:r w:rsidR="006E7099" w:rsidRPr="00366807">
        <w:t>confirm</w:t>
      </w:r>
      <w:r w:rsidR="00651E10" w:rsidRPr="00366807">
        <w:t>s</w:t>
      </w:r>
      <w:r w:rsidR="006E7099" w:rsidRPr="00366807">
        <w:t xml:space="preserve"> </w:t>
      </w:r>
      <w:r w:rsidR="006A6436" w:rsidRPr="00366807">
        <w:t>the noncompliance.</w:t>
      </w:r>
      <w:r w:rsidR="007D1280" w:rsidRPr="00366807">
        <w:t xml:space="preserve"> </w:t>
      </w:r>
      <w:r w:rsidR="00220E6D" w:rsidRPr="00366807">
        <w:t xml:space="preserve">This notification </w:t>
      </w:r>
      <w:r w:rsidR="00F53CD6" w:rsidRPr="00366807">
        <w:t xml:space="preserve">includes </w:t>
      </w:r>
      <w:r w:rsidR="00BA55BD" w:rsidRPr="00366807">
        <w:t>details</w:t>
      </w:r>
      <w:r w:rsidR="00220E6D" w:rsidRPr="00366807">
        <w:t xml:space="preserve"> </w:t>
      </w:r>
      <w:r w:rsidR="00EC7F0C" w:rsidRPr="00366807">
        <w:t>specific</w:t>
      </w:r>
      <w:r w:rsidR="007148C6" w:rsidRPr="00366807">
        <w:t xml:space="preserve"> to the areas</w:t>
      </w:r>
      <w:r w:rsidR="00024352" w:rsidRPr="00366807">
        <w:t xml:space="preserve"> </w:t>
      </w:r>
      <w:r w:rsidR="00C21DC6" w:rsidRPr="00366807">
        <w:t>o</w:t>
      </w:r>
      <w:r w:rsidR="00AD6298" w:rsidRPr="00366807">
        <w:t>f noncompliance identified in each student file</w:t>
      </w:r>
      <w:r w:rsidR="002B58EB" w:rsidRPr="00366807">
        <w:t xml:space="preserve"> reviewed</w:t>
      </w:r>
      <w:r w:rsidR="00AD1B6D" w:rsidRPr="00366807">
        <w:t>,</w:t>
      </w:r>
      <w:r w:rsidR="006975CF" w:rsidRPr="00366807">
        <w:t xml:space="preserve"> as well as the </w:t>
      </w:r>
      <w:r w:rsidR="00220E6D" w:rsidRPr="00366807">
        <w:t>required corrective actions and best practices for preventing future noncompliance</w:t>
      </w:r>
      <w:r w:rsidR="006975CF" w:rsidRPr="00366807">
        <w:t>.</w:t>
      </w:r>
      <w:r w:rsidR="006975CF" w:rsidRPr="00366807">
        <w:rPr>
          <w:rStyle w:val="CommentReference"/>
          <w:sz w:val="18"/>
          <w:szCs w:val="18"/>
        </w:rPr>
        <w:t xml:space="preserve"> </w:t>
      </w:r>
      <w:r w:rsidR="00DC23A0" w:rsidRPr="00366807">
        <w:t>The LEA must correct all noncompliance</w:t>
      </w:r>
      <w:r w:rsidR="00036B56" w:rsidRPr="00366807">
        <w:t xml:space="preserve"> as described in this document.</w:t>
      </w:r>
      <w:r w:rsidR="00DC23A0" w:rsidRPr="00366807">
        <w:t xml:space="preserve"> </w:t>
      </w:r>
    </w:p>
    <w:p w14:paraId="507FDCF3" w14:textId="69F6CB2F" w:rsidR="00FD7AB4" w:rsidRPr="00366807" w:rsidRDefault="003F4325" w:rsidP="00BA0609">
      <w:pPr>
        <w:pStyle w:val="Heading2"/>
      </w:pPr>
      <w:r w:rsidRPr="00366807">
        <w:t xml:space="preserve">Correcting Findings of </w:t>
      </w:r>
      <w:r w:rsidR="006211EE" w:rsidRPr="00366807">
        <w:t xml:space="preserve">Individual </w:t>
      </w:r>
      <w:r w:rsidRPr="00366807">
        <w:t>Noncompliance</w:t>
      </w:r>
      <w:r w:rsidR="00584F67" w:rsidRPr="00366807">
        <w:t xml:space="preserve"> (as soon as possible)</w:t>
      </w:r>
    </w:p>
    <w:p w14:paraId="593530B9" w14:textId="67C9A7F4" w:rsidR="00814E7F" w:rsidRPr="00366807" w:rsidRDefault="00A35C63" w:rsidP="00BA0609">
      <w:pPr>
        <w:pStyle w:val="BodyText"/>
      </w:pPr>
      <w:r w:rsidRPr="00366807">
        <w:t xml:space="preserve">To correct individual </w:t>
      </w:r>
      <w:r w:rsidR="00E76324" w:rsidRPr="00366807">
        <w:t>student</w:t>
      </w:r>
      <w:r w:rsidR="00682AB0" w:rsidRPr="00366807">
        <w:t>-level noncompliance, each student</w:t>
      </w:r>
      <w:r w:rsidR="00E76324" w:rsidRPr="00366807">
        <w:t xml:space="preserve">’s transition plan will be reviewed and corrected to 100% compliance </w:t>
      </w:r>
      <w:r w:rsidR="00E76324" w:rsidRPr="00366807">
        <w:rPr>
          <w:b/>
          <w:bCs/>
          <w:u w:val="single"/>
        </w:rPr>
        <w:t>within 60 days of written notification</w:t>
      </w:r>
      <w:r w:rsidR="00E76324" w:rsidRPr="00366807">
        <w:t xml:space="preserve"> unless the student is no longer in the jurisdiction of the LEA. </w:t>
      </w:r>
      <w:r w:rsidR="006677CD" w:rsidRPr="00366807">
        <w:t>After the 60-day timeline, WVDE OSE staff will use the statewide database</w:t>
      </w:r>
      <w:r w:rsidR="00E941AC" w:rsidRPr="00366807">
        <w:t xml:space="preserve"> (WVEIS</w:t>
      </w:r>
      <w:r w:rsidR="003C4985" w:rsidRPr="00366807">
        <w:t>)</w:t>
      </w:r>
      <w:r w:rsidR="006677CD" w:rsidRPr="00366807">
        <w:t xml:space="preserve"> to verify corrections for </w:t>
      </w:r>
      <w:r w:rsidR="006677CD" w:rsidRPr="00366807">
        <w:rPr>
          <w:b/>
          <w:bCs/>
          <w:u w:val="single"/>
        </w:rPr>
        <w:t>each</w:t>
      </w:r>
      <w:r w:rsidR="006677CD" w:rsidRPr="00366807">
        <w:t xml:space="preserve"> </w:t>
      </w:r>
      <w:r w:rsidR="006A0D4F" w:rsidRPr="00366807">
        <w:t xml:space="preserve">individual </w:t>
      </w:r>
      <w:r w:rsidR="006677CD" w:rsidRPr="00366807">
        <w:t>case of previously identified noncompliance.</w:t>
      </w:r>
      <w:r w:rsidR="004028B8" w:rsidRPr="00366807">
        <w:t xml:space="preserve"> </w:t>
      </w:r>
    </w:p>
    <w:p w14:paraId="34B514C0" w14:textId="0826D4BA" w:rsidR="009D1CF8" w:rsidRPr="00366807" w:rsidRDefault="006677CD" w:rsidP="00BA0609">
      <w:pPr>
        <w:pStyle w:val="BodyText"/>
      </w:pPr>
      <w:r w:rsidRPr="00366807">
        <w:t xml:space="preserve">If corrections of noncompliance have not been corrected within the 60-day timeline, WVDE OSE will </w:t>
      </w:r>
      <w:r w:rsidR="00FA1E70" w:rsidRPr="00366807">
        <w:t xml:space="preserve">continue to work with the LEA to ensure that </w:t>
      </w:r>
      <w:r w:rsidR="00FA1E70" w:rsidRPr="00366807">
        <w:rPr>
          <w:b/>
          <w:bCs/>
        </w:rPr>
        <w:t>all corrections of individual noncompliance have been corrected as soon as possible</w:t>
      </w:r>
      <w:r w:rsidR="00184951" w:rsidRPr="00366807">
        <w:rPr>
          <w:b/>
          <w:bCs/>
          <w:i/>
          <w:iCs/>
        </w:rPr>
        <w:t>.</w:t>
      </w:r>
      <w:r w:rsidR="113B6608" w:rsidRPr="00366807">
        <w:t xml:space="preserve"> </w:t>
      </w:r>
    </w:p>
    <w:p w14:paraId="4F8BE6DB" w14:textId="47038F37" w:rsidR="00E76324" w:rsidRPr="00366807" w:rsidRDefault="00C93DD3" w:rsidP="00BA0609">
      <w:pPr>
        <w:pStyle w:val="BodyText"/>
      </w:pPr>
      <w:r w:rsidRPr="00366807">
        <w:t xml:space="preserve">Corrections </w:t>
      </w:r>
      <w:r w:rsidR="00184951" w:rsidRPr="00366807">
        <w:t>for individual noncompliance</w:t>
      </w:r>
      <w:r w:rsidRPr="00366807">
        <w:t xml:space="preserve"> </w:t>
      </w:r>
      <w:r w:rsidR="00265F6B" w:rsidRPr="00366807">
        <w:t>must</w:t>
      </w:r>
      <w:r w:rsidRPr="00366807">
        <w:t xml:space="preserve"> be made through </w:t>
      </w:r>
      <w:r w:rsidR="0056203B" w:rsidRPr="00366807">
        <w:t xml:space="preserve">a targeted </w:t>
      </w:r>
      <w:r w:rsidR="00221E99" w:rsidRPr="00366807">
        <w:t xml:space="preserve">or full </w:t>
      </w:r>
      <w:r w:rsidR="0056203B" w:rsidRPr="00366807">
        <w:t xml:space="preserve">IEP </w:t>
      </w:r>
      <w:r w:rsidR="00FC6361" w:rsidRPr="00366807">
        <w:t>meeting</w:t>
      </w:r>
      <w:r w:rsidR="00B97980" w:rsidRPr="00366807">
        <w:t>,</w:t>
      </w:r>
      <w:r w:rsidR="00FC6361" w:rsidRPr="00366807">
        <w:t xml:space="preserve"> or</w:t>
      </w:r>
      <w:r w:rsidR="0056203B" w:rsidRPr="00366807">
        <w:t xml:space="preserve"> </w:t>
      </w:r>
      <w:r w:rsidR="00794473" w:rsidRPr="00366807">
        <w:t>by appropriately amending the IEP if the noncompliance is the result of a clerical error</w:t>
      </w:r>
      <w:r w:rsidR="00794473" w:rsidRPr="00366807" w:rsidDel="00794473">
        <w:t xml:space="preserve"> </w:t>
      </w:r>
      <w:r w:rsidR="002622CC" w:rsidRPr="00366807">
        <w:t>(see Policy 2419</w:t>
      </w:r>
      <w:r w:rsidR="005A038B" w:rsidRPr="00366807">
        <w:t xml:space="preserve"> Ch. 5</w:t>
      </w:r>
      <w:r w:rsidR="00DF5A73" w:rsidRPr="00366807">
        <w:t xml:space="preserve"> §</w:t>
      </w:r>
      <w:proofErr w:type="gramStart"/>
      <w:r w:rsidR="00535CD7" w:rsidRPr="00366807">
        <w:t>3.</w:t>
      </w:r>
      <w:r w:rsidR="00D275A9" w:rsidRPr="00366807">
        <w:t>B</w:t>
      </w:r>
      <w:proofErr w:type="gramEnd"/>
      <w:r w:rsidR="007A58A8" w:rsidRPr="00366807">
        <w:t>)</w:t>
      </w:r>
      <w:r w:rsidR="0056203B" w:rsidRPr="00366807">
        <w:t xml:space="preserve">. </w:t>
      </w:r>
      <w:r w:rsidR="00C678BE" w:rsidRPr="00366807">
        <w:t>E</w:t>
      </w:r>
      <w:r w:rsidR="00FC6361" w:rsidRPr="00366807">
        <w:t>vidence</w:t>
      </w:r>
      <w:r w:rsidR="008104A9" w:rsidRPr="00366807">
        <w:t xml:space="preserve"> of any discussions regarding </w:t>
      </w:r>
      <w:r w:rsidR="008B18B8" w:rsidRPr="00366807">
        <w:t>the potential</w:t>
      </w:r>
      <w:r w:rsidR="008104A9" w:rsidRPr="00366807">
        <w:t xml:space="preserve"> need for compensatory services </w:t>
      </w:r>
      <w:r w:rsidR="00C678BE" w:rsidRPr="00366807">
        <w:t xml:space="preserve">must be documented </w:t>
      </w:r>
      <w:r w:rsidR="008104A9" w:rsidRPr="00366807">
        <w:t xml:space="preserve">in the </w:t>
      </w:r>
      <w:r w:rsidR="00782B3C" w:rsidRPr="00366807">
        <w:t>prior written notice (</w:t>
      </w:r>
      <w:r w:rsidR="008104A9" w:rsidRPr="00366807">
        <w:t>PWN</w:t>
      </w:r>
      <w:r w:rsidR="00782B3C" w:rsidRPr="00366807">
        <w:t xml:space="preserve">) in </w:t>
      </w:r>
      <w:r w:rsidR="00A01EDD" w:rsidRPr="00366807">
        <w:t>WVEIS</w:t>
      </w:r>
      <w:r w:rsidR="75E0F26F" w:rsidRPr="00366807">
        <w:t xml:space="preserve">. </w:t>
      </w:r>
      <w:r w:rsidR="07BB8293" w:rsidRPr="00366807">
        <w:t xml:space="preserve">WVDE </w:t>
      </w:r>
      <w:r w:rsidR="00A12B8E" w:rsidRPr="00366807">
        <w:t xml:space="preserve">OSE </w:t>
      </w:r>
      <w:r w:rsidR="32101F22" w:rsidRPr="00366807">
        <w:t>will</w:t>
      </w:r>
      <w:r w:rsidR="3B86A5A5" w:rsidRPr="00366807">
        <w:t xml:space="preserve"> begin</w:t>
      </w:r>
      <w:r w:rsidR="32101F22" w:rsidRPr="00366807">
        <w:t xml:space="preserve"> </w:t>
      </w:r>
      <w:r w:rsidR="485C2E43" w:rsidRPr="00366807">
        <w:t xml:space="preserve">verification of correction for individual </w:t>
      </w:r>
      <w:r w:rsidR="32101F22" w:rsidRPr="00366807">
        <w:t>student files in WVEIS a</w:t>
      </w:r>
      <w:r w:rsidR="00317C3E" w:rsidRPr="00366807">
        <w:t xml:space="preserve">s soon as possible after </w:t>
      </w:r>
      <w:r w:rsidR="302BF1CC" w:rsidRPr="00366807">
        <w:t>the</w:t>
      </w:r>
      <w:r w:rsidR="218161FA" w:rsidRPr="00366807">
        <w:t xml:space="preserve"> </w:t>
      </w:r>
      <w:r w:rsidR="00A4598A" w:rsidRPr="00366807">
        <w:t>60-day timeline</w:t>
      </w:r>
      <w:r w:rsidR="32101F22" w:rsidRPr="00366807">
        <w:t xml:space="preserve"> </w:t>
      </w:r>
      <w:r w:rsidR="00E92D2F" w:rsidRPr="00366807">
        <w:t>to ensure students are receiving FAPE from</w:t>
      </w:r>
      <w:r w:rsidR="218161FA" w:rsidRPr="00366807">
        <w:t xml:space="preserve"> the </w:t>
      </w:r>
      <w:r w:rsidR="00E92D2F" w:rsidRPr="00366807">
        <w:t>LEA</w:t>
      </w:r>
      <w:r w:rsidR="302BF1CC" w:rsidRPr="00366807">
        <w:t xml:space="preserve">. </w:t>
      </w:r>
    </w:p>
    <w:p w14:paraId="4F8F9258" w14:textId="015505BC" w:rsidR="006211EE" w:rsidRPr="00366807" w:rsidRDefault="006211EE" w:rsidP="00BA0609">
      <w:pPr>
        <w:pStyle w:val="Heading2"/>
      </w:pPr>
      <w:r w:rsidRPr="00366807">
        <w:t xml:space="preserve">Correcting Findings of Systemic Noncompliance (July – </w:t>
      </w:r>
      <w:r w:rsidR="00F157EB" w:rsidRPr="00366807">
        <w:t>December</w:t>
      </w:r>
      <w:r w:rsidRPr="00366807">
        <w:t>)</w:t>
      </w:r>
    </w:p>
    <w:p w14:paraId="36B5F65A" w14:textId="0CFD8CFA" w:rsidR="00F4218A" w:rsidRPr="00366807" w:rsidRDefault="00F839EA" w:rsidP="00BA0609">
      <w:pPr>
        <w:pStyle w:val="BodyText"/>
      </w:pPr>
      <w:r w:rsidRPr="00366807">
        <w:t>Al</w:t>
      </w:r>
      <w:r w:rsidR="000225C9" w:rsidRPr="00366807">
        <w:t xml:space="preserve">l corrections of </w:t>
      </w:r>
      <w:r w:rsidR="00275B53" w:rsidRPr="00366807">
        <w:t xml:space="preserve">systemic </w:t>
      </w:r>
      <w:r w:rsidR="000225C9" w:rsidRPr="00366807">
        <w:t xml:space="preserve">noncompliance </w:t>
      </w:r>
      <w:r w:rsidR="00101C9E" w:rsidRPr="00366807">
        <w:t xml:space="preserve">should begin as soon as possible and </w:t>
      </w:r>
      <w:r w:rsidR="000225C9" w:rsidRPr="00366807">
        <w:t xml:space="preserve">must be </w:t>
      </w:r>
      <w:r w:rsidR="00E60D14" w:rsidRPr="00366807">
        <w:t xml:space="preserve">completed </w:t>
      </w:r>
      <w:r w:rsidR="00E60D14" w:rsidRPr="00366807">
        <w:rPr>
          <w:b/>
          <w:bCs/>
        </w:rPr>
        <w:t xml:space="preserve">within 6 months of written </w:t>
      </w:r>
      <w:r w:rsidR="00700583" w:rsidRPr="00366807">
        <w:rPr>
          <w:b/>
          <w:bCs/>
        </w:rPr>
        <w:t>notification</w:t>
      </w:r>
      <w:r w:rsidR="00700583" w:rsidRPr="00366807">
        <w:rPr>
          <w:b/>
          <w:bCs/>
          <w:i/>
          <w:iCs/>
        </w:rPr>
        <w:t>.</w:t>
      </w:r>
      <w:r w:rsidR="00700583" w:rsidRPr="00366807">
        <w:t xml:space="preserve"> This allows WVDE OSE staff </w:t>
      </w:r>
      <w:r w:rsidR="00AB518E" w:rsidRPr="00366807">
        <w:t xml:space="preserve">time to </w:t>
      </w:r>
      <w:r w:rsidR="008E4250" w:rsidRPr="00366807">
        <w:t>verify</w:t>
      </w:r>
      <w:r w:rsidR="00AB518E" w:rsidRPr="00366807">
        <w:t xml:space="preserve"> </w:t>
      </w:r>
      <w:r w:rsidR="00976D87" w:rsidRPr="00366807">
        <w:t xml:space="preserve">within the </w:t>
      </w:r>
      <w:r w:rsidR="00576FF3" w:rsidRPr="00366807">
        <w:t xml:space="preserve">required </w:t>
      </w:r>
      <w:r w:rsidR="00976D87" w:rsidRPr="00366807">
        <w:t xml:space="preserve">one-year timeframe </w:t>
      </w:r>
      <w:r w:rsidR="009711D8" w:rsidRPr="00366807">
        <w:t xml:space="preserve">that the </w:t>
      </w:r>
      <w:r w:rsidR="00976D87" w:rsidRPr="00366807">
        <w:t xml:space="preserve">LEA’s </w:t>
      </w:r>
      <w:r w:rsidR="000024FF" w:rsidRPr="00366807">
        <w:t>correction</w:t>
      </w:r>
      <w:r w:rsidR="009711D8" w:rsidRPr="00366807">
        <w:t xml:space="preserve"> of noncompliance addresses the extent and root cause of the identified noncompliance, in addition to </w:t>
      </w:r>
      <w:r w:rsidR="00374F81" w:rsidRPr="00366807">
        <w:t>ensuring that student-specific and systemic corrections</w:t>
      </w:r>
      <w:r w:rsidR="00976D87" w:rsidRPr="00366807">
        <w:t xml:space="preserve"> have been completed</w:t>
      </w:r>
      <w:r w:rsidR="003735AD" w:rsidRPr="00366807">
        <w:t xml:space="preserve"> (OSEP QA 23-01, B</w:t>
      </w:r>
      <w:r w:rsidR="00EA6A15" w:rsidRPr="00366807">
        <w:t>-14</w:t>
      </w:r>
      <w:r w:rsidR="003735AD" w:rsidRPr="00366807">
        <w:t>).</w:t>
      </w:r>
      <w:r w:rsidR="00445D09" w:rsidRPr="00366807">
        <w:t xml:space="preserve"> LEAs may not be </w:t>
      </w:r>
      <w:r w:rsidR="00B31FB7" w:rsidRPr="00366807">
        <w:t xml:space="preserve">considered </w:t>
      </w:r>
      <w:r w:rsidR="00445D09" w:rsidRPr="00366807">
        <w:t xml:space="preserve">cleared for systemic noncompliance if at any time they have individual </w:t>
      </w:r>
      <w:r w:rsidR="001B14DD" w:rsidRPr="00366807">
        <w:t xml:space="preserve">cases of </w:t>
      </w:r>
      <w:r w:rsidR="00445D09" w:rsidRPr="00366807">
        <w:t xml:space="preserve">noncompliance </w:t>
      </w:r>
      <w:r w:rsidR="00E16584" w:rsidRPr="00366807">
        <w:t xml:space="preserve">that </w:t>
      </w:r>
      <w:r w:rsidR="001B14DD" w:rsidRPr="00366807">
        <w:t xml:space="preserve">were </w:t>
      </w:r>
      <w:r w:rsidR="00E16584" w:rsidRPr="00366807">
        <w:t>not corrected within o</w:t>
      </w:r>
      <w:r w:rsidR="00445D09" w:rsidRPr="00366807">
        <w:t xml:space="preserve">ne </w:t>
      </w:r>
      <w:r w:rsidR="00F33D01" w:rsidRPr="00366807">
        <w:t>year or</w:t>
      </w:r>
      <w:r w:rsidR="006D46AB" w:rsidRPr="00366807">
        <w:t xml:space="preserve"> </w:t>
      </w:r>
      <w:r w:rsidR="00454CB5" w:rsidRPr="00366807">
        <w:t>have not completed corrective activities specified in written notification of noncompliance</w:t>
      </w:r>
      <w:r w:rsidR="008832F6" w:rsidRPr="00366807">
        <w:t>.</w:t>
      </w:r>
      <w:r w:rsidR="00454CB5" w:rsidRPr="00366807">
        <w:t xml:space="preserve"> </w:t>
      </w:r>
    </w:p>
    <w:p w14:paraId="24983E84" w14:textId="14F2248D" w:rsidR="00EF75C3" w:rsidRPr="00366807" w:rsidRDefault="005D67E2" w:rsidP="00BA0609">
      <w:pPr>
        <w:pStyle w:val="BodyText"/>
      </w:pPr>
      <w:r w:rsidRPr="00366807">
        <w:t xml:space="preserve">Regardless of the </w:t>
      </w:r>
      <w:r w:rsidR="00F82193">
        <w:t>level of</w:t>
      </w:r>
      <w:r w:rsidRPr="00366807">
        <w:t xml:space="preserve"> noncompliance, </w:t>
      </w:r>
      <w:r w:rsidR="00EF75C3" w:rsidRPr="00366807">
        <w:t xml:space="preserve">WVDE OSE staff will also review updated data prior to clearing corrections of noncompliance. </w:t>
      </w:r>
      <w:r w:rsidR="00EB220A" w:rsidRPr="00366807">
        <w:t>T</w:t>
      </w:r>
      <w:r w:rsidR="00017EC7" w:rsidRPr="00366807">
        <w:t xml:space="preserve">his process will verify that the LEA is correctly implementing the regulatory requirements and has achieved 100% compliance. </w:t>
      </w:r>
      <w:r w:rsidR="00EF75C3" w:rsidRPr="00366807">
        <w:t>The number of files reviewed is based on the previous year’s December 1 child count. For LEAs with &gt;2500 students with disabilities (</w:t>
      </w:r>
      <w:r w:rsidR="00DA5CC6" w:rsidRPr="00366807">
        <w:t>excluding gifted/exceptionally gifted</w:t>
      </w:r>
      <w:r w:rsidR="00EF75C3" w:rsidRPr="00366807">
        <w:t xml:space="preserve">), five (5) additional files will be reviewed; all other LEAs will have three (3) additional files reviewed. If 100% compliance is not achieved, additional WVDE/OSE data pulls will be necessary to clear noncompliance. </w:t>
      </w:r>
    </w:p>
    <w:p w14:paraId="5891C290" w14:textId="3976E8CF" w:rsidR="00714007" w:rsidRPr="00366807" w:rsidRDefault="00714007" w:rsidP="00BA0609">
      <w:pPr>
        <w:pStyle w:val="BodyText"/>
      </w:pPr>
      <w:r w:rsidRPr="00366807">
        <w:t xml:space="preserve">The WVDE OSE has established a tiered methodology </w:t>
      </w:r>
      <w:r w:rsidR="00B7027A" w:rsidRPr="00366807">
        <w:t>for</w:t>
      </w:r>
      <w:r w:rsidRPr="00366807">
        <w:t xml:space="preserve"> identification and correction of systemic noncompliance related to secondary transition plans reported in Indicator 13.</w:t>
      </w:r>
      <w:r w:rsidR="00425627">
        <w:t xml:space="preserve"> </w:t>
      </w:r>
      <w:r w:rsidR="00932481" w:rsidRPr="00366807">
        <w:t xml:space="preserve">This </w:t>
      </w:r>
      <w:r w:rsidR="00932481" w:rsidRPr="00366807">
        <w:lastRenderedPageBreak/>
        <w:t xml:space="preserve">tiered approach </w:t>
      </w:r>
      <w:r w:rsidR="003E4F8D" w:rsidRPr="00366807">
        <w:t>is based on score</w:t>
      </w:r>
      <w:r w:rsidR="002C10C5" w:rsidRPr="00366807">
        <w:t>s</w:t>
      </w:r>
      <w:r w:rsidR="003E4F8D" w:rsidRPr="00366807">
        <w:t xml:space="preserve"> reported on the LEA </w:t>
      </w:r>
      <w:r w:rsidR="002C10C5" w:rsidRPr="00366807">
        <w:t>Determinations and</w:t>
      </w:r>
      <w:r w:rsidR="003E4F8D" w:rsidRPr="00366807">
        <w:t xml:space="preserve"> </w:t>
      </w:r>
      <w:r w:rsidR="000C1F54" w:rsidRPr="00366807">
        <w:t xml:space="preserve">allows </w:t>
      </w:r>
      <w:r w:rsidR="00940AB0" w:rsidRPr="00366807">
        <w:t>WVD</w:t>
      </w:r>
      <w:r w:rsidR="001416C8" w:rsidRPr="00366807">
        <w:t>E</w:t>
      </w:r>
      <w:r w:rsidR="00940AB0" w:rsidRPr="00366807">
        <w:t xml:space="preserve"> OSE staff to determine whether the noncompliance was an isolated incident</w:t>
      </w:r>
      <w:r w:rsidR="00C61A9A" w:rsidRPr="00366807">
        <w:t xml:space="preserve"> or a longstanding issue that has been the subject of repeated corrective action plans</w:t>
      </w:r>
      <w:r w:rsidR="00DE2CD1" w:rsidRPr="00366807">
        <w:t xml:space="preserve"> (OSEP QA 23-01, B</w:t>
      </w:r>
      <w:r w:rsidR="00C61A9A" w:rsidRPr="00366807">
        <w:t>-14</w:t>
      </w:r>
      <w:r w:rsidR="00DE2CD1" w:rsidRPr="00366807">
        <w:t>).</w:t>
      </w:r>
    </w:p>
    <w:p w14:paraId="1CAE1C41" w14:textId="5C659FAC" w:rsidR="003F4325" w:rsidRPr="00BA0609" w:rsidRDefault="003E28BD" w:rsidP="00BA0609">
      <w:pPr>
        <w:pStyle w:val="Heading2"/>
      </w:pPr>
      <w:r w:rsidRPr="00BA0609">
        <w:t>Universal</w:t>
      </w:r>
      <w:r w:rsidR="00C277F0" w:rsidRPr="00BA0609">
        <w:t xml:space="preserve"> Method</w:t>
      </w:r>
    </w:p>
    <w:p w14:paraId="09F039CF" w14:textId="0D20DD40" w:rsidR="003F4325" w:rsidRPr="00366807" w:rsidRDefault="00910698" w:rsidP="00BA0609">
      <w:pPr>
        <w:pStyle w:val="BodyText"/>
      </w:pPr>
      <w:r w:rsidRPr="00366807">
        <w:t xml:space="preserve">Includes </w:t>
      </w:r>
      <w:r w:rsidR="003F4325" w:rsidRPr="00366807">
        <w:t>LEA</w:t>
      </w:r>
      <w:r w:rsidRPr="00366807">
        <w:t xml:space="preserve">s who </w:t>
      </w:r>
      <w:r w:rsidR="003F4325" w:rsidRPr="00366807">
        <w:t xml:space="preserve">score </w:t>
      </w:r>
      <w:r w:rsidR="003F4325" w:rsidRPr="00366807">
        <w:rPr>
          <w:b/>
          <w:bCs/>
          <w:u w:val="single"/>
        </w:rPr>
        <w:t xml:space="preserve">between 80% and 99% </w:t>
      </w:r>
      <w:r w:rsidR="003F4325" w:rsidRPr="00366807">
        <w:t xml:space="preserve">compliance on their Indicator 13 </w:t>
      </w:r>
      <w:r w:rsidR="00EB51DD" w:rsidRPr="00366807">
        <w:t>D</w:t>
      </w:r>
      <w:r w:rsidR="009B57DA" w:rsidRPr="00366807">
        <w:t xml:space="preserve">ata </w:t>
      </w:r>
      <w:r w:rsidR="00EB51DD" w:rsidRPr="00366807">
        <w:t>P</w:t>
      </w:r>
      <w:r w:rsidR="009B57DA" w:rsidRPr="00366807">
        <w:t>ull</w:t>
      </w:r>
      <w:r w:rsidR="003F4325" w:rsidRPr="00366807">
        <w:t xml:space="preserve">. </w:t>
      </w:r>
      <w:r w:rsidR="00C20442" w:rsidRPr="00366807">
        <w:t>T</w:t>
      </w:r>
      <w:r w:rsidR="003F4325" w:rsidRPr="00366807">
        <w:t>he LEA can</w:t>
      </w:r>
      <w:r w:rsidR="0001602D" w:rsidRPr="00366807">
        <w:t xml:space="preserve"> </w:t>
      </w:r>
      <w:r w:rsidR="00C20442" w:rsidRPr="00366807">
        <w:t xml:space="preserve">typically </w:t>
      </w:r>
      <w:r w:rsidR="003F4325" w:rsidRPr="00366807">
        <w:t xml:space="preserve">address the </w:t>
      </w:r>
      <w:r w:rsidR="00DF0C72" w:rsidRPr="00366807">
        <w:t>isolated inciden</w:t>
      </w:r>
      <w:r w:rsidR="00B4280F" w:rsidRPr="00366807">
        <w:t>t</w:t>
      </w:r>
      <w:r w:rsidR="00DF0C72" w:rsidRPr="00366807">
        <w:t xml:space="preserve"> of noncompliance</w:t>
      </w:r>
      <w:r w:rsidR="00C20442" w:rsidRPr="00366807">
        <w:t xml:space="preserve"> with the correction of individual cases of noncompliance</w:t>
      </w:r>
      <w:r w:rsidR="003F4325" w:rsidRPr="00366807">
        <w:t>.</w:t>
      </w:r>
      <w:r w:rsidR="00A4408F" w:rsidRPr="00366807">
        <w:t xml:space="preserve"> </w:t>
      </w:r>
    </w:p>
    <w:p w14:paraId="4469B7B6" w14:textId="2E0B2B0F" w:rsidR="00976046" w:rsidRPr="00366807" w:rsidRDefault="003F4325" w:rsidP="00BA0609">
      <w:pPr>
        <w:pStyle w:val="BodyText"/>
      </w:pPr>
      <w:r w:rsidRPr="00366807">
        <w:t xml:space="preserve">While not required, </w:t>
      </w:r>
      <w:r w:rsidRPr="00366807">
        <w:rPr>
          <w:b/>
          <w:bCs/>
        </w:rPr>
        <w:t>LEAs are strongly encouraged</w:t>
      </w:r>
      <w:r w:rsidRPr="00366807">
        <w:t xml:space="preserve"> to enroll in the </w:t>
      </w:r>
      <w:r w:rsidR="00A02B6B" w:rsidRPr="00366807">
        <w:t>“</w:t>
      </w:r>
      <w:r w:rsidRPr="00366807">
        <w:rPr>
          <w:i/>
          <w:iCs/>
        </w:rPr>
        <w:t>Writing High Quality Secondary Transition Plans</w:t>
      </w:r>
      <w:r w:rsidR="00A02B6B" w:rsidRPr="00366807">
        <w:rPr>
          <w:i/>
          <w:iCs/>
        </w:rPr>
        <w:t>”</w:t>
      </w:r>
      <w:r w:rsidRPr="00366807">
        <w:t xml:space="preserve"> Canvas course developed by the WVDE</w:t>
      </w:r>
      <w:r w:rsidR="008271A6" w:rsidRPr="00366807">
        <w:t xml:space="preserve">, </w:t>
      </w:r>
      <w:r w:rsidR="007E0DF4" w:rsidRPr="00366807">
        <w:t>develop</w:t>
      </w:r>
      <w:r w:rsidRPr="00366807">
        <w:t xml:space="preserve"> their own training based on the resources provided on the </w:t>
      </w:r>
      <w:r w:rsidR="00946DCC" w:rsidRPr="00D73E54">
        <w:rPr>
          <w:rFonts w:eastAsia="ArialMT" w:cs="ArialMT"/>
          <w:kern w:val="0"/>
        </w:rPr>
        <w:t>WV Guideposts to Graduation website</w:t>
      </w:r>
      <w:r w:rsidR="008271A6" w:rsidRPr="00D73E54">
        <w:t>,</w:t>
      </w:r>
      <w:r w:rsidR="00EB1E70" w:rsidRPr="00366807">
        <w:t xml:space="preserve"> and/or</w:t>
      </w:r>
      <w:r w:rsidR="008271A6" w:rsidRPr="00366807">
        <w:t xml:space="preserve"> conduct internal monitoring of their own secondary transition plans.</w:t>
      </w:r>
      <w:r w:rsidR="007E0DF4" w:rsidRPr="00366807">
        <w:t xml:space="preserve"> </w:t>
      </w:r>
      <w:r w:rsidR="00976046" w:rsidRPr="00366807">
        <w:t xml:space="preserve">LEAs are encouraged to document their processes and practices for </w:t>
      </w:r>
      <w:r w:rsidR="0010638A" w:rsidRPr="00366807">
        <w:t xml:space="preserve">reviewing secondary transition plans. </w:t>
      </w:r>
    </w:p>
    <w:p w14:paraId="14EC659A" w14:textId="7BD0C980" w:rsidR="003F4325" w:rsidRPr="00BA0609" w:rsidRDefault="00105034" w:rsidP="00BA0609">
      <w:pPr>
        <w:pStyle w:val="Heading2"/>
      </w:pPr>
      <w:r w:rsidRPr="00BA0609">
        <w:t>Targeted</w:t>
      </w:r>
      <w:r w:rsidR="0043030D" w:rsidRPr="00BA0609">
        <w:t xml:space="preserve"> </w:t>
      </w:r>
      <w:r w:rsidR="00C277F0" w:rsidRPr="00BA0609">
        <w:t>Method</w:t>
      </w:r>
    </w:p>
    <w:p w14:paraId="6E248A3A" w14:textId="03E8B9BF" w:rsidR="00475D50" w:rsidRPr="00366807" w:rsidRDefault="00910698" w:rsidP="00BA0609">
      <w:pPr>
        <w:pStyle w:val="BodyText"/>
      </w:pPr>
      <w:r w:rsidRPr="00366807">
        <w:t xml:space="preserve">Includes LEAs who score </w:t>
      </w:r>
      <w:r w:rsidR="0007481F" w:rsidRPr="00366807">
        <w:rPr>
          <w:b/>
          <w:bCs/>
          <w:u w:val="single"/>
        </w:rPr>
        <w:t xml:space="preserve">between </w:t>
      </w:r>
      <w:r w:rsidR="003562AD" w:rsidRPr="00366807">
        <w:rPr>
          <w:b/>
          <w:bCs/>
          <w:u w:val="single"/>
        </w:rPr>
        <w:t>70%</w:t>
      </w:r>
      <w:r w:rsidR="0007481F" w:rsidRPr="00366807">
        <w:rPr>
          <w:b/>
          <w:bCs/>
          <w:u w:val="single"/>
        </w:rPr>
        <w:t xml:space="preserve"> and 79%</w:t>
      </w:r>
      <w:r w:rsidR="00E85867" w:rsidRPr="00366807">
        <w:t xml:space="preserve"> </w:t>
      </w:r>
      <w:r w:rsidR="0007481F" w:rsidRPr="00366807">
        <w:t xml:space="preserve">compliance on their </w:t>
      </w:r>
      <w:r w:rsidR="00804D1C" w:rsidRPr="00366807">
        <w:t xml:space="preserve">Indicator 13 </w:t>
      </w:r>
      <w:r w:rsidR="00E547F7" w:rsidRPr="00366807">
        <w:t>D</w:t>
      </w:r>
      <w:r w:rsidR="00804D1C" w:rsidRPr="00366807">
        <w:t xml:space="preserve">ata </w:t>
      </w:r>
      <w:r w:rsidR="00E547F7" w:rsidRPr="00366807">
        <w:t>P</w:t>
      </w:r>
      <w:r w:rsidR="00804D1C" w:rsidRPr="00366807">
        <w:t>ull</w:t>
      </w:r>
      <w:r w:rsidR="0007481F" w:rsidRPr="00366807">
        <w:t xml:space="preserve">. </w:t>
      </w:r>
      <w:r w:rsidR="00B01FA8" w:rsidRPr="00366807">
        <w:t>W</w:t>
      </w:r>
      <w:r w:rsidR="003F4325" w:rsidRPr="00366807">
        <w:t xml:space="preserve">hile the correction of individual noncompliant IEPs is still a requirement, </w:t>
      </w:r>
      <w:r w:rsidR="00E547F7" w:rsidRPr="00366807">
        <w:rPr>
          <w:b/>
          <w:bCs/>
        </w:rPr>
        <w:t xml:space="preserve">LEAs must also </w:t>
      </w:r>
      <w:r w:rsidR="00311975" w:rsidRPr="00366807">
        <w:rPr>
          <w:b/>
          <w:bCs/>
        </w:rPr>
        <w:t xml:space="preserve">have </w:t>
      </w:r>
      <w:r w:rsidR="00311975" w:rsidRPr="00366807">
        <w:rPr>
          <w:b/>
          <w:bCs/>
          <w:u w:val="single"/>
        </w:rPr>
        <w:t>all</w:t>
      </w:r>
      <w:r w:rsidR="00311975" w:rsidRPr="00366807">
        <w:rPr>
          <w:b/>
          <w:bCs/>
        </w:rPr>
        <w:t xml:space="preserve"> </w:t>
      </w:r>
      <w:r w:rsidR="00475D50" w:rsidRPr="00366807">
        <w:rPr>
          <w:b/>
          <w:bCs/>
        </w:rPr>
        <w:t>staff</w:t>
      </w:r>
      <w:r w:rsidR="00475D50" w:rsidRPr="00366807">
        <w:t xml:space="preserve"> who</w:t>
      </w:r>
      <w:r w:rsidR="00311975" w:rsidRPr="00366807">
        <w:t xml:space="preserve"> </w:t>
      </w:r>
      <w:r w:rsidR="00DC03D9" w:rsidRPr="00366807">
        <w:t>write,</w:t>
      </w:r>
      <w:r w:rsidR="00311975" w:rsidRPr="00366807">
        <w:t xml:space="preserve"> or review transition plan</w:t>
      </w:r>
      <w:r w:rsidR="0053597F" w:rsidRPr="00366807">
        <w:t>s</w:t>
      </w:r>
      <w:r w:rsidR="00311975" w:rsidRPr="00366807">
        <w:rPr>
          <w:b/>
          <w:bCs/>
          <w:i/>
          <w:iCs/>
        </w:rPr>
        <w:t xml:space="preserve"> </w:t>
      </w:r>
      <w:r w:rsidR="00475D50" w:rsidRPr="00366807">
        <w:rPr>
          <w:b/>
          <w:bCs/>
        </w:rPr>
        <w:t xml:space="preserve">successfully </w:t>
      </w:r>
      <w:r w:rsidR="00311975" w:rsidRPr="00366807">
        <w:rPr>
          <w:b/>
          <w:bCs/>
        </w:rPr>
        <w:t xml:space="preserve">complete </w:t>
      </w:r>
      <w:r w:rsidR="00B01F6B" w:rsidRPr="00366807">
        <w:rPr>
          <w:b/>
          <w:bCs/>
        </w:rPr>
        <w:t>the</w:t>
      </w:r>
      <w:r w:rsidR="00B01F6B" w:rsidRPr="00366807">
        <w:rPr>
          <w:b/>
          <w:bCs/>
          <w:i/>
          <w:iCs/>
        </w:rPr>
        <w:t xml:space="preserve"> </w:t>
      </w:r>
      <w:r w:rsidR="00FF76F5" w:rsidRPr="00366807">
        <w:rPr>
          <w:b/>
          <w:bCs/>
          <w:i/>
          <w:iCs/>
        </w:rPr>
        <w:t>“</w:t>
      </w:r>
      <w:r w:rsidR="00B01F6B" w:rsidRPr="00366807">
        <w:rPr>
          <w:b/>
          <w:bCs/>
          <w:i/>
          <w:iCs/>
        </w:rPr>
        <w:t>Writing High Quality Secondary Transition Plans</w:t>
      </w:r>
      <w:r w:rsidR="00FF76F5" w:rsidRPr="00366807">
        <w:rPr>
          <w:b/>
          <w:bCs/>
          <w:i/>
          <w:iCs/>
        </w:rPr>
        <w:t>”</w:t>
      </w:r>
      <w:r w:rsidR="00B01F6B" w:rsidRPr="00366807">
        <w:rPr>
          <w:b/>
          <w:bCs/>
          <w:i/>
          <w:iCs/>
        </w:rPr>
        <w:t xml:space="preserve"> </w:t>
      </w:r>
      <w:r w:rsidR="00B01F6B" w:rsidRPr="00366807">
        <w:t>Canvas course developed by the WVDE</w:t>
      </w:r>
      <w:r w:rsidR="008A0336" w:rsidRPr="00366807">
        <w:t xml:space="preserve"> prior to the </w:t>
      </w:r>
      <w:r w:rsidR="005F3390" w:rsidRPr="00366807">
        <w:t>next</w:t>
      </w:r>
      <w:r w:rsidR="008A0336" w:rsidRPr="00366807">
        <w:t xml:space="preserve"> Indicator 13 </w:t>
      </w:r>
      <w:r w:rsidR="006A1CAB" w:rsidRPr="00366807">
        <w:t>D</w:t>
      </w:r>
      <w:r w:rsidR="008A0336" w:rsidRPr="00366807">
        <w:t xml:space="preserve">ata </w:t>
      </w:r>
      <w:r w:rsidR="006A1CAB" w:rsidRPr="00366807">
        <w:t>P</w:t>
      </w:r>
      <w:r w:rsidR="008A0336" w:rsidRPr="00366807">
        <w:t>ull</w:t>
      </w:r>
      <w:r w:rsidR="00677889" w:rsidRPr="00366807">
        <w:t xml:space="preserve">. </w:t>
      </w:r>
      <w:r w:rsidR="00F9422F" w:rsidRPr="00366807">
        <w:t xml:space="preserve">Meeting </w:t>
      </w:r>
      <w:r w:rsidR="00A81C1D" w:rsidRPr="00366807">
        <w:t>this requirement</w:t>
      </w:r>
      <w:r w:rsidR="00F9422F" w:rsidRPr="00366807">
        <w:t xml:space="preserve"> involves the following</w:t>
      </w:r>
      <w:r w:rsidR="00A81C1D" w:rsidRPr="00366807">
        <w:t xml:space="preserve">: </w:t>
      </w:r>
    </w:p>
    <w:p w14:paraId="104DA55D" w14:textId="222B31DC" w:rsidR="00311975" w:rsidRPr="00230BC5" w:rsidRDefault="00677889" w:rsidP="00EC5E68">
      <w:pPr>
        <w:pStyle w:val="ListParagraph"/>
        <w:numPr>
          <w:ilvl w:val="0"/>
          <w:numId w:val="7"/>
        </w:numPr>
        <w:autoSpaceDE w:val="0"/>
        <w:autoSpaceDN w:val="0"/>
        <w:adjustRightInd w:val="0"/>
        <w:spacing w:after="240" w:line="240" w:lineRule="auto"/>
        <w:rPr>
          <w:rFonts w:ascii="Fira Sans Light" w:hAnsi="Fira Sans Light"/>
          <w:color w:val="000000" w:themeColor="text1"/>
          <w:sz w:val="21"/>
          <w:szCs w:val="21"/>
        </w:rPr>
      </w:pPr>
      <w:r w:rsidRPr="00230BC5">
        <w:rPr>
          <w:rFonts w:ascii="Fira Sans Light" w:hAnsi="Fira Sans Light"/>
          <w:color w:val="000000" w:themeColor="text1"/>
          <w:sz w:val="21"/>
          <w:szCs w:val="21"/>
        </w:rPr>
        <w:t xml:space="preserve">Successful completion occurs when </w:t>
      </w:r>
      <w:r w:rsidR="00311975" w:rsidRPr="00230BC5">
        <w:rPr>
          <w:rFonts w:ascii="Fira Sans Light" w:hAnsi="Fira Sans Light"/>
          <w:color w:val="000000" w:themeColor="text1"/>
          <w:sz w:val="21"/>
          <w:szCs w:val="21"/>
        </w:rPr>
        <w:t>80% of staff enrolled in the course achiev</w:t>
      </w:r>
      <w:r w:rsidRPr="00230BC5">
        <w:rPr>
          <w:rFonts w:ascii="Fira Sans Light" w:hAnsi="Fira Sans Light"/>
          <w:color w:val="000000" w:themeColor="text1"/>
          <w:sz w:val="21"/>
          <w:szCs w:val="21"/>
        </w:rPr>
        <w:t>e</w:t>
      </w:r>
      <w:r w:rsidR="00311975" w:rsidRPr="00230BC5">
        <w:rPr>
          <w:rFonts w:ascii="Fira Sans Light" w:hAnsi="Fira Sans Light"/>
          <w:color w:val="000000" w:themeColor="text1"/>
          <w:sz w:val="21"/>
          <w:szCs w:val="21"/>
        </w:rPr>
        <w:t xml:space="preserve"> a minimum score of 80% on the final quiz.</w:t>
      </w:r>
    </w:p>
    <w:p w14:paraId="33288879" w14:textId="60AD605D" w:rsidR="00475D50" w:rsidRPr="00230BC5" w:rsidRDefault="006C0C09" w:rsidP="00EC5E68">
      <w:pPr>
        <w:pStyle w:val="ListParagraph"/>
        <w:numPr>
          <w:ilvl w:val="0"/>
          <w:numId w:val="7"/>
        </w:numPr>
        <w:autoSpaceDE w:val="0"/>
        <w:autoSpaceDN w:val="0"/>
        <w:adjustRightInd w:val="0"/>
        <w:spacing w:after="240" w:line="240" w:lineRule="auto"/>
        <w:rPr>
          <w:rFonts w:ascii="Fira Sans Light" w:hAnsi="Fira Sans Light"/>
          <w:color w:val="000000" w:themeColor="text1"/>
          <w:sz w:val="21"/>
          <w:szCs w:val="21"/>
        </w:rPr>
      </w:pPr>
      <w:r w:rsidRPr="00230BC5">
        <w:rPr>
          <w:rFonts w:ascii="Fira Sans Light" w:hAnsi="Fira Sans Light"/>
          <w:color w:val="000000" w:themeColor="text1"/>
          <w:sz w:val="21"/>
          <w:szCs w:val="21"/>
        </w:rPr>
        <w:t xml:space="preserve">Staff </w:t>
      </w:r>
      <w:r w:rsidR="00F909DA" w:rsidRPr="00230BC5">
        <w:rPr>
          <w:rFonts w:ascii="Fira Sans Light" w:hAnsi="Fira Sans Light"/>
          <w:color w:val="000000" w:themeColor="text1"/>
          <w:sz w:val="21"/>
          <w:szCs w:val="21"/>
        </w:rPr>
        <w:t>have three (3) attempts to take and pass the final quiz (</w:t>
      </w:r>
      <w:r w:rsidR="00304DD3" w:rsidRPr="00230BC5">
        <w:rPr>
          <w:rFonts w:ascii="Fira Sans Light" w:hAnsi="Fira Sans Light"/>
          <w:color w:val="000000" w:themeColor="text1"/>
          <w:sz w:val="21"/>
          <w:szCs w:val="21"/>
        </w:rPr>
        <w:t xml:space="preserve">they must wait 7 days between each attempt). The highest score is automatically recorded and considered the final grade for the quiz. </w:t>
      </w:r>
    </w:p>
    <w:p w14:paraId="010EAD48" w14:textId="368D07BF" w:rsidR="008D79AB" w:rsidRPr="00230BC5" w:rsidRDefault="00CA50FA" w:rsidP="00EC5E68">
      <w:pPr>
        <w:pStyle w:val="ListParagraph"/>
        <w:numPr>
          <w:ilvl w:val="0"/>
          <w:numId w:val="7"/>
        </w:numPr>
        <w:autoSpaceDE w:val="0"/>
        <w:autoSpaceDN w:val="0"/>
        <w:adjustRightInd w:val="0"/>
        <w:spacing w:after="240" w:line="240" w:lineRule="auto"/>
        <w:contextualSpacing w:val="0"/>
        <w:rPr>
          <w:rFonts w:ascii="Fira Sans Light" w:hAnsi="Fira Sans Light"/>
          <w:color w:val="000000" w:themeColor="text1"/>
          <w:sz w:val="21"/>
          <w:szCs w:val="21"/>
        </w:rPr>
      </w:pPr>
      <w:r w:rsidRPr="00230BC5">
        <w:rPr>
          <w:rFonts w:ascii="Fira Sans Light" w:hAnsi="Fira Sans Light"/>
          <w:color w:val="000000" w:themeColor="text1"/>
          <w:sz w:val="21"/>
          <w:szCs w:val="21"/>
        </w:rPr>
        <w:t xml:space="preserve">Staff will receive a certificate of completion for all scores 80% or above. </w:t>
      </w:r>
      <w:r w:rsidR="00304DD3" w:rsidRPr="00230BC5">
        <w:rPr>
          <w:rFonts w:ascii="Fira Sans Light" w:hAnsi="Fira Sans Light"/>
          <w:color w:val="000000" w:themeColor="text1"/>
          <w:sz w:val="21"/>
          <w:szCs w:val="21"/>
        </w:rPr>
        <w:t xml:space="preserve">LEAs are </w:t>
      </w:r>
      <w:r w:rsidRPr="00230BC5">
        <w:rPr>
          <w:rFonts w:ascii="Fira Sans Light" w:hAnsi="Fira Sans Light"/>
          <w:color w:val="000000" w:themeColor="text1"/>
          <w:sz w:val="21"/>
          <w:szCs w:val="21"/>
        </w:rPr>
        <w:t>encouraged to collect these certificates</w:t>
      </w:r>
      <w:r w:rsidR="009A2DD6" w:rsidRPr="00230BC5">
        <w:rPr>
          <w:rFonts w:ascii="Fira Sans Light" w:hAnsi="Fira Sans Light"/>
          <w:color w:val="000000" w:themeColor="text1"/>
          <w:sz w:val="21"/>
          <w:szCs w:val="21"/>
        </w:rPr>
        <w:t xml:space="preserve"> as </w:t>
      </w:r>
      <w:r w:rsidR="00D67E92" w:rsidRPr="00230BC5">
        <w:rPr>
          <w:rFonts w:ascii="Fira Sans Light" w:hAnsi="Fira Sans Light"/>
          <w:color w:val="000000" w:themeColor="text1"/>
          <w:sz w:val="21"/>
          <w:szCs w:val="21"/>
        </w:rPr>
        <w:t xml:space="preserve">WVDE </w:t>
      </w:r>
      <w:r w:rsidR="00C75F28" w:rsidRPr="00230BC5">
        <w:rPr>
          <w:rFonts w:ascii="Fira Sans Light" w:hAnsi="Fira Sans Light"/>
          <w:color w:val="000000" w:themeColor="text1"/>
          <w:sz w:val="21"/>
          <w:szCs w:val="21"/>
        </w:rPr>
        <w:t xml:space="preserve">OSE staff </w:t>
      </w:r>
      <w:r w:rsidR="00D67E92" w:rsidRPr="00230BC5">
        <w:rPr>
          <w:rFonts w:ascii="Fira Sans Light" w:hAnsi="Fira Sans Light"/>
          <w:color w:val="000000" w:themeColor="text1"/>
          <w:sz w:val="21"/>
          <w:szCs w:val="21"/>
        </w:rPr>
        <w:t xml:space="preserve">could request </w:t>
      </w:r>
      <w:r w:rsidR="00C75F28" w:rsidRPr="00230BC5">
        <w:rPr>
          <w:rFonts w:ascii="Fira Sans Light" w:hAnsi="Fira Sans Light"/>
          <w:color w:val="000000" w:themeColor="text1"/>
          <w:sz w:val="21"/>
          <w:szCs w:val="21"/>
        </w:rPr>
        <w:t xml:space="preserve">them </w:t>
      </w:r>
      <w:r w:rsidR="009F7416" w:rsidRPr="00230BC5">
        <w:rPr>
          <w:rFonts w:ascii="Fira Sans Light" w:hAnsi="Fira Sans Light"/>
          <w:color w:val="000000" w:themeColor="text1"/>
          <w:sz w:val="21"/>
          <w:szCs w:val="21"/>
        </w:rPr>
        <w:t xml:space="preserve">as part of other monitoring </w:t>
      </w:r>
      <w:r w:rsidR="00AB5E8B" w:rsidRPr="00230BC5">
        <w:rPr>
          <w:rFonts w:ascii="Fira Sans Light" w:hAnsi="Fira Sans Light"/>
          <w:color w:val="000000" w:themeColor="text1"/>
          <w:sz w:val="21"/>
          <w:szCs w:val="21"/>
        </w:rPr>
        <w:t>activities</w:t>
      </w:r>
      <w:r w:rsidR="00E50A06" w:rsidRPr="00230BC5">
        <w:rPr>
          <w:rFonts w:ascii="Fira Sans Light" w:hAnsi="Fira Sans Light"/>
          <w:color w:val="000000" w:themeColor="text1"/>
          <w:sz w:val="21"/>
          <w:szCs w:val="21"/>
        </w:rPr>
        <w:t>.</w:t>
      </w:r>
      <w:r w:rsidR="009A2DD6" w:rsidRPr="00230BC5">
        <w:rPr>
          <w:rFonts w:ascii="Fira Sans Light" w:hAnsi="Fira Sans Light"/>
          <w:color w:val="000000" w:themeColor="text1"/>
          <w:sz w:val="21"/>
          <w:szCs w:val="21"/>
        </w:rPr>
        <w:t xml:space="preserve"> </w:t>
      </w:r>
    </w:p>
    <w:p w14:paraId="0A8280B9" w14:textId="42870CC6" w:rsidR="00B8490C" w:rsidRPr="00366807" w:rsidRDefault="008D79AB" w:rsidP="00BA0609">
      <w:pPr>
        <w:pStyle w:val="BodyText"/>
      </w:pPr>
      <w:r w:rsidRPr="00366807">
        <w:t xml:space="preserve">While not required, </w:t>
      </w:r>
      <w:r w:rsidRPr="00366807">
        <w:rPr>
          <w:b/>
          <w:bCs/>
        </w:rPr>
        <w:t>LEAs are strongly encouraged</w:t>
      </w:r>
      <w:r w:rsidRPr="00366807">
        <w:t xml:space="preserve"> to </w:t>
      </w:r>
      <w:r w:rsidR="00EB1E70" w:rsidRPr="00366807">
        <w:t xml:space="preserve">develop additional </w:t>
      </w:r>
      <w:r w:rsidR="00B8490C" w:rsidRPr="00366807">
        <w:t xml:space="preserve">internal </w:t>
      </w:r>
      <w:r w:rsidR="00EB1E70" w:rsidRPr="00366807">
        <w:t>training</w:t>
      </w:r>
      <w:r w:rsidR="00B8490C" w:rsidRPr="00366807">
        <w:t>s</w:t>
      </w:r>
      <w:r w:rsidR="00EB1E70" w:rsidRPr="00366807">
        <w:t xml:space="preserve"> based on the resources provided on the </w:t>
      </w:r>
      <w:r w:rsidR="002F2178" w:rsidRPr="00D73E54">
        <w:rPr>
          <w:rFonts w:eastAsia="ArialMT" w:cs="ArialMT"/>
          <w:kern w:val="0"/>
        </w:rPr>
        <w:t>WV Guideposts to Graduation website</w:t>
      </w:r>
      <w:r w:rsidR="00EB1E70" w:rsidRPr="00366807">
        <w:t xml:space="preserve">, and/or conduct internal monitoring of their own secondary transition plans. </w:t>
      </w:r>
      <w:r w:rsidR="0010638A" w:rsidRPr="00366807">
        <w:t xml:space="preserve">LEAs are </w:t>
      </w:r>
      <w:r w:rsidR="002E393B" w:rsidRPr="00366807">
        <w:t xml:space="preserve">also </w:t>
      </w:r>
      <w:r w:rsidR="0010638A" w:rsidRPr="00366807">
        <w:t xml:space="preserve">encouraged to </w:t>
      </w:r>
      <w:r w:rsidR="006936B6" w:rsidRPr="00366807">
        <w:t xml:space="preserve">conduct a root cause analysis as the basis for improving </w:t>
      </w:r>
      <w:r w:rsidR="0010638A" w:rsidRPr="00366807">
        <w:t>their processes and practices</w:t>
      </w:r>
      <w:r w:rsidR="007E576D" w:rsidRPr="00366807">
        <w:t xml:space="preserve"> </w:t>
      </w:r>
      <w:r w:rsidR="00EB3287" w:rsidRPr="00366807">
        <w:t xml:space="preserve">in writing or reviewing </w:t>
      </w:r>
      <w:r w:rsidR="0010638A" w:rsidRPr="00366807">
        <w:t>secondary transition plans.</w:t>
      </w:r>
    </w:p>
    <w:p w14:paraId="7EFDAE69" w14:textId="00B9E832" w:rsidR="00310F05" w:rsidRPr="00366807" w:rsidRDefault="00105034" w:rsidP="00BA0609">
      <w:pPr>
        <w:pStyle w:val="Heading2"/>
      </w:pPr>
      <w:r w:rsidRPr="00366807">
        <w:t xml:space="preserve">Intensive </w:t>
      </w:r>
      <w:r w:rsidR="00C277F0" w:rsidRPr="00366807">
        <w:t>Method</w:t>
      </w:r>
    </w:p>
    <w:p w14:paraId="26E8EFCA" w14:textId="5070DB80" w:rsidR="00931DA2" w:rsidRPr="00366807" w:rsidRDefault="00310F05" w:rsidP="00BA0609">
      <w:pPr>
        <w:pStyle w:val="BodyText"/>
      </w:pPr>
      <w:r w:rsidRPr="00366807">
        <w:t xml:space="preserve">Includes LEAs who score </w:t>
      </w:r>
      <w:r w:rsidRPr="00366807">
        <w:rPr>
          <w:b/>
          <w:bCs/>
          <w:u w:val="single"/>
        </w:rPr>
        <w:t>between 0% and 6</w:t>
      </w:r>
      <w:r w:rsidR="005A22CC" w:rsidRPr="00366807">
        <w:rPr>
          <w:b/>
          <w:bCs/>
          <w:u w:val="single"/>
        </w:rPr>
        <w:t>9</w:t>
      </w:r>
      <w:r w:rsidRPr="00366807">
        <w:rPr>
          <w:b/>
          <w:bCs/>
          <w:u w:val="single"/>
        </w:rPr>
        <w:t>%</w:t>
      </w:r>
      <w:r w:rsidRPr="00366807">
        <w:t xml:space="preserve"> compliance on their </w:t>
      </w:r>
      <w:r w:rsidR="00804D1C" w:rsidRPr="00366807">
        <w:t xml:space="preserve">Indicator 13 </w:t>
      </w:r>
      <w:r w:rsidR="005438FE" w:rsidRPr="00366807">
        <w:t>D</w:t>
      </w:r>
      <w:r w:rsidR="00804D1C" w:rsidRPr="00366807">
        <w:t xml:space="preserve">ata </w:t>
      </w:r>
      <w:r w:rsidR="005438FE" w:rsidRPr="00366807">
        <w:t>P</w:t>
      </w:r>
      <w:r w:rsidR="00920805" w:rsidRPr="00366807">
        <w:t>ull.</w:t>
      </w:r>
      <w:r w:rsidRPr="00366807">
        <w:t xml:space="preserve"> </w:t>
      </w:r>
      <w:r w:rsidR="0006506A" w:rsidRPr="00366807">
        <w:t>W</w:t>
      </w:r>
      <w:r w:rsidR="007162C5" w:rsidRPr="00366807">
        <w:t xml:space="preserve">hile the correction of individual noncompliant IEPs is still a requirement, </w:t>
      </w:r>
      <w:r w:rsidRPr="00366807">
        <w:rPr>
          <w:b/>
          <w:bCs/>
        </w:rPr>
        <w:t xml:space="preserve">the LEA must </w:t>
      </w:r>
      <w:r w:rsidR="006F7386" w:rsidRPr="00366807">
        <w:rPr>
          <w:b/>
          <w:bCs/>
        </w:rPr>
        <w:t xml:space="preserve">also </w:t>
      </w:r>
      <w:r w:rsidR="00931DA2" w:rsidRPr="00366807">
        <w:rPr>
          <w:b/>
          <w:bCs/>
        </w:rPr>
        <w:t>engage in</w:t>
      </w:r>
      <w:r w:rsidR="00931DA2" w:rsidRPr="00366807">
        <w:t xml:space="preserve"> the following activities:</w:t>
      </w:r>
    </w:p>
    <w:p w14:paraId="3BC32D6F" w14:textId="34B43E35" w:rsidR="00BF3915" w:rsidRPr="00230BC5" w:rsidRDefault="00310F05" w:rsidP="00EC5E68">
      <w:pPr>
        <w:pStyle w:val="ListParagraph"/>
        <w:numPr>
          <w:ilvl w:val="0"/>
          <w:numId w:val="9"/>
        </w:numPr>
        <w:autoSpaceDE w:val="0"/>
        <w:autoSpaceDN w:val="0"/>
        <w:adjustRightInd w:val="0"/>
        <w:spacing w:after="240" w:line="240" w:lineRule="auto"/>
        <w:ind w:left="1080"/>
        <w:rPr>
          <w:rFonts w:ascii="Fira Sans Light" w:hAnsi="Fira Sans Light"/>
          <w:color w:val="000000" w:themeColor="text1"/>
          <w:sz w:val="21"/>
          <w:szCs w:val="21"/>
        </w:rPr>
      </w:pPr>
      <w:r w:rsidRPr="00230BC5">
        <w:rPr>
          <w:rFonts w:ascii="Fira Sans Light" w:hAnsi="Fira Sans Light"/>
          <w:color w:val="000000" w:themeColor="text1"/>
          <w:sz w:val="21"/>
          <w:szCs w:val="21"/>
        </w:rPr>
        <w:t xml:space="preserve">have all staff who write or review transition plans, successfully complete the </w:t>
      </w:r>
      <w:r w:rsidR="006F6C0A" w:rsidRPr="00230BC5">
        <w:rPr>
          <w:rFonts w:ascii="Fira Sans Light" w:hAnsi="Fira Sans Light"/>
          <w:color w:val="000000" w:themeColor="text1"/>
          <w:sz w:val="21"/>
          <w:szCs w:val="21"/>
        </w:rPr>
        <w:t>“</w:t>
      </w:r>
      <w:r w:rsidRPr="00230BC5">
        <w:rPr>
          <w:rFonts w:ascii="Fira Sans Light" w:hAnsi="Fira Sans Light"/>
          <w:color w:val="000000" w:themeColor="text1"/>
          <w:sz w:val="21"/>
          <w:szCs w:val="21"/>
        </w:rPr>
        <w:t>Writing High Quality Secondary Transition Plans</w:t>
      </w:r>
      <w:r w:rsidR="006F6C0A" w:rsidRPr="00230BC5">
        <w:rPr>
          <w:rFonts w:ascii="Fira Sans Light" w:hAnsi="Fira Sans Light"/>
          <w:color w:val="000000" w:themeColor="text1"/>
          <w:sz w:val="21"/>
          <w:szCs w:val="21"/>
        </w:rPr>
        <w:t>”</w:t>
      </w:r>
      <w:r w:rsidRPr="00230BC5">
        <w:rPr>
          <w:rFonts w:ascii="Fira Sans Light" w:hAnsi="Fira Sans Light"/>
          <w:color w:val="000000" w:themeColor="text1"/>
          <w:sz w:val="21"/>
          <w:szCs w:val="21"/>
        </w:rPr>
        <w:t xml:space="preserve"> Canvas course developed by the WVDE</w:t>
      </w:r>
      <w:r w:rsidR="008A0336" w:rsidRPr="00230BC5">
        <w:rPr>
          <w:rFonts w:ascii="Fira Sans Light" w:hAnsi="Fira Sans Light"/>
          <w:color w:val="000000" w:themeColor="text1"/>
          <w:sz w:val="21"/>
          <w:szCs w:val="21"/>
        </w:rPr>
        <w:t xml:space="preserve"> prior to the Indicator 13 data pull </w:t>
      </w:r>
      <w:r w:rsidR="00931DA2" w:rsidRPr="00230BC5">
        <w:rPr>
          <w:rFonts w:ascii="Fira Sans Light" w:hAnsi="Fira Sans Light"/>
          <w:color w:val="000000" w:themeColor="text1"/>
          <w:sz w:val="21"/>
          <w:szCs w:val="21"/>
        </w:rPr>
        <w:t xml:space="preserve">(see </w:t>
      </w:r>
      <w:r w:rsidR="00883A75" w:rsidRPr="00230BC5">
        <w:rPr>
          <w:rFonts w:ascii="Fira Sans Light" w:hAnsi="Fira Sans Light"/>
          <w:color w:val="000000" w:themeColor="text1"/>
          <w:sz w:val="21"/>
          <w:szCs w:val="21"/>
        </w:rPr>
        <w:t>targeted method</w:t>
      </w:r>
      <w:r w:rsidR="00931DA2" w:rsidRPr="00230BC5">
        <w:rPr>
          <w:rFonts w:ascii="Fira Sans Light" w:hAnsi="Fira Sans Light"/>
          <w:color w:val="000000" w:themeColor="text1"/>
          <w:sz w:val="21"/>
          <w:szCs w:val="21"/>
        </w:rPr>
        <w:t xml:space="preserve"> above)</w:t>
      </w:r>
      <w:r w:rsidR="00DE61E6" w:rsidRPr="00230BC5">
        <w:rPr>
          <w:rFonts w:ascii="Fira Sans Light" w:hAnsi="Fira Sans Light"/>
          <w:color w:val="000000" w:themeColor="text1"/>
          <w:sz w:val="21"/>
          <w:szCs w:val="21"/>
        </w:rPr>
        <w:t>;</w:t>
      </w:r>
      <w:r w:rsidRPr="00230BC5">
        <w:rPr>
          <w:rFonts w:ascii="Fira Sans Light" w:hAnsi="Fira Sans Light"/>
          <w:color w:val="000000" w:themeColor="text1"/>
          <w:sz w:val="21"/>
          <w:szCs w:val="21"/>
        </w:rPr>
        <w:t xml:space="preserve"> </w:t>
      </w:r>
      <w:r w:rsidR="00005FDB" w:rsidRPr="00230BC5">
        <w:rPr>
          <w:rFonts w:ascii="Fira Sans Light" w:hAnsi="Fira Sans Light"/>
          <w:color w:val="000000" w:themeColor="text1"/>
          <w:sz w:val="21"/>
          <w:szCs w:val="21"/>
        </w:rPr>
        <w:t xml:space="preserve">and </w:t>
      </w:r>
    </w:p>
    <w:p w14:paraId="6108DC29" w14:textId="09A4EAC1" w:rsidR="00BF4A13" w:rsidRPr="00230BC5" w:rsidRDefault="00BF4A13" w:rsidP="00EC5E68">
      <w:pPr>
        <w:pStyle w:val="ListParagraph"/>
        <w:numPr>
          <w:ilvl w:val="0"/>
          <w:numId w:val="9"/>
        </w:numPr>
        <w:spacing w:after="240"/>
        <w:ind w:left="1080"/>
        <w:rPr>
          <w:rFonts w:ascii="Fira Sans Light" w:hAnsi="Fira Sans Light"/>
          <w:color w:val="000000" w:themeColor="text1"/>
          <w:sz w:val="21"/>
          <w:szCs w:val="21"/>
        </w:rPr>
      </w:pPr>
      <w:r w:rsidRPr="00230BC5">
        <w:rPr>
          <w:rFonts w:ascii="Fira Sans Light" w:hAnsi="Fira Sans Light"/>
          <w:color w:val="000000" w:themeColor="text1"/>
          <w:sz w:val="21"/>
          <w:szCs w:val="21"/>
        </w:rPr>
        <w:t>conduct internal monitoring for five (5) secondary transition plans. WVDE OSE has provided a</w:t>
      </w:r>
      <w:r w:rsidRPr="00230BC5">
        <w:rPr>
          <w:rFonts w:ascii="Fira Sans Light" w:eastAsia="ArialMT" w:hAnsi="Fira Sans Light" w:cs="ArialMT"/>
          <w:color w:val="000000" w:themeColor="text1"/>
          <w:kern w:val="0"/>
          <w:sz w:val="21"/>
          <w:szCs w:val="21"/>
        </w:rPr>
        <w:t xml:space="preserve"> </w:t>
      </w:r>
      <w:r w:rsidR="00D73E54" w:rsidRPr="00230BC5">
        <w:rPr>
          <w:rFonts w:ascii="Fira Sans Light" w:eastAsia="ArialMT" w:hAnsi="Fira Sans Light" w:cs="ArialMT"/>
          <w:color w:val="000000" w:themeColor="text1"/>
          <w:kern w:val="0"/>
          <w:sz w:val="21"/>
          <w:szCs w:val="21"/>
        </w:rPr>
        <w:t>Secondary Transition File Review Checklist - 2024</w:t>
      </w:r>
      <w:r w:rsidRPr="00230BC5">
        <w:rPr>
          <w:rFonts w:ascii="Fira Sans Light" w:hAnsi="Fira Sans Light"/>
          <w:color w:val="000000" w:themeColor="text1"/>
          <w:sz w:val="21"/>
          <w:szCs w:val="21"/>
        </w:rPr>
        <w:t xml:space="preserve">which can be used to assist </w:t>
      </w:r>
      <w:r w:rsidRPr="00230BC5">
        <w:rPr>
          <w:rFonts w:ascii="Fira Sans Light" w:hAnsi="Fira Sans Light"/>
          <w:color w:val="000000" w:themeColor="text1"/>
          <w:sz w:val="21"/>
          <w:szCs w:val="21"/>
        </w:rPr>
        <w:lastRenderedPageBreak/>
        <w:t xml:space="preserve">with this review. LEAs are required to submit the results of this review through </w:t>
      </w:r>
      <w:r w:rsidR="001D6C44" w:rsidRPr="00230BC5">
        <w:rPr>
          <w:rFonts w:ascii="Fira Sans Light" w:hAnsi="Fira Sans Light"/>
          <w:color w:val="000000" w:themeColor="text1"/>
          <w:sz w:val="21"/>
          <w:szCs w:val="21"/>
        </w:rPr>
        <w:t>the</w:t>
      </w:r>
      <w:r w:rsidRPr="00230BC5">
        <w:rPr>
          <w:rFonts w:ascii="Fira Sans Light" w:hAnsi="Fira Sans Light"/>
          <w:color w:val="000000" w:themeColor="text1"/>
          <w:sz w:val="21"/>
          <w:szCs w:val="21"/>
        </w:rPr>
        <w:t xml:space="preserve"> </w:t>
      </w:r>
      <w:r w:rsidRPr="00230BC5">
        <w:rPr>
          <w:rFonts w:ascii="Fira Sans Light" w:eastAsia="ArialMT" w:hAnsi="Fira Sans Light" w:cs="ArialMT"/>
          <w:color w:val="000000" w:themeColor="text1"/>
          <w:sz w:val="21"/>
          <w:szCs w:val="21"/>
        </w:rPr>
        <w:t>LEA Self-Review</w:t>
      </w:r>
      <w:r w:rsidR="00D71ECE" w:rsidRPr="00230BC5">
        <w:rPr>
          <w:rFonts w:ascii="Fira Sans Light" w:eastAsia="ArialMT" w:hAnsi="Fira Sans Light" w:cs="ArialMT"/>
          <w:color w:val="000000" w:themeColor="text1"/>
          <w:sz w:val="21"/>
          <w:szCs w:val="21"/>
        </w:rPr>
        <w:t xml:space="preserve"> Form</w:t>
      </w:r>
      <w:r w:rsidR="00E94DB6" w:rsidRPr="00230BC5">
        <w:rPr>
          <w:rFonts w:ascii="Fira Sans Light" w:eastAsia="ArialMT" w:hAnsi="Fira Sans Light" w:cs="ArialMT"/>
          <w:color w:val="000000" w:themeColor="text1"/>
          <w:sz w:val="21"/>
          <w:szCs w:val="21"/>
        </w:rPr>
        <w:t xml:space="preserve"> (</w:t>
      </w:r>
      <w:r w:rsidR="00425FD2" w:rsidRPr="00230BC5">
        <w:rPr>
          <w:rFonts w:ascii="Fira Sans Light" w:eastAsia="ArialMT" w:hAnsi="Fira Sans Light" w:cs="ArialMT"/>
          <w:color w:val="000000" w:themeColor="text1"/>
          <w:sz w:val="21"/>
          <w:szCs w:val="21"/>
        </w:rPr>
        <w:t xml:space="preserve">an excel sheet is </w:t>
      </w:r>
      <w:r w:rsidR="00E94DB6" w:rsidRPr="00230BC5">
        <w:rPr>
          <w:rFonts w:ascii="Fira Sans Light" w:eastAsia="ArialMT" w:hAnsi="Fira Sans Light" w:cs="ArialMT"/>
          <w:color w:val="000000" w:themeColor="text1"/>
          <w:sz w:val="21"/>
          <w:szCs w:val="21"/>
        </w:rPr>
        <w:t xml:space="preserve">provided </w:t>
      </w:r>
      <w:r w:rsidR="00672E1F" w:rsidRPr="00230BC5">
        <w:rPr>
          <w:rFonts w:ascii="Fira Sans Light" w:eastAsia="ArialMT" w:hAnsi="Fira Sans Light" w:cs="ArialMT"/>
          <w:color w:val="000000" w:themeColor="text1"/>
          <w:sz w:val="21"/>
          <w:szCs w:val="21"/>
        </w:rPr>
        <w:t xml:space="preserve">to the LEA </w:t>
      </w:r>
      <w:r w:rsidR="00E94DB6" w:rsidRPr="00230BC5">
        <w:rPr>
          <w:rFonts w:ascii="Fira Sans Light" w:eastAsia="ArialMT" w:hAnsi="Fira Sans Light" w:cs="ArialMT"/>
          <w:color w:val="000000" w:themeColor="text1"/>
          <w:sz w:val="21"/>
          <w:szCs w:val="21"/>
        </w:rPr>
        <w:t xml:space="preserve">when </w:t>
      </w:r>
      <w:r w:rsidR="00672E1F" w:rsidRPr="00230BC5">
        <w:rPr>
          <w:rFonts w:ascii="Fira Sans Light" w:eastAsia="ArialMT" w:hAnsi="Fira Sans Light" w:cs="ArialMT"/>
          <w:color w:val="000000" w:themeColor="text1"/>
          <w:sz w:val="21"/>
          <w:szCs w:val="21"/>
        </w:rPr>
        <w:t>not</w:t>
      </w:r>
      <w:r w:rsidR="00E94DB6" w:rsidRPr="00230BC5">
        <w:rPr>
          <w:rFonts w:ascii="Fira Sans Light" w:eastAsia="ArialMT" w:hAnsi="Fira Sans Light" w:cs="ArialMT"/>
          <w:color w:val="000000" w:themeColor="text1"/>
          <w:sz w:val="21"/>
          <w:szCs w:val="21"/>
        </w:rPr>
        <w:t xml:space="preserve">ified </w:t>
      </w:r>
      <w:r w:rsidR="00936930" w:rsidRPr="00230BC5">
        <w:rPr>
          <w:rFonts w:ascii="Fira Sans Light" w:eastAsia="ArialMT" w:hAnsi="Fira Sans Light" w:cs="ArialMT"/>
          <w:color w:val="000000" w:themeColor="text1"/>
          <w:sz w:val="21"/>
          <w:szCs w:val="21"/>
        </w:rPr>
        <w:t xml:space="preserve">which </w:t>
      </w:r>
      <w:r w:rsidR="00E94DB6" w:rsidRPr="00230BC5">
        <w:rPr>
          <w:rFonts w:ascii="Fira Sans Light" w:eastAsia="ArialMT" w:hAnsi="Fira Sans Light" w:cs="ArialMT"/>
          <w:color w:val="000000" w:themeColor="text1"/>
          <w:sz w:val="21"/>
          <w:szCs w:val="21"/>
        </w:rPr>
        <w:t xml:space="preserve">student </w:t>
      </w:r>
      <w:r w:rsidR="00936930" w:rsidRPr="00230BC5">
        <w:rPr>
          <w:rFonts w:ascii="Fira Sans Light" w:eastAsia="ArialMT" w:hAnsi="Fira Sans Light" w:cs="ArialMT"/>
          <w:color w:val="000000" w:themeColor="text1"/>
          <w:sz w:val="21"/>
          <w:szCs w:val="21"/>
        </w:rPr>
        <w:t>files are to be examined</w:t>
      </w:r>
      <w:r w:rsidR="00672E1F" w:rsidRPr="00230BC5">
        <w:rPr>
          <w:rFonts w:ascii="Fira Sans Light" w:eastAsia="ArialMT" w:hAnsi="Fira Sans Light" w:cs="ArialMT"/>
          <w:color w:val="000000" w:themeColor="text1"/>
          <w:sz w:val="21"/>
          <w:szCs w:val="21"/>
        </w:rPr>
        <w:t>)</w:t>
      </w:r>
      <w:r w:rsidR="00D71ECE" w:rsidRPr="00230BC5">
        <w:rPr>
          <w:rFonts w:ascii="Fira Sans Light" w:eastAsia="ArialMT" w:hAnsi="Fira Sans Light" w:cs="ArialMT"/>
          <w:color w:val="000000" w:themeColor="text1"/>
          <w:sz w:val="21"/>
          <w:szCs w:val="21"/>
        </w:rPr>
        <w:t xml:space="preserve">. </w:t>
      </w:r>
      <w:r w:rsidRPr="00230BC5">
        <w:rPr>
          <w:rFonts w:ascii="Fira Sans Light" w:hAnsi="Fira Sans Light"/>
          <w:color w:val="000000" w:themeColor="text1"/>
          <w:sz w:val="21"/>
          <w:szCs w:val="21"/>
        </w:rPr>
        <w:t xml:space="preserve">WVDE OSE will then conduct a review of these same files to identify where the LEA needs additional training and support. This self-review is used for consensus building and training to build capacity for LEAs to meet the 100% compliance target and </w:t>
      </w:r>
      <w:r w:rsidR="00044532" w:rsidRPr="00230BC5">
        <w:rPr>
          <w:rFonts w:ascii="Fira Sans Light" w:hAnsi="Fira Sans Light"/>
          <w:color w:val="000000" w:themeColor="text1"/>
          <w:sz w:val="21"/>
          <w:szCs w:val="21"/>
        </w:rPr>
        <w:t xml:space="preserve">upon </w:t>
      </w:r>
      <w:r w:rsidRPr="00230BC5">
        <w:rPr>
          <w:rFonts w:ascii="Fira Sans Light" w:hAnsi="Fira Sans Light"/>
          <w:color w:val="000000" w:themeColor="text1"/>
          <w:sz w:val="21"/>
          <w:szCs w:val="21"/>
        </w:rPr>
        <w:t>WVDE OSE verification of the self-review</w:t>
      </w:r>
      <w:r w:rsidR="00044532" w:rsidRPr="00230BC5">
        <w:rPr>
          <w:rFonts w:ascii="Fira Sans Light" w:hAnsi="Fira Sans Light"/>
          <w:color w:val="000000" w:themeColor="text1"/>
          <w:sz w:val="21"/>
          <w:szCs w:val="21"/>
        </w:rPr>
        <w:t>, t</w:t>
      </w:r>
      <w:r w:rsidRPr="00230BC5">
        <w:rPr>
          <w:rFonts w:ascii="Fira Sans Light" w:hAnsi="Fira Sans Light"/>
          <w:color w:val="000000" w:themeColor="text1"/>
          <w:sz w:val="21"/>
          <w:szCs w:val="21"/>
        </w:rPr>
        <w:t xml:space="preserve">his process will also verify that the LEA is correctly implementing the regulatory requirements and has achieved 100% compliance. If 100% compliance is not achieved, additional WVDE/OSE data pulls will be necessary to clear noncompliance. </w:t>
      </w:r>
    </w:p>
    <w:p w14:paraId="1E0E5CD3" w14:textId="77777777" w:rsidR="00804D1C" w:rsidRPr="00366807" w:rsidRDefault="00804D1C" w:rsidP="00BA0609">
      <w:pPr>
        <w:pStyle w:val="Heading2"/>
      </w:pPr>
      <w:r w:rsidRPr="00366807">
        <w:t>Longstanding Noncompliance</w:t>
      </w:r>
    </w:p>
    <w:p w14:paraId="33C0C49A" w14:textId="6443A2C7" w:rsidR="004477C1" w:rsidRPr="00366807" w:rsidRDefault="00D8423B" w:rsidP="00BA0609">
      <w:pPr>
        <w:pStyle w:val="BodyText"/>
      </w:pPr>
      <w:r w:rsidRPr="00366807">
        <w:t xml:space="preserve">If the LEA </w:t>
      </w:r>
      <w:r w:rsidR="00D44A2B">
        <w:t>does not meet the 100% target</w:t>
      </w:r>
      <w:r w:rsidRPr="00366807">
        <w:t xml:space="preserve"> for </w:t>
      </w:r>
      <w:r w:rsidR="00F26F6E" w:rsidRPr="00366807">
        <w:t>longer than one</w:t>
      </w:r>
      <w:r w:rsidR="00067EF8" w:rsidRPr="00366807">
        <w:t xml:space="preserve"> </w:t>
      </w:r>
      <w:r w:rsidRPr="00366807">
        <w:t xml:space="preserve">year, </w:t>
      </w:r>
      <w:r w:rsidR="000E36C7" w:rsidRPr="00366807">
        <w:t>although corrections have been resolved</w:t>
      </w:r>
      <w:r w:rsidR="005F68D8">
        <w:t xml:space="preserve"> each</w:t>
      </w:r>
      <w:r w:rsidR="00D44A2B">
        <w:t xml:space="preserve"> year</w:t>
      </w:r>
      <w:r w:rsidR="00F26F6E" w:rsidRPr="00366807">
        <w:t>,</w:t>
      </w:r>
      <w:r w:rsidR="000E36C7" w:rsidRPr="00366807">
        <w:t xml:space="preserve"> </w:t>
      </w:r>
      <w:r w:rsidRPr="00366807">
        <w:rPr>
          <w:b/>
          <w:bCs/>
          <w:i/>
          <w:iCs/>
        </w:rPr>
        <w:t xml:space="preserve">the LEA </w:t>
      </w:r>
      <w:r w:rsidR="0082349C" w:rsidRPr="00366807">
        <w:rPr>
          <w:b/>
          <w:bCs/>
          <w:i/>
          <w:iCs/>
        </w:rPr>
        <w:t>must</w:t>
      </w:r>
      <w:r w:rsidR="0082349C" w:rsidRPr="00366807">
        <w:t xml:space="preserve"> </w:t>
      </w:r>
    </w:p>
    <w:p w14:paraId="5A7464AD" w14:textId="19DA0F8E" w:rsidR="00AD2C30" w:rsidRPr="00230BC5" w:rsidRDefault="00AD2C30" w:rsidP="00EC5E68">
      <w:pPr>
        <w:pStyle w:val="ListParagraph"/>
        <w:numPr>
          <w:ilvl w:val="0"/>
          <w:numId w:val="9"/>
        </w:numPr>
        <w:autoSpaceDE w:val="0"/>
        <w:autoSpaceDN w:val="0"/>
        <w:adjustRightInd w:val="0"/>
        <w:spacing w:after="240" w:line="240" w:lineRule="auto"/>
        <w:ind w:left="1080"/>
        <w:rPr>
          <w:rFonts w:ascii="Fira Sans Light" w:hAnsi="Fira Sans Light"/>
          <w:color w:val="000000" w:themeColor="text1"/>
          <w:sz w:val="21"/>
          <w:szCs w:val="21"/>
        </w:rPr>
      </w:pPr>
      <w:r w:rsidRPr="00230BC5">
        <w:rPr>
          <w:rFonts w:ascii="Fira Sans Light" w:hAnsi="Fira Sans Light"/>
          <w:color w:val="000000" w:themeColor="text1"/>
          <w:sz w:val="21"/>
          <w:szCs w:val="21"/>
        </w:rPr>
        <w:t xml:space="preserve">conduct a root cause analysis as the basis for improving their processes and practices in writing or reviewing secondary transition plans, and </w:t>
      </w:r>
    </w:p>
    <w:p w14:paraId="280BD2CF" w14:textId="100CD458" w:rsidR="00804D1C" w:rsidRPr="00230BC5" w:rsidRDefault="0082349C" w:rsidP="00EC5E68">
      <w:pPr>
        <w:pStyle w:val="ListParagraph"/>
        <w:numPr>
          <w:ilvl w:val="0"/>
          <w:numId w:val="9"/>
        </w:numPr>
        <w:autoSpaceDE w:val="0"/>
        <w:autoSpaceDN w:val="0"/>
        <w:adjustRightInd w:val="0"/>
        <w:spacing w:after="240" w:line="240" w:lineRule="auto"/>
        <w:ind w:left="1080"/>
        <w:rPr>
          <w:rFonts w:ascii="Fira Sans Light" w:hAnsi="Fira Sans Light" w:cs="Arial"/>
          <w:color w:val="000000" w:themeColor="text1"/>
          <w:sz w:val="21"/>
          <w:szCs w:val="21"/>
        </w:rPr>
      </w:pPr>
      <w:r w:rsidRPr="00230BC5">
        <w:rPr>
          <w:rFonts w:ascii="Fira Sans Light" w:hAnsi="Fira Sans Light"/>
          <w:color w:val="000000" w:themeColor="text1"/>
          <w:sz w:val="21"/>
          <w:szCs w:val="21"/>
        </w:rPr>
        <w:t xml:space="preserve">complete the </w:t>
      </w:r>
      <w:r w:rsidR="009B4A16" w:rsidRPr="00230BC5">
        <w:rPr>
          <w:rFonts w:ascii="Fira Sans Light" w:hAnsi="Fira Sans Light" w:cs="Arial"/>
          <w:color w:val="000000" w:themeColor="text1"/>
          <w:sz w:val="21"/>
          <w:szCs w:val="21"/>
        </w:rPr>
        <w:t xml:space="preserve">“Indicator 13: LEA Processes and Procedures” protocol, </w:t>
      </w:r>
      <w:r w:rsidR="00F621E6" w:rsidRPr="00230BC5">
        <w:rPr>
          <w:rFonts w:ascii="Fira Sans Light" w:hAnsi="Fira Sans Light" w:cs="Arial"/>
          <w:color w:val="000000" w:themeColor="text1"/>
          <w:sz w:val="21"/>
          <w:szCs w:val="21"/>
        </w:rPr>
        <w:t xml:space="preserve">to </w:t>
      </w:r>
      <w:r w:rsidR="009B4A16" w:rsidRPr="00230BC5">
        <w:rPr>
          <w:rFonts w:ascii="Fira Sans Light" w:hAnsi="Fira Sans Light" w:cs="Arial"/>
          <w:color w:val="000000" w:themeColor="text1"/>
          <w:sz w:val="21"/>
          <w:szCs w:val="21"/>
        </w:rPr>
        <w:t xml:space="preserve">revise </w:t>
      </w:r>
      <w:r w:rsidR="009923AA" w:rsidRPr="00230BC5">
        <w:rPr>
          <w:rFonts w:ascii="Fira Sans Light" w:hAnsi="Fira Sans Light" w:cs="Arial"/>
          <w:color w:val="000000" w:themeColor="text1"/>
          <w:sz w:val="21"/>
          <w:szCs w:val="21"/>
        </w:rPr>
        <w:t xml:space="preserve">policies, practices, and </w:t>
      </w:r>
      <w:r w:rsidR="009B4A16" w:rsidRPr="00230BC5">
        <w:rPr>
          <w:rFonts w:ascii="Fira Sans Light" w:hAnsi="Fira Sans Light" w:cs="Arial"/>
          <w:color w:val="000000" w:themeColor="text1"/>
          <w:sz w:val="21"/>
          <w:szCs w:val="21"/>
        </w:rPr>
        <w:t>proce</w:t>
      </w:r>
      <w:r w:rsidR="009923AA" w:rsidRPr="00230BC5">
        <w:rPr>
          <w:rFonts w:ascii="Fira Sans Light" w:hAnsi="Fira Sans Light" w:cs="Arial"/>
          <w:color w:val="000000" w:themeColor="text1"/>
          <w:sz w:val="21"/>
          <w:szCs w:val="21"/>
        </w:rPr>
        <w:t>dures</w:t>
      </w:r>
      <w:r w:rsidR="009B4A16" w:rsidRPr="00230BC5">
        <w:rPr>
          <w:rFonts w:ascii="Fira Sans Light" w:hAnsi="Fira Sans Light" w:cs="Arial"/>
          <w:color w:val="000000" w:themeColor="text1"/>
          <w:sz w:val="21"/>
          <w:szCs w:val="21"/>
        </w:rPr>
        <w:t xml:space="preserve"> as needed</w:t>
      </w:r>
      <w:r w:rsidR="009923AA" w:rsidRPr="00230BC5">
        <w:rPr>
          <w:rFonts w:ascii="Fira Sans Light" w:hAnsi="Fira Sans Light" w:cs="Arial"/>
          <w:color w:val="000000" w:themeColor="text1"/>
          <w:sz w:val="21"/>
          <w:szCs w:val="21"/>
        </w:rPr>
        <w:t xml:space="preserve"> to ensure that timely correction of noncompliance is </w:t>
      </w:r>
      <w:r w:rsidR="009B22F3" w:rsidRPr="00230BC5">
        <w:rPr>
          <w:rFonts w:ascii="Fira Sans Light" w:hAnsi="Fira Sans Light" w:cs="Arial"/>
          <w:color w:val="000000" w:themeColor="text1"/>
          <w:sz w:val="21"/>
          <w:szCs w:val="21"/>
        </w:rPr>
        <w:t xml:space="preserve">achieved </w:t>
      </w:r>
      <w:r w:rsidR="00F224B0" w:rsidRPr="00230BC5">
        <w:rPr>
          <w:rFonts w:ascii="Fira Sans Light" w:hAnsi="Fira Sans Light" w:cs="Arial"/>
          <w:color w:val="000000" w:themeColor="text1"/>
          <w:sz w:val="21"/>
          <w:szCs w:val="21"/>
        </w:rPr>
        <w:t>no later than one year from written notification</w:t>
      </w:r>
      <w:r w:rsidR="00264A98" w:rsidRPr="00230BC5">
        <w:rPr>
          <w:rFonts w:ascii="Fira Sans Light" w:hAnsi="Fira Sans Light" w:cs="Arial"/>
          <w:color w:val="000000" w:themeColor="text1"/>
          <w:sz w:val="21"/>
          <w:szCs w:val="21"/>
        </w:rPr>
        <w:t xml:space="preserve">, and that specific actions are </w:t>
      </w:r>
      <w:r w:rsidR="003A2EA0" w:rsidRPr="00230BC5">
        <w:rPr>
          <w:rFonts w:ascii="Fira Sans Light" w:hAnsi="Fira Sans Light" w:cs="Arial"/>
          <w:color w:val="000000" w:themeColor="text1"/>
          <w:sz w:val="21"/>
          <w:szCs w:val="21"/>
        </w:rPr>
        <w:t>being</w:t>
      </w:r>
      <w:r w:rsidR="00264A98" w:rsidRPr="00230BC5">
        <w:rPr>
          <w:rFonts w:ascii="Fira Sans Light" w:hAnsi="Fira Sans Light" w:cs="Arial"/>
          <w:color w:val="000000" w:themeColor="text1"/>
          <w:sz w:val="21"/>
          <w:szCs w:val="21"/>
        </w:rPr>
        <w:t xml:space="preserve"> taken to address deficiencies that </w:t>
      </w:r>
      <w:r w:rsidR="002F57C7" w:rsidRPr="00230BC5">
        <w:rPr>
          <w:rFonts w:ascii="Fira Sans Light" w:hAnsi="Fira Sans Light" w:cs="Arial"/>
          <w:color w:val="000000" w:themeColor="text1"/>
          <w:sz w:val="21"/>
          <w:szCs w:val="21"/>
        </w:rPr>
        <w:t xml:space="preserve">reoccur for </w:t>
      </w:r>
      <w:r w:rsidR="00264A98" w:rsidRPr="00230BC5">
        <w:rPr>
          <w:rFonts w:ascii="Fira Sans Light" w:hAnsi="Fira Sans Light" w:cs="Arial"/>
          <w:color w:val="000000" w:themeColor="text1"/>
          <w:sz w:val="21"/>
          <w:szCs w:val="21"/>
        </w:rPr>
        <w:t>multiple years.</w:t>
      </w:r>
      <w:r w:rsidR="009923AA" w:rsidRPr="00230BC5">
        <w:rPr>
          <w:rFonts w:ascii="Fira Sans Light" w:hAnsi="Fira Sans Light" w:cs="Arial"/>
          <w:color w:val="000000" w:themeColor="text1"/>
          <w:sz w:val="21"/>
          <w:szCs w:val="21"/>
        </w:rPr>
        <w:t xml:space="preserve"> </w:t>
      </w:r>
    </w:p>
    <w:p w14:paraId="30FEC322" w14:textId="5925EAA4" w:rsidR="00C34581" w:rsidRDefault="005A0D15" w:rsidP="00BA0609">
      <w:pPr>
        <w:pStyle w:val="BodyText"/>
      </w:pPr>
      <w:r w:rsidRPr="00366807">
        <w:t>When</w:t>
      </w:r>
      <w:r w:rsidR="00F224B0" w:rsidRPr="00366807">
        <w:t xml:space="preserve"> the LEA </w:t>
      </w:r>
      <w:r w:rsidR="008A5E46" w:rsidRPr="00366807">
        <w:t xml:space="preserve">receives written notification of </w:t>
      </w:r>
      <w:r w:rsidR="00585419" w:rsidRPr="00366807">
        <w:t xml:space="preserve">longstanding noncompliance it will </w:t>
      </w:r>
      <w:r w:rsidRPr="00366807">
        <w:t xml:space="preserve">include </w:t>
      </w:r>
      <w:r w:rsidR="00CD030D" w:rsidRPr="00366807">
        <w:t xml:space="preserve">the </w:t>
      </w:r>
      <w:r w:rsidR="008A5E46" w:rsidRPr="00366807">
        <w:t>level of sanctions</w:t>
      </w:r>
      <w:r w:rsidR="00F224B0" w:rsidRPr="00366807">
        <w:t xml:space="preserve"> </w:t>
      </w:r>
      <w:r w:rsidR="00665060" w:rsidRPr="00366807">
        <w:t xml:space="preserve">as described </w:t>
      </w:r>
      <w:r w:rsidR="008A5E46" w:rsidRPr="00366807">
        <w:t xml:space="preserve">in the </w:t>
      </w:r>
      <w:r w:rsidR="0043580F" w:rsidRPr="00366807">
        <w:t>“</w:t>
      </w:r>
      <w:r w:rsidR="0043580F" w:rsidRPr="00366807">
        <w:rPr>
          <w:i/>
          <w:iCs/>
        </w:rPr>
        <w:t>S</w:t>
      </w:r>
      <w:r w:rsidR="008A5E46" w:rsidRPr="00366807">
        <w:rPr>
          <w:i/>
          <w:iCs/>
        </w:rPr>
        <w:t xml:space="preserve">ustaining </w:t>
      </w:r>
      <w:r w:rsidR="0043580F" w:rsidRPr="00366807">
        <w:rPr>
          <w:i/>
          <w:iCs/>
        </w:rPr>
        <w:t>C</w:t>
      </w:r>
      <w:r w:rsidR="008A5E46" w:rsidRPr="00366807">
        <w:rPr>
          <w:i/>
          <w:iCs/>
        </w:rPr>
        <w:t xml:space="preserve">ompliance and </w:t>
      </w:r>
      <w:r w:rsidR="0043580F" w:rsidRPr="00366807">
        <w:rPr>
          <w:i/>
          <w:iCs/>
        </w:rPr>
        <w:t>I</w:t>
      </w:r>
      <w:r w:rsidR="008A5E46" w:rsidRPr="00366807">
        <w:rPr>
          <w:i/>
          <w:iCs/>
        </w:rPr>
        <w:t>mprovement</w:t>
      </w:r>
      <w:r w:rsidR="0043580F" w:rsidRPr="00366807">
        <w:t>”</w:t>
      </w:r>
      <w:r w:rsidR="008A5E46" w:rsidRPr="00366807">
        <w:t xml:space="preserve"> </w:t>
      </w:r>
      <w:r w:rsidR="0043580F" w:rsidRPr="00366807">
        <w:t xml:space="preserve">section of </w:t>
      </w:r>
      <w:r w:rsidR="00A05C34" w:rsidRPr="00366807">
        <w:t>WVDE OSE’s</w:t>
      </w:r>
      <w:r w:rsidR="003C2FB6" w:rsidRPr="00366807">
        <w:t xml:space="preserve"> </w:t>
      </w:r>
      <w:r w:rsidR="00BB14C5">
        <w:t>“</w:t>
      </w:r>
      <w:r w:rsidR="00BB14C5">
        <w:rPr>
          <w:i/>
          <w:iCs/>
        </w:rPr>
        <w:t>Results Driven Accountability</w:t>
      </w:r>
      <w:r w:rsidR="00F345A9">
        <w:rPr>
          <w:i/>
          <w:iCs/>
        </w:rPr>
        <w:t>: General Su</w:t>
      </w:r>
      <w:r w:rsidR="007E79CF">
        <w:rPr>
          <w:i/>
          <w:iCs/>
        </w:rPr>
        <w:t xml:space="preserve">pervision System” </w:t>
      </w:r>
      <w:r w:rsidR="003C2FB6" w:rsidRPr="00366807">
        <w:t>document</w:t>
      </w:r>
      <w:r w:rsidR="00A87958" w:rsidRPr="00366807">
        <w:t xml:space="preserve">. </w:t>
      </w:r>
    </w:p>
    <w:p w14:paraId="6B351FDE" w14:textId="1C98574F" w:rsidR="00C86FA5" w:rsidRPr="008A25F9" w:rsidRDefault="00C86FA5" w:rsidP="00205F6A">
      <w:pPr>
        <w:pStyle w:val="Heading1"/>
      </w:pPr>
      <w:r w:rsidRPr="008A25F9">
        <w:t>Indicator 13: Secondary Transition</w:t>
      </w:r>
      <w:r>
        <w:t xml:space="preserve"> Plan - Monitoring Schedule</w:t>
      </w:r>
    </w:p>
    <w:p w14:paraId="45228D94" w14:textId="77777777" w:rsidR="007D319C" w:rsidRPr="007D319C" w:rsidRDefault="007D319C" w:rsidP="00BA0609">
      <w:pPr>
        <w:pStyle w:val="BodyText"/>
      </w:pPr>
      <w:r w:rsidRPr="007D319C">
        <w:t>This monitoring cycle is based on a four-year rotation and is subject to realignment if credible allegations require more immediate actions regarding specific LEAs.</w:t>
      </w:r>
    </w:p>
    <w:tbl>
      <w:tblPr>
        <w:tblStyle w:val="TableGrid"/>
        <w:tblW w:w="0" w:type="auto"/>
        <w:tblLook w:val="04A0" w:firstRow="1" w:lastRow="0" w:firstColumn="1" w:lastColumn="0" w:noHBand="0" w:noVBand="1"/>
        <w:tblCaption w:val="Indicator 13: Secondary Transition Plan - Monitoring Schedule"/>
        <w:tblDescription w:val="A table that organizes various schools by academic year, from 2024-2025 to 2027-2028. Each column represents a different academic year and lists the schools alphabetically within that year. This seems to be part of a larger district or region’s planning schedule."/>
      </w:tblPr>
      <w:tblGrid>
        <w:gridCol w:w="2333"/>
        <w:gridCol w:w="2342"/>
        <w:gridCol w:w="2340"/>
        <w:gridCol w:w="2335"/>
      </w:tblGrid>
      <w:tr w:rsidR="007D319C" w:rsidRPr="00312B02" w14:paraId="1D140437" w14:textId="77777777" w:rsidTr="002E45EE">
        <w:trPr>
          <w:trHeight w:val="323"/>
          <w:tblHeader/>
        </w:trPr>
        <w:tc>
          <w:tcPr>
            <w:tcW w:w="2333" w:type="dxa"/>
            <w:tcBorders>
              <w:bottom w:val="single" w:sz="4" w:space="0" w:color="auto"/>
            </w:tcBorders>
            <w:shd w:val="clear" w:color="auto" w:fill="002060"/>
            <w:vAlign w:val="center"/>
          </w:tcPr>
          <w:p w14:paraId="26CDEFBC" w14:textId="77777777" w:rsidR="007D319C" w:rsidRPr="00230BC5" w:rsidRDefault="007D319C" w:rsidP="00230BC5">
            <w:pPr>
              <w:pStyle w:val="TableParagraph"/>
              <w:rPr>
                <w:rFonts w:ascii="Fira Sans" w:hAnsi="Fira Sans"/>
                <w:b/>
                <w:bCs/>
                <w:w w:val="110"/>
              </w:rPr>
            </w:pPr>
            <w:r w:rsidRPr="00230BC5">
              <w:rPr>
                <w:rFonts w:ascii="Fira Sans" w:hAnsi="Fira Sans"/>
                <w:b/>
                <w:bCs/>
                <w:w w:val="110"/>
              </w:rPr>
              <w:t>2024-2025</w:t>
            </w:r>
          </w:p>
        </w:tc>
        <w:tc>
          <w:tcPr>
            <w:tcW w:w="2342" w:type="dxa"/>
            <w:tcBorders>
              <w:bottom w:val="single" w:sz="4" w:space="0" w:color="auto"/>
            </w:tcBorders>
            <w:shd w:val="clear" w:color="auto" w:fill="002060"/>
            <w:vAlign w:val="center"/>
          </w:tcPr>
          <w:p w14:paraId="4572B6BE" w14:textId="77777777" w:rsidR="007D319C" w:rsidRPr="00230BC5" w:rsidRDefault="007D319C" w:rsidP="00230BC5">
            <w:pPr>
              <w:pStyle w:val="TableParagraph"/>
              <w:rPr>
                <w:rFonts w:ascii="Fira Sans" w:hAnsi="Fira Sans"/>
                <w:b/>
                <w:bCs/>
                <w:w w:val="110"/>
              </w:rPr>
            </w:pPr>
            <w:r w:rsidRPr="00230BC5">
              <w:rPr>
                <w:rFonts w:ascii="Fira Sans" w:hAnsi="Fira Sans"/>
                <w:b/>
                <w:bCs/>
                <w:w w:val="110"/>
              </w:rPr>
              <w:t>2025-2026</w:t>
            </w:r>
          </w:p>
        </w:tc>
        <w:tc>
          <w:tcPr>
            <w:tcW w:w="2340" w:type="dxa"/>
            <w:tcBorders>
              <w:bottom w:val="single" w:sz="4" w:space="0" w:color="auto"/>
            </w:tcBorders>
            <w:shd w:val="clear" w:color="auto" w:fill="002060"/>
            <w:vAlign w:val="center"/>
          </w:tcPr>
          <w:p w14:paraId="5CD980BF" w14:textId="77777777" w:rsidR="007D319C" w:rsidRPr="00230BC5" w:rsidRDefault="007D319C" w:rsidP="00230BC5">
            <w:pPr>
              <w:pStyle w:val="TableParagraph"/>
              <w:rPr>
                <w:rFonts w:ascii="Fira Sans" w:hAnsi="Fira Sans"/>
                <w:b/>
                <w:bCs/>
                <w:w w:val="110"/>
              </w:rPr>
            </w:pPr>
            <w:r w:rsidRPr="00230BC5">
              <w:rPr>
                <w:rFonts w:ascii="Fira Sans" w:hAnsi="Fira Sans"/>
                <w:b/>
                <w:bCs/>
                <w:w w:val="110"/>
              </w:rPr>
              <w:t>2026-2027</w:t>
            </w:r>
          </w:p>
        </w:tc>
        <w:tc>
          <w:tcPr>
            <w:tcW w:w="2335" w:type="dxa"/>
            <w:tcBorders>
              <w:bottom w:val="single" w:sz="4" w:space="0" w:color="auto"/>
            </w:tcBorders>
            <w:shd w:val="clear" w:color="auto" w:fill="002060"/>
            <w:vAlign w:val="center"/>
          </w:tcPr>
          <w:p w14:paraId="1F2D048B" w14:textId="77777777" w:rsidR="007D319C" w:rsidRPr="00230BC5" w:rsidRDefault="007D319C" w:rsidP="00230BC5">
            <w:pPr>
              <w:pStyle w:val="TableParagraph"/>
              <w:rPr>
                <w:rFonts w:ascii="Fira Sans" w:hAnsi="Fira Sans"/>
                <w:b/>
                <w:bCs/>
                <w:w w:val="110"/>
              </w:rPr>
            </w:pPr>
            <w:r w:rsidRPr="00230BC5">
              <w:rPr>
                <w:rFonts w:ascii="Fira Sans" w:hAnsi="Fira Sans"/>
                <w:b/>
                <w:bCs/>
                <w:w w:val="110"/>
              </w:rPr>
              <w:t>2027-2028</w:t>
            </w:r>
          </w:p>
        </w:tc>
      </w:tr>
      <w:tr w:rsidR="007D319C" w14:paraId="7A69538B" w14:textId="77777777" w:rsidTr="007D319C">
        <w:tc>
          <w:tcPr>
            <w:tcW w:w="2333" w:type="dxa"/>
          </w:tcPr>
          <w:p w14:paraId="23F282E8" w14:textId="77777777" w:rsidR="007D319C" w:rsidRPr="002E45EE" w:rsidRDefault="007D319C" w:rsidP="002E45EE">
            <w:pPr>
              <w:pStyle w:val="TableParagraph"/>
              <w:spacing w:line="276" w:lineRule="auto"/>
            </w:pPr>
            <w:r w:rsidRPr="002E45EE">
              <w:t>Cabell</w:t>
            </w:r>
          </w:p>
          <w:p w14:paraId="2994B85A" w14:textId="77777777" w:rsidR="007D319C" w:rsidRPr="002E45EE" w:rsidRDefault="007D319C" w:rsidP="002E45EE">
            <w:pPr>
              <w:pStyle w:val="TableParagraph"/>
              <w:spacing w:line="276" w:lineRule="auto"/>
            </w:pPr>
            <w:r w:rsidRPr="002E45EE">
              <w:t>Fayette</w:t>
            </w:r>
          </w:p>
          <w:p w14:paraId="497125C4" w14:textId="77777777" w:rsidR="007D319C" w:rsidRPr="002E45EE" w:rsidRDefault="007D319C" w:rsidP="002E45EE">
            <w:pPr>
              <w:pStyle w:val="TableParagraph"/>
              <w:spacing w:line="276" w:lineRule="auto"/>
            </w:pPr>
            <w:r w:rsidRPr="002E45EE">
              <w:t>Gilmer</w:t>
            </w:r>
          </w:p>
          <w:p w14:paraId="14C2BE93" w14:textId="77777777" w:rsidR="007D319C" w:rsidRPr="002E45EE" w:rsidRDefault="007D319C" w:rsidP="002E45EE">
            <w:pPr>
              <w:pStyle w:val="TableParagraph"/>
              <w:spacing w:line="276" w:lineRule="auto"/>
            </w:pPr>
            <w:r w:rsidRPr="002E45EE">
              <w:t>Hancock</w:t>
            </w:r>
          </w:p>
          <w:p w14:paraId="0E15D63C" w14:textId="77777777" w:rsidR="007D319C" w:rsidRPr="002E45EE" w:rsidRDefault="007D319C" w:rsidP="002E45EE">
            <w:pPr>
              <w:pStyle w:val="TableParagraph"/>
              <w:spacing w:line="276" w:lineRule="auto"/>
            </w:pPr>
            <w:r w:rsidRPr="002E45EE">
              <w:t>Kanawha</w:t>
            </w:r>
          </w:p>
          <w:p w14:paraId="76C8848D" w14:textId="77777777" w:rsidR="007D319C" w:rsidRPr="002E45EE" w:rsidRDefault="007D319C" w:rsidP="002E45EE">
            <w:pPr>
              <w:pStyle w:val="TableParagraph"/>
              <w:spacing w:line="276" w:lineRule="auto"/>
            </w:pPr>
            <w:r w:rsidRPr="002E45EE">
              <w:t>Lincoln</w:t>
            </w:r>
          </w:p>
          <w:p w14:paraId="0591FD60" w14:textId="77777777" w:rsidR="007D319C" w:rsidRPr="002E45EE" w:rsidRDefault="007D319C" w:rsidP="002E45EE">
            <w:pPr>
              <w:pStyle w:val="TableParagraph"/>
              <w:spacing w:line="276" w:lineRule="auto"/>
            </w:pPr>
            <w:r w:rsidRPr="002E45EE">
              <w:t>McDowell</w:t>
            </w:r>
          </w:p>
          <w:p w14:paraId="4CB211EF" w14:textId="77777777" w:rsidR="007D319C" w:rsidRPr="002E45EE" w:rsidRDefault="007D319C" w:rsidP="002E45EE">
            <w:pPr>
              <w:pStyle w:val="TableParagraph"/>
              <w:spacing w:line="276" w:lineRule="auto"/>
            </w:pPr>
            <w:r w:rsidRPr="002E45EE">
              <w:t>Ohio</w:t>
            </w:r>
          </w:p>
          <w:p w14:paraId="6666D14B" w14:textId="77777777" w:rsidR="007D319C" w:rsidRPr="002E45EE" w:rsidRDefault="007D319C" w:rsidP="002E45EE">
            <w:pPr>
              <w:pStyle w:val="TableParagraph"/>
              <w:spacing w:line="276" w:lineRule="auto"/>
            </w:pPr>
            <w:r w:rsidRPr="002E45EE">
              <w:t>Preston</w:t>
            </w:r>
          </w:p>
          <w:p w14:paraId="1178116D" w14:textId="77777777" w:rsidR="007D319C" w:rsidRPr="002E45EE" w:rsidRDefault="007D319C" w:rsidP="002E45EE">
            <w:pPr>
              <w:pStyle w:val="TableParagraph"/>
              <w:spacing w:line="276" w:lineRule="auto"/>
            </w:pPr>
            <w:r w:rsidRPr="002E45EE">
              <w:t>Randolph</w:t>
            </w:r>
          </w:p>
          <w:p w14:paraId="46413AA5" w14:textId="77777777" w:rsidR="007D319C" w:rsidRPr="002E45EE" w:rsidRDefault="007D319C" w:rsidP="002E45EE">
            <w:pPr>
              <w:pStyle w:val="TableParagraph"/>
              <w:spacing w:line="276" w:lineRule="auto"/>
            </w:pPr>
            <w:r w:rsidRPr="002E45EE">
              <w:t>Summers</w:t>
            </w:r>
          </w:p>
          <w:p w14:paraId="4F73A0AF" w14:textId="77777777" w:rsidR="007D319C" w:rsidRPr="002E45EE" w:rsidRDefault="007D319C" w:rsidP="002E45EE">
            <w:pPr>
              <w:pStyle w:val="TableParagraph"/>
              <w:spacing w:line="276" w:lineRule="auto"/>
            </w:pPr>
            <w:r w:rsidRPr="002E45EE">
              <w:t>Webster</w:t>
            </w:r>
          </w:p>
          <w:p w14:paraId="21E84420" w14:textId="40449DDE" w:rsidR="007D319C" w:rsidRPr="002E45EE" w:rsidRDefault="007D319C" w:rsidP="002E45EE">
            <w:pPr>
              <w:pStyle w:val="TableParagraph"/>
              <w:spacing w:line="276" w:lineRule="auto"/>
            </w:pPr>
            <w:r w:rsidRPr="002E45EE">
              <w:t>Wirt</w:t>
            </w:r>
          </w:p>
          <w:p w14:paraId="668A3E57" w14:textId="77777777" w:rsidR="007D319C" w:rsidRPr="002E45EE" w:rsidRDefault="007D319C" w:rsidP="002E45EE">
            <w:pPr>
              <w:pStyle w:val="TableParagraph"/>
              <w:spacing w:line="276" w:lineRule="auto"/>
            </w:pPr>
            <w:r w:rsidRPr="002E45EE">
              <w:t>WVSDB</w:t>
            </w:r>
          </w:p>
          <w:p w14:paraId="60866AB7" w14:textId="77777777" w:rsidR="007D319C" w:rsidRPr="002E45EE" w:rsidRDefault="007D319C" w:rsidP="002E45EE">
            <w:pPr>
              <w:pStyle w:val="TableParagraph"/>
              <w:spacing w:line="276" w:lineRule="auto"/>
            </w:pPr>
            <w:r w:rsidRPr="002E45EE">
              <w:t>WIN Academy</w:t>
            </w:r>
          </w:p>
        </w:tc>
        <w:tc>
          <w:tcPr>
            <w:tcW w:w="2342" w:type="dxa"/>
          </w:tcPr>
          <w:p w14:paraId="1FB8E9E4" w14:textId="77777777" w:rsidR="007D319C" w:rsidRPr="002E45EE" w:rsidRDefault="007D319C" w:rsidP="002E45EE">
            <w:pPr>
              <w:pStyle w:val="TableParagraph"/>
              <w:spacing w:line="276" w:lineRule="auto"/>
            </w:pPr>
            <w:r w:rsidRPr="002E45EE">
              <w:t>Boone</w:t>
            </w:r>
          </w:p>
          <w:p w14:paraId="13F18987" w14:textId="77777777" w:rsidR="007D319C" w:rsidRPr="002E45EE" w:rsidRDefault="007D319C" w:rsidP="002E45EE">
            <w:pPr>
              <w:pStyle w:val="TableParagraph"/>
              <w:spacing w:line="276" w:lineRule="auto"/>
            </w:pPr>
            <w:r w:rsidRPr="002E45EE">
              <w:t>Greenbrier</w:t>
            </w:r>
          </w:p>
          <w:p w14:paraId="3435AE46" w14:textId="77777777" w:rsidR="007D319C" w:rsidRPr="002E45EE" w:rsidRDefault="007D319C" w:rsidP="002E45EE">
            <w:pPr>
              <w:pStyle w:val="TableParagraph"/>
              <w:spacing w:line="276" w:lineRule="auto"/>
            </w:pPr>
            <w:r w:rsidRPr="002E45EE">
              <w:t>Hardy</w:t>
            </w:r>
          </w:p>
          <w:p w14:paraId="0A6B900B" w14:textId="77777777" w:rsidR="007D319C" w:rsidRPr="002E45EE" w:rsidRDefault="007D319C" w:rsidP="002E45EE">
            <w:pPr>
              <w:pStyle w:val="TableParagraph"/>
              <w:spacing w:line="276" w:lineRule="auto"/>
            </w:pPr>
            <w:r w:rsidRPr="002E45EE">
              <w:t>Harrison</w:t>
            </w:r>
          </w:p>
          <w:p w14:paraId="5B81BCF4" w14:textId="77777777" w:rsidR="007D319C" w:rsidRPr="002E45EE" w:rsidRDefault="007D319C" w:rsidP="002E45EE">
            <w:pPr>
              <w:pStyle w:val="TableParagraph"/>
              <w:spacing w:line="276" w:lineRule="auto"/>
            </w:pPr>
            <w:r w:rsidRPr="002E45EE">
              <w:t>Logan</w:t>
            </w:r>
          </w:p>
          <w:p w14:paraId="1B3AB702" w14:textId="77777777" w:rsidR="007D319C" w:rsidRPr="002E45EE" w:rsidRDefault="007D319C" w:rsidP="002E45EE">
            <w:pPr>
              <w:pStyle w:val="TableParagraph"/>
              <w:spacing w:line="276" w:lineRule="auto"/>
            </w:pPr>
            <w:r w:rsidRPr="002E45EE">
              <w:t>Marion</w:t>
            </w:r>
          </w:p>
          <w:p w14:paraId="368B7D73" w14:textId="77777777" w:rsidR="007D319C" w:rsidRPr="002E45EE" w:rsidRDefault="007D319C" w:rsidP="002E45EE">
            <w:pPr>
              <w:pStyle w:val="TableParagraph"/>
              <w:spacing w:line="276" w:lineRule="auto"/>
            </w:pPr>
            <w:r w:rsidRPr="002E45EE">
              <w:t>Mason</w:t>
            </w:r>
          </w:p>
          <w:p w14:paraId="205887AF" w14:textId="77777777" w:rsidR="007D319C" w:rsidRPr="002E45EE" w:rsidRDefault="007D319C" w:rsidP="002E45EE">
            <w:pPr>
              <w:pStyle w:val="TableParagraph"/>
              <w:spacing w:line="276" w:lineRule="auto"/>
            </w:pPr>
            <w:r w:rsidRPr="002E45EE">
              <w:t>Monongalia</w:t>
            </w:r>
          </w:p>
          <w:p w14:paraId="7F5A156B" w14:textId="77777777" w:rsidR="007D319C" w:rsidRPr="002E45EE" w:rsidRDefault="007D319C" w:rsidP="002E45EE">
            <w:pPr>
              <w:pStyle w:val="TableParagraph"/>
              <w:spacing w:line="276" w:lineRule="auto"/>
            </w:pPr>
            <w:r w:rsidRPr="002E45EE">
              <w:t>Morgan</w:t>
            </w:r>
          </w:p>
          <w:p w14:paraId="3DF4A9B3" w14:textId="77777777" w:rsidR="007D319C" w:rsidRPr="002E45EE" w:rsidRDefault="007D319C" w:rsidP="002E45EE">
            <w:pPr>
              <w:pStyle w:val="TableParagraph"/>
              <w:spacing w:line="276" w:lineRule="auto"/>
            </w:pPr>
            <w:r w:rsidRPr="002E45EE">
              <w:t>Putnam</w:t>
            </w:r>
          </w:p>
          <w:p w14:paraId="6E1F0D5E" w14:textId="77777777" w:rsidR="007D319C" w:rsidRPr="002E45EE" w:rsidRDefault="007D319C" w:rsidP="002E45EE">
            <w:pPr>
              <w:pStyle w:val="TableParagraph"/>
              <w:spacing w:line="276" w:lineRule="auto"/>
            </w:pPr>
            <w:r w:rsidRPr="002E45EE">
              <w:t>Raleigh</w:t>
            </w:r>
          </w:p>
          <w:p w14:paraId="3850CB15" w14:textId="77777777" w:rsidR="007D319C" w:rsidRPr="002E45EE" w:rsidRDefault="007D319C" w:rsidP="002E45EE">
            <w:pPr>
              <w:pStyle w:val="TableParagraph"/>
              <w:spacing w:line="276" w:lineRule="auto"/>
            </w:pPr>
            <w:r w:rsidRPr="002E45EE">
              <w:t>Ritchie</w:t>
            </w:r>
          </w:p>
          <w:p w14:paraId="0E8BA8E4" w14:textId="77777777" w:rsidR="007D319C" w:rsidRPr="002E45EE" w:rsidRDefault="007D319C" w:rsidP="002E45EE">
            <w:pPr>
              <w:pStyle w:val="TableParagraph"/>
              <w:spacing w:line="276" w:lineRule="auto"/>
            </w:pPr>
            <w:r w:rsidRPr="002E45EE">
              <w:t>Tyler</w:t>
            </w:r>
          </w:p>
          <w:p w14:paraId="1EDAF884" w14:textId="77777777" w:rsidR="007D319C" w:rsidRPr="002E45EE" w:rsidRDefault="007D319C" w:rsidP="002E45EE">
            <w:pPr>
              <w:pStyle w:val="TableParagraph"/>
              <w:spacing w:line="276" w:lineRule="auto"/>
            </w:pPr>
            <w:r w:rsidRPr="002E45EE">
              <w:t>Upshur</w:t>
            </w:r>
          </w:p>
          <w:p w14:paraId="517C9095" w14:textId="77777777" w:rsidR="007D319C" w:rsidRPr="002E45EE" w:rsidRDefault="007D319C" w:rsidP="002E45EE">
            <w:pPr>
              <w:pStyle w:val="TableParagraph"/>
              <w:spacing w:line="276" w:lineRule="auto"/>
            </w:pPr>
            <w:r w:rsidRPr="002E45EE">
              <w:t>Virtual Prep Acad. WV</w:t>
            </w:r>
          </w:p>
          <w:p w14:paraId="32C3798C" w14:textId="77777777" w:rsidR="007D319C" w:rsidRPr="002E45EE" w:rsidRDefault="007D319C" w:rsidP="002E45EE">
            <w:pPr>
              <w:pStyle w:val="TableParagraph"/>
              <w:spacing w:line="276" w:lineRule="auto"/>
            </w:pPr>
            <w:r w:rsidRPr="002E45EE">
              <w:t>WV Virtual Academy</w:t>
            </w:r>
          </w:p>
        </w:tc>
        <w:tc>
          <w:tcPr>
            <w:tcW w:w="2340" w:type="dxa"/>
          </w:tcPr>
          <w:p w14:paraId="101ACC66" w14:textId="77777777" w:rsidR="007D319C" w:rsidRPr="002E45EE" w:rsidRDefault="007D319C" w:rsidP="002E45EE">
            <w:pPr>
              <w:pStyle w:val="TableParagraph"/>
              <w:spacing w:line="276" w:lineRule="auto"/>
            </w:pPr>
            <w:r w:rsidRPr="002E45EE">
              <w:t>Berkeley</w:t>
            </w:r>
          </w:p>
          <w:p w14:paraId="6F20250A" w14:textId="77777777" w:rsidR="007D319C" w:rsidRPr="002E45EE" w:rsidRDefault="007D319C" w:rsidP="002E45EE">
            <w:pPr>
              <w:pStyle w:val="TableParagraph"/>
              <w:spacing w:line="276" w:lineRule="auto"/>
            </w:pPr>
            <w:r w:rsidRPr="002E45EE">
              <w:t>Brooke</w:t>
            </w:r>
          </w:p>
          <w:p w14:paraId="3F39F57B" w14:textId="77777777" w:rsidR="007D319C" w:rsidRPr="002E45EE" w:rsidRDefault="007D319C" w:rsidP="002E45EE">
            <w:pPr>
              <w:pStyle w:val="TableParagraph"/>
              <w:spacing w:line="276" w:lineRule="auto"/>
            </w:pPr>
            <w:r w:rsidRPr="002E45EE">
              <w:t>Doddridge</w:t>
            </w:r>
          </w:p>
          <w:p w14:paraId="2D8B4B79" w14:textId="77777777" w:rsidR="007D319C" w:rsidRPr="002E45EE" w:rsidRDefault="007D319C" w:rsidP="002E45EE">
            <w:pPr>
              <w:pStyle w:val="TableParagraph"/>
              <w:spacing w:line="276" w:lineRule="auto"/>
            </w:pPr>
            <w:r w:rsidRPr="002E45EE">
              <w:t>Grant</w:t>
            </w:r>
          </w:p>
          <w:p w14:paraId="53DB27FD" w14:textId="77777777" w:rsidR="007D319C" w:rsidRPr="002E45EE" w:rsidRDefault="007D319C" w:rsidP="002E45EE">
            <w:pPr>
              <w:pStyle w:val="TableParagraph"/>
              <w:spacing w:line="276" w:lineRule="auto"/>
            </w:pPr>
            <w:r w:rsidRPr="002E45EE">
              <w:t>Hampshire</w:t>
            </w:r>
          </w:p>
          <w:p w14:paraId="1999F63F" w14:textId="77777777" w:rsidR="007D319C" w:rsidRPr="002E45EE" w:rsidRDefault="007D319C" w:rsidP="002E45EE">
            <w:pPr>
              <w:pStyle w:val="TableParagraph"/>
              <w:spacing w:line="276" w:lineRule="auto"/>
            </w:pPr>
            <w:r w:rsidRPr="002E45EE">
              <w:t>Jackson</w:t>
            </w:r>
          </w:p>
          <w:p w14:paraId="4288807D" w14:textId="77777777" w:rsidR="007D319C" w:rsidRPr="002E45EE" w:rsidRDefault="007D319C" w:rsidP="002E45EE">
            <w:pPr>
              <w:pStyle w:val="TableParagraph"/>
              <w:spacing w:line="276" w:lineRule="auto"/>
            </w:pPr>
            <w:r w:rsidRPr="002E45EE">
              <w:t>Jefferson</w:t>
            </w:r>
          </w:p>
          <w:p w14:paraId="09B61EB2" w14:textId="77777777" w:rsidR="007D319C" w:rsidRPr="002E45EE" w:rsidRDefault="007D319C" w:rsidP="002E45EE">
            <w:pPr>
              <w:pStyle w:val="TableParagraph"/>
              <w:spacing w:line="276" w:lineRule="auto"/>
            </w:pPr>
            <w:r w:rsidRPr="002E45EE">
              <w:t>WVSDT</w:t>
            </w:r>
          </w:p>
          <w:p w14:paraId="2AC439A1" w14:textId="77777777" w:rsidR="007D319C" w:rsidRPr="002E45EE" w:rsidRDefault="007D319C" w:rsidP="002E45EE">
            <w:pPr>
              <w:pStyle w:val="TableParagraph"/>
              <w:spacing w:line="276" w:lineRule="auto"/>
            </w:pPr>
            <w:r w:rsidRPr="002E45EE">
              <w:t>Pocahontas</w:t>
            </w:r>
          </w:p>
          <w:p w14:paraId="44E39A59" w14:textId="77777777" w:rsidR="007D319C" w:rsidRPr="002E45EE" w:rsidRDefault="007D319C" w:rsidP="002E45EE">
            <w:pPr>
              <w:pStyle w:val="TableParagraph"/>
              <w:spacing w:line="276" w:lineRule="auto"/>
            </w:pPr>
            <w:r w:rsidRPr="002E45EE">
              <w:t>Nicholas</w:t>
            </w:r>
          </w:p>
          <w:p w14:paraId="6AA51F65" w14:textId="77777777" w:rsidR="007D319C" w:rsidRPr="002E45EE" w:rsidRDefault="007D319C" w:rsidP="002E45EE">
            <w:pPr>
              <w:pStyle w:val="TableParagraph"/>
              <w:spacing w:line="276" w:lineRule="auto"/>
            </w:pPr>
            <w:r w:rsidRPr="002E45EE">
              <w:t>Pleasants</w:t>
            </w:r>
          </w:p>
          <w:p w14:paraId="5BB26871" w14:textId="77777777" w:rsidR="007D319C" w:rsidRPr="002E45EE" w:rsidRDefault="007D319C" w:rsidP="002E45EE">
            <w:pPr>
              <w:pStyle w:val="TableParagraph"/>
              <w:spacing w:line="276" w:lineRule="auto"/>
            </w:pPr>
            <w:r w:rsidRPr="002E45EE">
              <w:t>Taylor</w:t>
            </w:r>
          </w:p>
          <w:p w14:paraId="665D8F77" w14:textId="77777777" w:rsidR="007D319C" w:rsidRPr="002E45EE" w:rsidRDefault="007D319C" w:rsidP="002E45EE">
            <w:pPr>
              <w:pStyle w:val="TableParagraph"/>
              <w:spacing w:line="276" w:lineRule="auto"/>
            </w:pPr>
            <w:r w:rsidRPr="002E45EE">
              <w:t>Wayne</w:t>
            </w:r>
          </w:p>
          <w:p w14:paraId="2E55AEF5" w14:textId="77777777" w:rsidR="007D319C" w:rsidRPr="002E45EE" w:rsidRDefault="007D319C" w:rsidP="002E45EE">
            <w:pPr>
              <w:pStyle w:val="TableParagraph"/>
              <w:spacing w:line="276" w:lineRule="auto"/>
            </w:pPr>
            <w:r w:rsidRPr="002E45EE">
              <w:t>Wetzel</w:t>
            </w:r>
          </w:p>
          <w:p w14:paraId="2825C7F8" w14:textId="77777777" w:rsidR="007D319C" w:rsidRPr="002E45EE" w:rsidRDefault="007D319C" w:rsidP="002E45EE">
            <w:pPr>
              <w:pStyle w:val="TableParagraph"/>
              <w:spacing w:line="276" w:lineRule="auto"/>
            </w:pPr>
            <w:r w:rsidRPr="002E45EE">
              <w:t>Wyoming</w:t>
            </w:r>
          </w:p>
        </w:tc>
        <w:tc>
          <w:tcPr>
            <w:tcW w:w="2335" w:type="dxa"/>
          </w:tcPr>
          <w:p w14:paraId="4C753C33" w14:textId="77777777" w:rsidR="007D319C" w:rsidRPr="002E45EE" w:rsidRDefault="007D319C" w:rsidP="002E45EE">
            <w:pPr>
              <w:pStyle w:val="TableParagraph"/>
              <w:spacing w:line="276" w:lineRule="auto"/>
            </w:pPr>
            <w:r w:rsidRPr="002E45EE">
              <w:t>Barbour</w:t>
            </w:r>
          </w:p>
          <w:p w14:paraId="489358D4" w14:textId="77777777" w:rsidR="007D319C" w:rsidRPr="002E45EE" w:rsidRDefault="007D319C" w:rsidP="002E45EE">
            <w:pPr>
              <w:pStyle w:val="TableParagraph"/>
              <w:spacing w:line="276" w:lineRule="auto"/>
            </w:pPr>
            <w:r w:rsidRPr="002E45EE">
              <w:t>Braxton</w:t>
            </w:r>
          </w:p>
          <w:p w14:paraId="57C390DC" w14:textId="77777777" w:rsidR="007D319C" w:rsidRPr="002E45EE" w:rsidRDefault="007D319C" w:rsidP="002E45EE">
            <w:pPr>
              <w:pStyle w:val="TableParagraph"/>
              <w:spacing w:line="276" w:lineRule="auto"/>
            </w:pPr>
            <w:r w:rsidRPr="002E45EE">
              <w:t>Calhoun</w:t>
            </w:r>
          </w:p>
          <w:p w14:paraId="04992B95" w14:textId="77777777" w:rsidR="007D319C" w:rsidRPr="002E45EE" w:rsidRDefault="007D319C" w:rsidP="002E45EE">
            <w:pPr>
              <w:pStyle w:val="TableParagraph"/>
              <w:spacing w:line="276" w:lineRule="auto"/>
            </w:pPr>
            <w:r w:rsidRPr="002E45EE">
              <w:t>Clay</w:t>
            </w:r>
          </w:p>
          <w:p w14:paraId="03299693" w14:textId="77777777" w:rsidR="007D319C" w:rsidRPr="002E45EE" w:rsidRDefault="007D319C" w:rsidP="002E45EE">
            <w:pPr>
              <w:pStyle w:val="TableParagraph"/>
              <w:spacing w:line="276" w:lineRule="auto"/>
            </w:pPr>
            <w:r w:rsidRPr="002E45EE">
              <w:t>Eastern Prep Academy</w:t>
            </w:r>
          </w:p>
          <w:p w14:paraId="6D8235A7" w14:textId="77777777" w:rsidR="007D319C" w:rsidRPr="002E45EE" w:rsidRDefault="007D319C" w:rsidP="002E45EE">
            <w:pPr>
              <w:pStyle w:val="TableParagraph"/>
              <w:spacing w:line="276" w:lineRule="auto"/>
            </w:pPr>
            <w:r w:rsidRPr="002E45EE">
              <w:t>Lewis</w:t>
            </w:r>
          </w:p>
          <w:p w14:paraId="375146F9" w14:textId="77777777" w:rsidR="007D319C" w:rsidRPr="002E45EE" w:rsidRDefault="007D319C" w:rsidP="002E45EE">
            <w:pPr>
              <w:pStyle w:val="TableParagraph"/>
              <w:spacing w:line="276" w:lineRule="auto"/>
            </w:pPr>
            <w:r w:rsidRPr="002E45EE">
              <w:t>Marshall</w:t>
            </w:r>
          </w:p>
          <w:p w14:paraId="441CA03D" w14:textId="77777777" w:rsidR="007D319C" w:rsidRPr="002E45EE" w:rsidRDefault="007D319C" w:rsidP="002E45EE">
            <w:pPr>
              <w:pStyle w:val="TableParagraph"/>
              <w:spacing w:line="276" w:lineRule="auto"/>
            </w:pPr>
            <w:r w:rsidRPr="002E45EE">
              <w:t>Mineral</w:t>
            </w:r>
          </w:p>
          <w:p w14:paraId="193C1F93" w14:textId="77777777" w:rsidR="007D319C" w:rsidRPr="002E45EE" w:rsidRDefault="007D319C" w:rsidP="002E45EE">
            <w:pPr>
              <w:pStyle w:val="TableParagraph"/>
              <w:spacing w:line="276" w:lineRule="auto"/>
            </w:pPr>
            <w:r w:rsidRPr="002E45EE">
              <w:t>Mingo</w:t>
            </w:r>
          </w:p>
          <w:p w14:paraId="329414F5" w14:textId="77777777" w:rsidR="007D319C" w:rsidRPr="002E45EE" w:rsidRDefault="007D319C" w:rsidP="002E45EE">
            <w:pPr>
              <w:pStyle w:val="TableParagraph"/>
              <w:spacing w:line="276" w:lineRule="auto"/>
            </w:pPr>
            <w:r w:rsidRPr="002E45EE">
              <w:t>Monroe</w:t>
            </w:r>
          </w:p>
          <w:p w14:paraId="75F4CA93" w14:textId="77777777" w:rsidR="007D319C" w:rsidRPr="002E45EE" w:rsidRDefault="007D319C" w:rsidP="002E45EE">
            <w:pPr>
              <w:pStyle w:val="TableParagraph"/>
              <w:spacing w:line="276" w:lineRule="auto"/>
            </w:pPr>
            <w:r w:rsidRPr="002E45EE">
              <w:t>Pendleton</w:t>
            </w:r>
          </w:p>
          <w:p w14:paraId="4B0C65DC" w14:textId="77777777" w:rsidR="007D319C" w:rsidRPr="002E45EE" w:rsidRDefault="007D319C" w:rsidP="002E45EE">
            <w:pPr>
              <w:pStyle w:val="TableParagraph"/>
              <w:spacing w:line="276" w:lineRule="auto"/>
            </w:pPr>
            <w:r w:rsidRPr="002E45EE">
              <w:t>Mercer</w:t>
            </w:r>
          </w:p>
          <w:p w14:paraId="35AC7786" w14:textId="77777777" w:rsidR="007D319C" w:rsidRPr="002E45EE" w:rsidRDefault="007D319C" w:rsidP="002E45EE">
            <w:pPr>
              <w:pStyle w:val="TableParagraph"/>
              <w:spacing w:line="276" w:lineRule="auto"/>
            </w:pPr>
            <w:r w:rsidRPr="002E45EE">
              <w:t>Roane</w:t>
            </w:r>
          </w:p>
          <w:p w14:paraId="347217E9" w14:textId="77777777" w:rsidR="007D319C" w:rsidRPr="002E45EE" w:rsidRDefault="007D319C" w:rsidP="002E45EE">
            <w:pPr>
              <w:pStyle w:val="TableParagraph"/>
              <w:spacing w:line="276" w:lineRule="auto"/>
            </w:pPr>
            <w:r w:rsidRPr="002E45EE">
              <w:t>Tucker</w:t>
            </w:r>
          </w:p>
          <w:p w14:paraId="180C2362" w14:textId="77777777" w:rsidR="007D319C" w:rsidRPr="002E45EE" w:rsidRDefault="007D319C" w:rsidP="002E45EE">
            <w:pPr>
              <w:pStyle w:val="TableParagraph"/>
              <w:spacing w:line="276" w:lineRule="auto"/>
            </w:pPr>
            <w:r w:rsidRPr="002E45EE">
              <w:t>Wood</w:t>
            </w:r>
          </w:p>
          <w:p w14:paraId="24B622FF" w14:textId="77777777" w:rsidR="007D319C" w:rsidRPr="002E45EE" w:rsidRDefault="007D319C" w:rsidP="002E45EE">
            <w:pPr>
              <w:pStyle w:val="TableParagraph"/>
              <w:spacing w:line="276" w:lineRule="auto"/>
            </w:pPr>
            <w:r w:rsidRPr="002E45EE">
              <w:t>WV Academy</w:t>
            </w:r>
          </w:p>
        </w:tc>
      </w:tr>
    </w:tbl>
    <w:p w14:paraId="51E71119" w14:textId="77777777" w:rsidR="00BA0609" w:rsidRDefault="00BA0609" w:rsidP="00BA0609">
      <w:pPr>
        <w:pStyle w:val="BodyText"/>
      </w:pPr>
    </w:p>
    <w:p w14:paraId="4819019A" w14:textId="78FC677F" w:rsidR="006647EC" w:rsidRDefault="006647EC" w:rsidP="00BA0609">
      <w:pPr>
        <w:pStyle w:val="BodyText"/>
      </w:pPr>
      <w:r>
        <w:lastRenderedPageBreak/>
        <w:t xml:space="preserve">The following page contains </w:t>
      </w:r>
      <w:r w:rsidR="00984D09">
        <w:t xml:space="preserve">IDEA requirements related to secondary transition planning and </w:t>
      </w:r>
      <w:r w:rsidR="00310C23">
        <w:t xml:space="preserve">provision of FAPE. It also </w:t>
      </w:r>
      <w:r w:rsidR="00AD4C56">
        <w:t xml:space="preserve">provides </w:t>
      </w:r>
      <w:r w:rsidR="00310C23">
        <w:t>resource</w:t>
      </w:r>
      <w:r w:rsidR="0059434A">
        <w:t xml:space="preserve"> links to documents that will allow the LEA to engage </w:t>
      </w:r>
      <w:r w:rsidR="009D3D2D">
        <w:t>in best p</w:t>
      </w:r>
      <w:r w:rsidR="00310C23">
        <w:t>ractices</w:t>
      </w:r>
      <w:r w:rsidR="009D3D2D">
        <w:t xml:space="preserve"> related to secondary transition planning.</w:t>
      </w:r>
      <w:r w:rsidR="00425627">
        <w:t xml:space="preserve"> </w:t>
      </w:r>
    </w:p>
    <w:p w14:paraId="0BF21234" w14:textId="11DBF2EF" w:rsidR="006C1649" w:rsidRPr="00366807" w:rsidRDefault="006C1649" w:rsidP="00205F6A">
      <w:pPr>
        <w:pStyle w:val="Heading3"/>
      </w:pPr>
      <w:r w:rsidRPr="00366807">
        <w:t>Related IDEA Requirements</w:t>
      </w:r>
    </w:p>
    <w:p w14:paraId="011F60E5" w14:textId="25FACBD0" w:rsidR="006C1649" w:rsidRPr="00230BC5" w:rsidRDefault="006C1649" w:rsidP="00EC5E68">
      <w:pPr>
        <w:pStyle w:val="ListParagraph"/>
        <w:numPr>
          <w:ilvl w:val="0"/>
          <w:numId w:val="6"/>
        </w:numPr>
        <w:tabs>
          <w:tab w:val="left" w:pos="540"/>
        </w:tabs>
        <w:spacing w:after="240"/>
        <w:ind w:left="360" w:hanging="270"/>
        <w:rPr>
          <w:rFonts w:ascii="Fira Sans Light" w:hAnsi="Fira Sans Light" w:cs="Arial"/>
          <w:color w:val="000000" w:themeColor="text1"/>
          <w:sz w:val="21"/>
          <w:szCs w:val="21"/>
        </w:rPr>
      </w:pPr>
      <w:r w:rsidRPr="00230BC5">
        <w:rPr>
          <w:rFonts w:ascii="Fira Sans Light" w:hAnsi="Fira Sans Light" w:cs="Arial"/>
          <w:color w:val="000000" w:themeColor="text1"/>
          <w:sz w:val="21"/>
          <w:szCs w:val="21"/>
        </w:rPr>
        <w:t>Transition services. The IEP, beginning not later than the first IEP to be in effect when the child turns 16, or younger if determined appropriate by the IEP Team and updated annually thereafter, must include appropriate measurable postsecondary goals based upon age-appropriate transition assessments related to training, education, employment and where appropriate, independent living skills; the transition services (including courses of study) needed to assist the child in reaching those goals</w:t>
      </w:r>
      <w:r w:rsidRPr="00230BC5">
        <w:rPr>
          <w:rFonts w:ascii="Fira Sans Light" w:hAnsi="Fira Sans Light"/>
          <w:color w:val="000000" w:themeColor="text1"/>
          <w:sz w:val="21"/>
          <w:szCs w:val="21"/>
        </w:rPr>
        <w:t xml:space="preserve">. </w:t>
      </w:r>
      <w:hyperlink r:id="rId11" w:anchor="p-300.320(b)" w:history="1">
        <w:r w:rsidRPr="005B6446">
          <w:rPr>
            <w:rStyle w:val="Hyperlink"/>
            <w:rFonts w:ascii="Fira Sans" w:hAnsi="Fira Sans"/>
            <w:sz w:val="21"/>
            <w:szCs w:val="21"/>
          </w:rPr>
          <w:t>34 C.F.R. § 300.320(b) and (c)</w:t>
        </w:r>
      </w:hyperlink>
      <w:r w:rsidRPr="00230BC5">
        <w:rPr>
          <w:rFonts w:ascii="Fira Sans Light" w:hAnsi="Fira Sans Light" w:cs="Arial"/>
          <w:color w:val="000000" w:themeColor="text1"/>
          <w:sz w:val="21"/>
          <w:szCs w:val="21"/>
        </w:rPr>
        <w:t>.</w:t>
      </w:r>
    </w:p>
    <w:p w14:paraId="224C7AAD" w14:textId="77777777" w:rsidR="006C1649" w:rsidRPr="00230BC5" w:rsidRDefault="006C1649" w:rsidP="00EC5E68">
      <w:pPr>
        <w:pStyle w:val="ListParagraph"/>
        <w:numPr>
          <w:ilvl w:val="0"/>
          <w:numId w:val="6"/>
        </w:numPr>
        <w:tabs>
          <w:tab w:val="left" w:pos="540"/>
        </w:tabs>
        <w:spacing w:after="240"/>
        <w:ind w:left="360" w:hanging="270"/>
        <w:rPr>
          <w:rFonts w:ascii="Fira Sans Light" w:hAnsi="Fira Sans Light" w:cs="Arial"/>
          <w:color w:val="000000" w:themeColor="text1"/>
          <w:sz w:val="21"/>
          <w:szCs w:val="21"/>
        </w:rPr>
      </w:pPr>
      <w:r w:rsidRPr="00230BC5">
        <w:rPr>
          <w:rFonts w:ascii="Fira Sans Light" w:hAnsi="Fira Sans Light" w:cs="Arial"/>
          <w:color w:val="000000" w:themeColor="text1"/>
          <w:sz w:val="21"/>
          <w:szCs w:val="21"/>
        </w:rPr>
        <w:t xml:space="preserve">The term ‘transition services’ is defined in </w:t>
      </w:r>
      <w:hyperlink r:id="rId12" w:history="1">
        <w:r w:rsidRPr="005B6446">
          <w:rPr>
            <w:rStyle w:val="Hyperlink"/>
            <w:rFonts w:ascii="Fira Sans" w:hAnsi="Fira Sans"/>
            <w:sz w:val="21"/>
            <w:szCs w:val="21"/>
          </w:rPr>
          <w:t>20 U.S.C. 1401(34)(A) through (C)</w:t>
        </w:r>
      </w:hyperlink>
      <w:r w:rsidRPr="00230BC5">
        <w:rPr>
          <w:rFonts w:ascii="Fira Sans Light" w:hAnsi="Fira Sans Light" w:cs="Arial"/>
          <w:color w:val="000000" w:themeColor="text1"/>
          <w:sz w:val="21"/>
          <w:szCs w:val="21"/>
        </w:rPr>
        <w:t xml:space="preserve">. </w:t>
      </w:r>
      <w:hyperlink r:id="rId13" w:history="1">
        <w:r w:rsidRPr="005B6446">
          <w:rPr>
            <w:rStyle w:val="Hyperlink"/>
            <w:rFonts w:ascii="Fira Sans" w:hAnsi="Fira Sans"/>
            <w:sz w:val="21"/>
            <w:szCs w:val="21"/>
          </w:rPr>
          <w:t>20 U.S.C. 1401(34)</w:t>
        </w:r>
      </w:hyperlink>
      <w:r w:rsidRPr="00230BC5">
        <w:rPr>
          <w:rFonts w:ascii="Fira Sans Light" w:hAnsi="Fira Sans Light" w:cs="Arial"/>
          <w:color w:val="000000" w:themeColor="text1"/>
          <w:sz w:val="21"/>
          <w:szCs w:val="21"/>
        </w:rPr>
        <w:t xml:space="preserve">; </w:t>
      </w:r>
      <w:hyperlink r:id="rId14" w:history="1">
        <w:r w:rsidRPr="005B6446">
          <w:rPr>
            <w:rStyle w:val="Hyperlink"/>
            <w:rFonts w:ascii="Fira Sans" w:hAnsi="Fira Sans"/>
            <w:sz w:val="21"/>
            <w:szCs w:val="21"/>
          </w:rPr>
          <w:t>34 C.F.R. § 300.43</w:t>
        </w:r>
      </w:hyperlink>
      <w:r w:rsidRPr="00230BC5">
        <w:rPr>
          <w:rFonts w:ascii="Fira Sans Light" w:hAnsi="Fira Sans Light" w:cs="Arial"/>
          <w:color w:val="000000" w:themeColor="text1"/>
          <w:sz w:val="21"/>
          <w:szCs w:val="21"/>
        </w:rPr>
        <w:t>.</w:t>
      </w:r>
    </w:p>
    <w:p w14:paraId="6B0AF43B" w14:textId="77777777" w:rsidR="006C1649" w:rsidRPr="00230BC5" w:rsidRDefault="006C1649" w:rsidP="00EC5E68">
      <w:pPr>
        <w:pStyle w:val="ListParagraph"/>
        <w:numPr>
          <w:ilvl w:val="0"/>
          <w:numId w:val="6"/>
        </w:numPr>
        <w:tabs>
          <w:tab w:val="left" w:pos="540"/>
        </w:tabs>
        <w:spacing w:after="240"/>
        <w:ind w:left="360" w:hanging="270"/>
        <w:rPr>
          <w:rFonts w:ascii="Fira Sans Light" w:hAnsi="Fira Sans Light" w:cs="Arial"/>
          <w:color w:val="000000" w:themeColor="text1"/>
          <w:sz w:val="21"/>
          <w:szCs w:val="21"/>
        </w:rPr>
      </w:pPr>
      <w:r w:rsidRPr="00230BC5">
        <w:rPr>
          <w:rFonts w:ascii="Fira Sans Light" w:hAnsi="Fira Sans Light" w:cs="Arial"/>
          <w:color w:val="000000" w:themeColor="text1"/>
          <w:sz w:val="21"/>
          <w:szCs w:val="21"/>
        </w:rPr>
        <w:t xml:space="preserve">Free appropriate public education (FAPE). </w:t>
      </w:r>
      <w:hyperlink r:id="rId15" w:history="1">
        <w:r w:rsidRPr="005B6446">
          <w:rPr>
            <w:rStyle w:val="Hyperlink"/>
            <w:rFonts w:ascii="Fira Sans" w:hAnsi="Fira Sans"/>
            <w:sz w:val="21"/>
            <w:szCs w:val="21"/>
          </w:rPr>
          <w:t>20 U.S.C. 1412(a)(1)(A)</w:t>
        </w:r>
      </w:hyperlink>
      <w:r w:rsidRPr="00230BC5">
        <w:rPr>
          <w:rFonts w:ascii="Fira Sans Light" w:hAnsi="Fira Sans Light" w:cs="Arial"/>
          <w:color w:val="000000" w:themeColor="text1"/>
          <w:sz w:val="21"/>
          <w:szCs w:val="21"/>
        </w:rPr>
        <w:t xml:space="preserve">; </w:t>
      </w:r>
      <w:hyperlink r:id="rId16" w:history="1">
        <w:r w:rsidRPr="005B6446">
          <w:rPr>
            <w:rStyle w:val="Hyperlink"/>
            <w:rFonts w:ascii="Fira Sans" w:hAnsi="Fira Sans"/>
            <w:sz w:val="21"/>
            <w:szCs w:val="21"/>
          </w:rPr>
          <w:t>34 C.F.R. § 300.101(a)</w:t>
        </w:r>
      </w:hyperlink>
      <w:r w:rsidRPr="00230BC5">
        <w:rPr>
          <w:rFonts w:ascii="Fira Sans Light" w:hAnsi="Fira Sans Light" w:cs="Arial"/>
          <w:color w:val="000000" w:themeColor="text1"/>
          <w:sz w:val="21"/>
          <w:szCs w:val="21"/>
        </w:rPr>
        <w:t>.</w:t>
      </w:r>
    </w:p>
    <w:p w14:paraId="1E487887" w14:textId="77777777" w:rsidR="006C1649" w:rsidRPr="00230BC5" w:rsidRDefault="006C1649" w:rsidP="00EC5E68">
      <w:pPr>
        <w:pStyle w:val="ListParagraph"/>
        <w:numPr>
          <w:ilvl w:val="0"/>
          <w:numId w:val="6"/>
        </w:numPr>
        <w:tabs>
          <w:tab w:val="left" w:pos="540"/>
        </w:tabs>
        <w:spacing w:after="240"/>
        <w:ind w:left="360" w:hanging="270"/>
        <w:rPr>
          <w:rFonts w:ascii="Fira Sans Light" w:hAnsi="Fira Sans Light" w:cs="Arial"/>
          <w:color w:val="000000" w:themeColor="text1"/>
          <w:sz w:val="21"/>
          <w:szCs w:val="21"/>
        </w:rPr>
      </w:pPr>
      <w:r w:rsidRPr="00230BC5">
        <w:rPr>
          <w:rFonts w:ascii="Fira Sans Light" w:hAnsi="Fira Sans Light" w:cs="Arial"/>
          <w:color w:val="000000" w:themeColor="text1"/>
          <w:sz w:val="21"/>
          <w:szCs w:val="21"/>
        </w:rPr>
        <w:t xml:space="preserve">Consideration of special factors (behavior, limited English proficiency, blind or visually impaired, communication needs). </w:t>
      </w:r>
      <w:hyperlink r:id="rId17" w:history="1">
        <w:r w:rsidRPr="005B6446">
          <w:rPr>
            <w:rStyle w:val="Hyperlink"/>
            <w:rFonts w:ascii="Fira Sans" w:hAnsi="Fira Sans"/>
            <w:sz w:val="21"/>
            <w:szCs w:val="21"/>
          </w:rPr>
          <w:t>20 U.S.C. 1414(d)(3)</w:t>
        </w:r>
      </w:hyperlink>
      <w:r w:rsidRPr="00230BC5">
        <w:rPr>
          <w:rFonts w:ascii="Fira Sans Light" w:hAnsi="Fira Sans Light" w:cs="Arial"/>
          <w:color w:val="000000" w:themeColor="text1"/>
          <w:sz w:val="21"/>
          <w:szCs w:val="21"/>
        </w:rPr>
        <w:t xml:space="preserve">; </w:t>
      </w:r>
      <w:hyperlink r:id="rId18" w:anchor="p-300.324(a)(2)" w:history="1">
        <w:r w:rsidRPr="005B6446">
          <w:rPr>
            <w:rStyle w:val="Hyperlink"/>
            <w:rFonts w:ascii="Fira Sans" w:hAnsi="Fira Sans"/>
            <w:sz w:val="21"/>
            <w:szCs w:val="21"/>
          </w:rPr>
          <w:t>34 C.F.R. § 300.324(a)(2)</w:t>
        </w:r>
      </w:hyperlink>
    </w:p>
    <w:p w14:paraId="5D44A34A" w14:textId="77777777" w:rsidR="006C1649" w:rsidRPr="00230BC5" w:rsidRDefault="006C1649" w:rsidP="00EC5E68">
      <w:pPr>
        <w:pStyle w:val="ListParagraph"/>
        <w:numPr>
          <w:ilvl w:val="0"/>
          <w:numId w:val="6"/>
        </w:numPr>
        <w:tabs>
          <w:tab w:val="left" w:pos="540"/>
        </w:tabs>
        <w:spacing w:after="240"/>
        <w:ind w:left="360" w:hanging="270"/>
        <w:rPr>
          <w:rFonts w:ascii="Fira Sans Light" w:hAnsi="Fira Sans Light" w:cs="Arial"/>
          <w:color w:val="000000" w:themeColor="text1"/>
          <w:sz w:val="21"/>
          <w:szCs w:val="21"/>
        </w:rPr>
      </w:pPr>
      <w:r w:rsidRPr="00230BC5">
        <w:rPr>
          <w:rFonts w:ascii="Fira Sans Light" w:hAnsi="Fira Sans Light" w:cs="Arial"/>
          <w:color w:val="000000" w:themeColor="text1"/>
          <w:sz w:val="21"/>
          <w:szCs w:val="21"/>
        </w:rPr>
        <w:t xml:space="preserve">Development, review, and revision of IEP. </w:t>
      </w:r>
      <w:hyperlink r:id="rId19" w:history="1">
        <w:r w:rsidRPr="005B6446">
          <w:rPr>
            <w:rStyle w:val="Hyperlink"/>
            <w:rFonts w:ascii="Fira Sans" w:hAnsi="Fira Sans"/>
            <w:sz w:val="21"/>
            <w:szCs w:val="21"/>
          </w:rPr>
          <w:t>20 U.S.C. 1414(d)(3)</w:t>
        </w:r>
      </w:hyperlink>
      <w:r w:rsidRPr="00230BC5">
        <w:rPr>
          <w:rFonts w:ascii="Fira Sans Light" w:hAnsi="Fira Sans Light" w:cs="Arial"/>
          <w:color w:val="000000" w:themeColor="text1"/>
          <w:sz w:val="21"/>
          <w:szCs w:val="21"/>
        </w:rPr>
        <w:t xml:space="preserve">; </w:t>
      </w:r>
      <w:hyperlink r:id="rId20" w:history="1">
        <w:r w:rsidRPr="005B6446">
          <w:rPr>
            <w:rStyle w:val="Hyperlink"/>
            <w:rFonts w:ascii="Fira Sans" w:hAnsi="Fira Sans"/>
            <w:sz w:val="21"/>
            <w:szCs w:val="21"/>
          </w:rPr>
          <w:t>34 C.F.R. § 300.324</w:t>
        </w:r>
      </w:hyperlink>
      <w:r w:rsidRPr="00230BC5">
        <w:rPr>
          <w:rFonts w:ascii="Fira Sans Light" w:hAnsi="Fira Sans Light" w:cs="Arial"/>
          <w:color w:val="000000" w:themeColor="text1"/>
          <w:sz w:val="21"/>
          <w:szCs w:val="21"/>
        </w:rPr>
        <w:t xml:space="preserve">. </w:t>
      </w:r>
    </w:p>
    <w:p w14:paraId="2D393C54" w14:textId="77777777" w:rsidR="006C1649" w:rsidRPr="00230BC5" w:rsidRDefault="006C1649" w:rsidP="00EC5E68">
      <w:pPr>
        <w:pStyle w:val="ListParagraph"/>
        <w:numPr>
          <w:ilvl w:val="0"/>
          <w:numId w:val="6"/>
        </w:numPr>
        <w:tabs>
          <w:tab w:val="left" w:pos="540"/>
        </w:tabs>
        <w:spacing w:after="240"/>
        <w:ind w:left="360" w:hanging="270"/>
        <w:rPr>
          <w:rFonts w:ascii="Fira Sans Light" w:hAnsi="Fira Sans Light" w:cs="Arial"/>
          <w:color w:val="000000" w:themeColor="text1"/>
          <w:sz w:val="21"/>
          <w:szCs w:val="21"/>
        </w:rPr>
      </w:pPr>
      <w:r w:rsidRPr="00230BC5">
        <w:rPr>
          <w:rFonts w:ascii="Fira Sans Light" w:hAnsi="Fira Sans Light" w:cs="Arial"/>
          <w:color w:val="000000" w:themeColor="text1"/>
          <w:sz w:val="21"/>
          <w:szCs w:val="21"/>
        </w:rPr>
        <w:t xml:space="preserve">Access to instructional materials. </w:t>
      </w:r>
      <w:hyperlink r:id="rId21" w:history="1">
        <w:r w:rsidRPr="005B6446">
          <w:rPr>
            <w:rStyle w:val="Hyperlink"/>
            <w:rFonts w:ascii="Fira Sans" w:hAnsi="Fira Sans"/>
            <w:sz w:val="21"/>
            <w:szCs w:val="21"/>
          </w:rPr>
          <w:t>20 U.S.C. 1412(a)(23)</w:t>
        </w:r>
      </w:hyperlink>
      <w:r w:rsidRPr="00230BC5">
        <w:rPr>
          <w:rFonts w:ascii="Fira Sans Light" w:hAnsi="Fira Sans Light" w:cs="Arial"/>
          <w:color w:val="000000" w:themeColor="text1"/>
          <w:sz w:val="21"/>
          <w:szCs w:val="21"/>
        </w:rPr>
        <w:t xml:space="preserve">; </w:t>
      </w:r>
      <w:hyperlink r:id="rId22" w:history="1">
        <w:r w:rsidRPr="005B6446">
          <w:rPr>
            <w:rStyle w:val="Hyperlink"/>
            <w:rFonts w:ascii="Fira Sans" w:hAnsi="Fira Sans"/>
            <w:sz w:val="21"/>
            <w:szCs w:val="21"/>
          </w:rPr>
          <w:t>34 C.F.R. § 300.172(a)</w:t>
        </w:r>
      </w:hyperlink>
      <w:r w:rsidRPr="00230BC5">
        <w:rPr>
          <w:rFonts w:ascii="Fira Sans Light" w:hAnsi="Fira Sans Light" w:cs="Arial"/>
          <w:color w:val="000000" w:themeColor="text1"/>
          <w:sz w:val="21"/>
          <w:szCs w:val="21"/>
        </w:rPr>
        <w:t xml:space="preserve">. </w:t>
      </w:r>
    </w:p>
    <w:p w14:paraId="1FD43B80" w14:textId="321161C6" w:rsidR="00205F6A" w:rsidRPr="00E92ED5" w:rsidRDefault="006C1649" w:rsidP="00BA0609">
      <w:pPr>
        <w:pStyle w:val="ListParagraph"/>
        <w:numPr>
          <w:ilvl w:val="0"/>
          <w:numId w:val="6"/>
        </w:numPr>
        <w:tabs>
          <w:tab w:val="left" w:pos="540"/>
        </w:tabs>
        <w:autoSpaceDE w:val="0"/>
        <w:autoSpaceDN w:val="0"/>
        <w:adjustRightInd w:val="0"/>
        <w:spacing w:after="240" w:line="240" w:lineRule="auto"/>
        <w:ind w:left="360" w:hanging="270"/>
        <w:rPr>
          <w:rFonts w:ascii="Fira Sans Light" w:eastAsia="ArialMT" w:hAnsi="Fira Sans Light" w:cs="ArialMT"/>
          <w:color w:val="000000" w:themeColor="text1"/>
          <w:kern w:val="0"/>
          <w:sz w:val="21"/>
          <w:szCs w:val="21"/>
        </w:rPr>
      </w:pPr>
      <w:r w:rsidRPr="00230BC5">
        <w:rPr>
          <w:rFonts w:ascii="Fira Sans Light" w:hAnsi="Fira Sans Light" w:cs="Arial"/>
          <w:color w:val="000000" w:themeColor="text1"/>
          <w:sz w:val="21"/>
          <w:szCs w:val="21"/>
        </w:rPr>
        <w:t xml:space="preserve">Personnel qualifications and Personnel development. </w:t>
      </w:r>
      <w:hyperlink r:id="rId23" w:history="1">
        <w:r w:rsidRPr="005B6446">
          <w:rPr>
            <w:rStyle w:val="Hyperlink"/>
            <w:rFonts w:ascii="Fira Sans" w:hAnsi="Fira Sans"/>
            <w:sz w:val="21"/>
            <w:szCs w:val="21"/>
          </w:rPr>
          <w:t>20 U.S.C. 1412(a)(14)(A) and (B</w:t>
        </w:r>
        <w:r w:rsidRPr="005B6446">
          <w:rPr>
            <w:rStyle w:val="Hyperlink"/>
            <w:rFonts w:ascii="Fira Sans" w:hAnsi="Fira Sans" w:cs="Arial"/>
            <w:sz w:val="21"/>
            <w:szCs w:val="21"/>
          </w:rPr>
          <w:t>)</w:t>
        </w:r>
      </w:hyperlink>
      <w:r w:rsidRPr="00230BC5">
        <w:rPr>
          <w:rFonts w:ascii="Fira Sans Light" w:hAnsi="Fira Sans Light" w:cs="Arial"/>
          <w:color w:val="000000" w:themeColor="text1"/>
          <w:sz w:val="21"/>
          <w:szCs w:val="21"/>
        </w:rPr>
        <w:t xml:space="preserve">, </w:t>
      </w:r>
      <w:hyperlink r:id="rId24" w:history="1">
        <w:r w:rsidRPr="005B6446">
          <w:rPr>
            <w:rStyle w:val="Hyperlink"/>
            <w:rFonts w:ascii="Fira Sans" w:hAnsi="Fira Sans"/>
            <w:sz w:val="21"/>
            <w:szCs w:val="21"/>
          </w:rPr>
          <w:t>1413(a)(3)</w:t>
        </w:r>
      </w:hyperlink>
      <w:r w:rsidRPr="00230BC5">
        <w:rPr>
          <w:rFonts w:ascii="Fira Sans Light" w:hAnsi="Fira Sans Light" w:cs="Arial"/>
          <w:color w:val="000000" w:themeColor="text1"/>
          <w:sz w:val="21"/>
          <w:szCs w:val="21"/>
        </w:rPr>
        <w:t xml:space="preserve">; </w:t>
      </w:r>
      <w:hyperlink r:id="rId25" w:history="1">
        <w:r w:rsidRPr="005B6446">
          <w:rPr>
            <w:rStyle w:val="Hyperlink"/>
            <w:rFonts w:ascii="Fira Sans" w:hAnsi="Fira Sans"/>
            <w:sz w:val="21"/>
            <w:szCs w:val="21"/>
          </w:rPr>
          <w:t>34 C.F.R. §§ 300.156(a) through (d)</w:t>
        </w:r>
      </w:hyperlink>
      <w:r w:rsidRPr="00230BC5">
        <w:rPr>
          <w:rFonts w:ascii="Fira Sans Light" w:hAnsi="Fira Sans Light" w:cs="Arial"/>
          <w:color w:val="000000" w:themeColor="text1"/>
          <w:sz w:val="21"/>
          <w:szCs w:val="21"/>
        </w:rPr>
        <w:t xml:space="preserve"> and </w:t>
      </w:r>
      <w:hyperlink r:id="rId26" w:history="1">
        <w:r w:rsidRPr="005B6446">
          <w:rPr>
            <w:rStyle w:val="Hyperlink"/>
            <w:rFonts w:ascii="Fira Sans" w:hAnsi="Fira Sans"/>
            <w:sz w:val="21"/>
            <w:szCs w:val="21"/>
          </w:rPr>
          <w:t>300.207</w:t>
        </w:r>
      </w:hyperlink>
      <w:r w:rsidRPr="00230BC5">
        <w:rPr>
          <w:rFonts w:ascii="Fira Sans Light" w:hAnsi="Fira Sans Light" w:cs="Arial"/>
          <w:color w:val="000000" w:themeColor="text1"/>
          <w:sz w:val="21"/>
          <w:szCs w:val="21"/>
        </w:rPr>
        <w:t xml:space="preserve">. </w:t>
      </w:r>
    </w:p>
    <w:p w14:paraId="05A702F4" w14:textId="0449D746" w:rsidR="004D059F" w:rsidRPr="00BA0609" w:rsidRDefault="00AD4C56" w:rsidP="00BA0609">
      <w:pPr>
        <w:pStyle w:val="Heading3"/>
      </w:pPr>
      <w:r w:rsidRPr="00BA0609">
        <w:t>Resources - Best Practices in Secondary Transition Planning</w:t>
      </w:r>
    </w:p>
    <w:p w14:paraId="7D5F6D93" w14:textId="6736957E" w:rsidR="002B0A4F" w:rsidRPr="005B6446" w:rsidRDefault="00185369" w:rsidP="00EC5E68">
      <w:pPr>
        <w:pStyle w:val="ListParagraph"/>
        <w:numPr>
          <w:ilvl w:val="0"/>
          <w:numId w:val="10"/>
        </w:numPr>
        <w:tabs>
          <w:tab w:val="left" w:pos="540"/>
        </w:tabs>
        <w:autoSpaceDE w:val="0"/>
        <w:autoSpaceDN w:val="0"/>
        <w:adjustRightInd w:val="0"/>
        <w:spacing w:after="240"/>
        <w:rPr>
          <w:rStyle w:val="Hyperlink"/>
          <w:rFonts w:ascii="Fira Sans" w:hAnsi="Fira Sans"/>
          <w:sz w:val="21"/>
          <w:szCs w:val="21"/>
          <w:u w:val="none"/>
        </w:rPr>
      </w:pPr>
      <w:hyperlink r:id="rId27" w:history="1">
        <w:r w:rsidR="002B0A4F" w:rsidRPr="005B6446">
          <w:rPr>
            <w:rStyle w:val="Hyperlink"/>
            <w:rFonts w:ascii="Fira Sans" w:hAnsi="Fira Sans"/>
            <w:sz w:val="21"/>
            <w:szCs w:val="21"/>
          </w:rPr>
          <w:t xml:space="preserve">WV Guideposts to Graduation </w:t>
        </w:r>
        <w:r w:rsidR="00BB14C5" w:rsidRPr="005B6446">
          <w:rPr>
            <w:rStyle w:val="Hyperlink"/>
            <w:rFonts w:ascii="Fira Sans" w:hAnsi="Fira Sans"/>
            <w:sz w:val="21"/>
            <w:szCs w:val="21"/>
          </w:rPr>
          <w:t xml:space="preserve">(WVGtG) </w:t>
        </w:r>
        <w:r w:rsidR="002B0A4F" w:rsidRPr="005B6446">
          <w:rPr>
            <w:rStyle w:val="Hyperlink"/>
            <w:rFonts w:ascii="Fira Sans" w:hAnsi="Fira Sans"/>
            <w:sz w:val="21"/>
            <w:szCs w:val="21"/>
          </w:rPr>
          <w:t>website</w:t>
        </w:r>
      </w:hyperlink>
    </w:p>
    <w:p w14:paraId="0FFB9798" w14:textId="60089665" w:rsidR="00BB14C5" w:rsidRPr="00230BC5" w:rsidRDefault="00185369" w:rsidP="006C2706">
      <w:pPr>
        <w:pStyle w:val="ListParagraph"/>
        <w:numPr>
          <w:ilvl w:val="0"/>
          <w:numId w:val="10"/>
        </w:numPr>
        <w:tabs>
          <w:tab w:val="left" w:pos="540"/>
        </w:tabs>
        <w:autoSpaceDE w:val="0"/>
        <w:autoSpaceDN w:val="0"/>
        <w:adjustRightInd w:val="0"/>
        <w:spacing w:after="240"/>
        <w:rPr>
          <w:rFonts w:ascii="Fira Sans Light" w:eastAsia="ArialMT" w:hAnsi="Fira Sans Light" w:cs="ArialMT"/>
          <w:color w:val="000000" w:themeColor="text1"/>
          <w:kern w:val="0"/>
          <w:sz w:val="21"/>
          <w:szCs w:val="21"/>
        </w:rPr>
      </w:pPr>
      <w:hyperlink r:id="rId28" w:history="1">
        <w:r w:rsidR="0041738D" w:rsidRPr="005B6446">
          <w:rPr>
            <w:rStyle w:val="Hyperlink"/>
            <w:rFonts w:ascii="Fira Sans" w:hAnsi="Fira Sans" w:cs="Arial"/>
            <w:sz w:val="21"/>
            <w:szCs w:val="21"/>
          </w:rPr>
          <w:t>Results Driven Accountability – General Supervision System</w:t>
        </w:r>
      </w:hyperlink>
      <w:r w:rsidR="00BA0609" w:rsidRPr="00230BC5">
        <w:rPr>
          <w:rFonts w:ascii="Fira Sans Light" w:hAnsi="Fira Sans Light"/>
          <w:color w:val="000000" w:themeColor="text1"/>
          <w:sz w:val="21"/>
          <w:szCs w:val="21"/>
        </w:rPr>
        <w:t xml:space="preserve"> </w:t>
      </w:r>
      <w:r w:rsidR="00BB14C5" w:rsidRPr="00230BC5">
        <w:rPr>
          <w:rFonts w:ascii="Fira Sans Light" w:hAnsi="Fira Sans Light"/>
          <w:color w:val="000000" w:themeColor="text1"/>
          <w:sz w:val="21"/>
          <w:szCs w:val="21"/>
        </w:rPr>
        <w:t>(January 2024)</w:t>
      </w:r>
    </w:p>
    <w:p w14:paraId="051749B7" w14:textId="675055E1" w:rsidR="008E4056" w:rsidRPr="00230BC5" w:rsidRDefault="00185369" w:rsidP="006C2706">
      <w:pPr>
        <w:pStyle w:val="ListParagraph"/>
        <w:numPr>
          <w:ilvl w:val="0"/>
          <w:numId w:val="10"/>
        </w:numPr>
        <w:tabs>
          <w:tab w:val="left" w:pos="540"/>
        </w:tabs>
        <w:autoSpaceDE w:val="0"/>
        <w:autoSpaceDN w:val="0"/>
        <w:adjustRightInd w:val="0"/>
        <w:spacing w:after="240"/>
        <w:rPr>
          <w:rFonts w:ascii="Fira Sans Light" w:eastAsia="ArialMT" w:hAnsi="Fira Sans Light" w:cs="ArialMT"/>
          <w:color w:val="000000" w:themeColor="text1"/>
          <w:kern w:val="0"/>
          <w:sz w:val="21"/>
          <w:szCs w:val="21"/>
        </w:rPr>
      </w:pPr>
      <w:hyperlink r:id="rId29" w:history="1">
        <w:r w:rsidR="00AD3F45" w:rsidRPr="005B6446">
          <w:rPr>
            <w:rStyle w:val="Hyperlink"/>
            <w:rFonts w:ascii="Fira Sans" w:hAnsi="Fira Sans"/>
            <w:sz w:val="21"/>
            <w:szCs w:val="21"/>
          </w:rPr>
          <w:t>Transition Assessment Resource Bank</w:t>
        </w:r>
      </w:hyperlink>
      <w:r w:rsidR="00AD3F45" w:rsidRPr="00230BC5">
        <w:rPr>
          <w:rFonts w:ascii="Fira Sans Light" w:eastAsia="ArialMT" w:hAnsi="Fira Sans Light" w:cs="ArialMT"/>
          <w:color w:val="000000" w:themeColor="text1"/>
          <w:kern w:val="0"/>
          <w:sz w:val="21"/>
          <w:szCs w:val="21"/>
        </w:rPr>
        <w:t xml:space="preserve"> (</w:t>
      </w:r>
      <w:r w:rsidR="002C7197" w:rsidRPr="00230BC5">
        <w:rPr>
          <w:rFonts w:ascii="Fira Sans Light" w:eastAsia="ArialMT" w:hAnsi="Fira Sans Light" w:cs="ArialMT"/>
          <w:color w:val="000000" w:themeColor="text1"/>
          <w:kern w:val="0"/>
          <w:sz w:val="21"/>
          <w:szCs w:val="21"/>
        </w:rPr>
        <w:t>August</w:t>
      </w:r>
      <w:r w:rsidR="00AD3F45" w:rsidRPr="00230BC5">
        <w:rPr>
          <w:rFonts w:ascii="Fira Sans Light" w:eastAsia="ArialMT" w:hAnsi="Fira Sans Light" w:cs="ArialMT"/>
          <w:color w:val="000000" w:themeColor="text1"/>
          <w:kern w:val="0"/>
          <w:sz w:val="21"/>
          <w:szCs w:val="21"/>
        </w:rPr>
        <w:t xml:space="preserve"> 202</w:t>
      </w:r>
      <w:r w:rsidR="002C7197" w:rsidRPr="00230BC5">
        <w:rPr>
          <w:rFonts w:ascii="Fira Sans Light" w:eastAsia="ArialMT" w:hAnsi="Fira Sans Light" w:cs="ArialMT"/>
          <w:color w:val="000000" w:themeColor="text1"/>
          <w:kern w:val="0"/>
          <w:sz w:val="21"/>
          <w:szCs w:val="21"/>
        </w:rPr>
        <w:t>4</w:t>
      </w:r>
      <w:r w:rsidR="00AD3F45" w:rsidRPr="00230BC5">
        <w:rPr>
          <w:rFonts w:ascii="Fira Sans Light" w:eastAsia="ArialMT" w:hAnsi="Fira Sans Light" w:cs="ArialMT"/>
          <w:color w:val="000000" w:themeColor="text1"/>
          <w:kern w:val="0"/>
          <w:sz w:val="21"/>
          <w:szCs w:val="21"/>
        </w:rPr>
        <w:t>)</w:t>
      </w:r>
    </w:p>
    <w:p w14:paraId="1361B491" w14:textId="7F3F90CA" w:rsidR="008E4056" w:rsidRPr="00230BC5" w:rsidRDefault="00185369" w:rsidP="00EC5E68">
      <w:pPr>
        <w:pStyle w:val="ListParagraph"/>
        <w:numPr>
          <w:ilvl w:val="0"/>
          <w:numId w:val="10"/>
        </w:numPr>
        <w:tabs>
          <w:tab w:val="left" w:pos="540"/>
        </w:tabs>
        <w:autoSpaceDE w:val="0"/>
        <w:autoSpaceDN w:val="0"/>
        <w:adjustRightInd w:val="0"/>
        <w:spacing w:after="240"/>
        <w:rPr>
          <w:rFonts w:ascii="Fira Sans Light" w:eastAsia="ArialMT" w:hAnsi="Fira Sans Light" w:cs="ArialMT"/>
          <w:color w:val="000000" w:themeColor="text1"/>
          <w:kern w:val="0"/>
          <w:sz w:val="21"/>
          <w:szCs w:val="21"/>
        </w:rPr>
      </w:pPr>
      <w:hyperlink r:id="rId30" w:history="1">
        <w:r w:rsidR="00AD3F45" w:rsidRPr="005B6446">
          <w:rPr>
            <w:rStyle w:val="Hyperlink"/>
            <w:rFonts w:ascii="Fira Sans" w:hAnsi="Fira Sans"/>
            <w:sz w:val="21"/>
            <w:szCs w:val="21"/>
          </w:rPr>
          <w:t>Post</w:t>
        </w:r>
        <w:r w:rsidR="005B6446">
          <w:rPr>
            <w:rStyle w:val="Hyperlink"/>
            <w:rFonts w:ascii="Fira Sans" w:hAnsi="Fira Sans"/>
            <w:sz w:val="21"/>
            <w:szCs w:val="21"/>
          </w:rPr>
          <w:t>-</w:t>
        </w:r>
        <w:r w:rsidR="00AD3F45" w:rsidRPr="005B6446">
          <w:rPr>
            <w:rStyle w:val="Hyperlink"/>
            <w:rFonts w:ascii="Fira Sans" w:hAnsi="Fira Sans"/>
            <w:sz w:val="21"/>
            <w:szCs w:val="21"/>
          </w:rPr>
          <w:t>Secondary Goals Worksheet</w:t>
        </w:r>
      </w:hyperlink>
      <w:r w:rsidR="00AD3F45" w:rsidRPr="00230BC5">
        <w:rPr>
          <w:rFonts w:ascii="Fira Sans Light" w:eastAsia="ArialMT" w:hAnsi="Fira Sans Light" w:cs="ArialMT"/>
          <w:color w:val="000000" w:themeColor="text1"/>
          <w:kern w:val="0"/>
          <w:sz w:val="21"/>
          <w:szCs w:val="21"/>
        </w:rPr>
        <w:t xml:space="preserve"> (November 2023)</w:t>
      </w:r>
    </w:p>
    <w:p w14:paraId="3C5A079C" w14:textId="73AD8369" w:rsidR="008E4056" w:rsidRPr="00230BC5" w:rsidRDefault="00185369" w:rsidP="00EC5E68">
      <w:pPr>
        <w:pStyle w:val="ListParagraph"/>
        <w:numPr>
          <w:ilvl w:val="0"/>
          <w:numId w:val="10"/>
        </w:numPr>
        <w:tabs>
          <w:tab w:val="left" w:pos="540"/>
        </w:tabs>
        <w:autoSpaceDE w:val="0"/>
        <w:autoSpaceDN w:val="0"/>
        <w:adjustRightInd w:val="0"/>
        <w:spacing w:after="240"/>
        <w:rPr>
          <w:rFonts w:ascii="Fira Sans Light" w:eastAsia="ArialMT" w:hAnsi="Fira Sans Light" w:cs="ArialMT"/>
          <w:color w:val="000000" w:themeColor="text1"/>
          <w:kern w:val="0"/>
          <w:sz w:val="21"/>
          <w:szCs w:val="21"/>
        </w:rPr>
      </w:pPr>
      <w:hyperlink r:id="rId31" w:history="1">
        <w:r w:rsidR="00AD3F45" w:rsidRPr="005B6446">
          <w:rPr>
            <w:rStyle w:val="Hyperlink"/>
            <w:rFonts w:ascii="Fira Sans" w:hAnsi="Fira Sans"/>
            <w:sz w:val="21"/>
            <w:szCs w:val="21"/>
          </w:rPr>
          <w:t>Annual Transition Goals Tip Sheet</w:t>
        </w:r>
      </w:hyperlink>
      <w:r w:rsidR="00AD3F45" w:rsidRPr="00230BC5">
        <w:rPr>
          <w:rFonts w:ascii="Fira Sans Light" w:eastAsia="ArialMT" w:hAnsi="Fira Sans Light" w:cs="ArialMT"/>
          <w:color w:val="000000" w:themeColor="text1"/>
          <w:kern w:val="0"/>
          <w:sz w:val="21"/>
          <w:szCs w:val="21"/>
        </w:rPr>
        <w:t xml:space="preserve"> (October 2023)</w:t>
      </w:r>
    </w:p>
    <w:p w14:paraId="06A549BD" w14:textId="65D08458" w:rsidR="008E4056" w:rsidRPr="00230BC5" w:rsidRDefault="00185369" w:rsidP="00EC5E68">
      <w:pPr>
        <w:pStyle w:val="ListParagraph"/>
        <w:numPr>
          <w:ilvl w:val="0"/>
          <w:numId w:val="10"/>
        </w:numPr>
        <w:tabs>
          <w:tab w:val="left" w:pos="540"/>
        </w:tabs>
        <w:autoSpaceDE w:val="0"/>
        <w:autoSpaceDN w:val="0"/>
        <w:adjustRightInd w:val="0"/>
        <w:spacing w:after="240"/>
        <w:rPr>
          <w:rFonts w:ascii="Fira Sans Light" w:eastAsia="ArialMT" w:hAnsi="Fira Sans Light" w:cs="ArialMT"/>
          <w:color w:val="000000" w:themeColor="text1"/>
          <w:kern w:val="0"/>
          <w:sz w:val="21"/>
          <w:szCs w:val="21"/>
        </w:rPr>
      </w:pPr>
      <w:hyperlink r:id="rId32" w:history="1">
        <w:r w:rsidR="008E4056" w:rsidRPr="005B6446">
          <w:rPr>
            <w:rStyle w:val="Hyperlink"/>
            <w:rFonts w:ascii="Fira Sans" w:hAnsi="Fira Sans"/>
            <w:sz w:val="21"/>
            <w:szCs w:val="21"/>
          </w:rPr>
          <w:t>IDEA Transition Services Examples – Education/Train</w:t>
        </w:r>
        <w:r w:rsidR="00EC5E68" w:rsidRPr="005B6446">
          <w:rPr>
            <w:rStyle w:val="Hyperlink"/>
            <w:rFonts w:ascii="Fira Sans" w:hAnsi="Fira Sans"/>
            <w:sz w:val="21"/>
            <w:szCs w:val="21"/>
          </w:rPr>
          <w:t>ing</w:t>
        </w:r>
      </w:hyperlink>
      <w:r w:rsidR="008E4056" w:rsidRPr="00230BC5">
        <w:rPr>
          <w:rFonts w:ascii="Fira Sans Light" w:eastAsia="ArialMT" w:hAnsi="Fira Sans Light" w:cs="ArialMT"/>
          <w:color w:val="000000" w:themeColor="text1"/>
          <w:kern w:val="0"/>
          <w:sz w:val="21"/>
          <w:szCs w:val="21"/>
        </w:rPr>
        <w:t> (December 2023)</w:t>
      </w:r>
    </w:p>
    <w:p w14:paraId="0E0A8931" w14:textId="77777777" w:rsidR="008E4056" w:rsidRPr="00230BC5" w:rsidRDefault="00185369" w:rsidP="00EC5E68">
      <w:pPr>
        <w:pStyle w:val="ListParagraph"/>
        <w:numPr>
          <w:ilvl w:val="0"/>
          <w:numId w:val="10"/>
        </w:numPr>
        <w:tabs>
          <w:tab w:val="left" w:pos="540"/>
        </w:tabs>
        <w:autoSpaceDE w:val="0"/>
        <w:autoSpaceDN w:val="0"/>
        <w:adjustRightInd w:val="0"/>
        <w:spacing w:after="240"/>
        <w:rPr>
          <w:rFonts w:ascii="Fira Sans Light" w:eastAsia="ArialMT" w:hAnsi="Fira Sans Light" w:cs="ArialMT"/>
          <w:color w:val="000000" w:themeColor="text1"/>
          <w:kern w:val="0"/>
          <w:sz w:val="21"/>
          <w:szCs w:val="21"/>
        </w:rPr>
      </w:pPr>
      <w:hyperlink r:id="rId33" w:history="1">
        <w:r w:rsidR="008E4056" w:rsidRPr="005B6446">
          <w:rPr>
            <w:rStyle w:val="Hyperlink"/>
            <w:rFonts w:ascii="Fira Sans" w:hAnsi="Fira Sans"/>
            <w:sz w:val="21"/>
            <w:szCs w:val="21"/>
          </w:rPr>
          <w:t>IDEA Transition Services Examples – Employment</w:t>
        </w:r>
      </w:hyperlink>
      <w:r w:rsidR="008E4056" w:rsidRPr="00230BC5">
        <w:rPr>
          <w:rFonts w:ascii="Fira Sans Light" w:eastAsia="ArialMT" w:hAnsi="Fira Sans Light" w:cs="ArialMT"/>
          <w:color w:val="000000" w:themeColor="text1"/>
          <w:kern w:val="0"/>
          <w:sz w:val="21"/>
          <w:szCs w:val="21"/>
        </w:rPr>
        <w:t> (December 2023)</w:t>
      </w:r>
    </w:p>
    <w:p w14:paraId="453DD2C0" w14:textId="77777777" w:rsidR="008E4056" w:rsidRPr="00230BC5" w:rsidRDefault="00185369" w:rsidP="00EC5E68">
      <w:pPr>
        <w:pStyle w:val="ListParagraph"/>
        <w:numPr>
          <w:ilvl w:val="0"/>
          <w:numId w:val="10"/>
        </w:numPr>
        <w:tabs>
          <w:tab w:val="left" w:pos="540"/>
        </w:tabs>
        <w:autoSpaceDE w:val="0"/>
        <w:autoSpaceDN w:val="0"/>
        <w:adjustRightInd w:val="0"/>
        <w:spacing w:after="240"/>
        <w:rPr>
          <w:rFonts w:ascii="Fira Sans Light" w:eastAsia="ArialMT" w:hAnsi="Fira Sans Light" w:cs="ArialMT"/>
          <w:color w:val="000000" w:themeColor="text1"/>
          <w:kern w:val="0"/>
          <w:sz w:val="21"/>
          <w:szCs w:val="21"/>
        </w:rPr>
      </w:pPr>
      <w:hyperlink r:id="rId34" w:history="1">
        <w:r w:rsidR="008E4056" w:rsidRPr="005B6446">
          <w:rPr>
            <w:rStyle w:val="Hyperlink"/>
            <w:rFonts w:ascii="Fira Sans" w:hAnsi="Fira Sans"/>
            <w:sz w:val="21"/>
            <w:szCs w:val="21"/>
          </w:rPr>
          <w:t>IDEA Transition Services Examples – Independent Living</w:t>
        </w:r>
      </w:hyperlink>
      <w:r w:rsidR="008E4056" w:rsidRPr="00230BC5">
        <w:rPr>
          <w:rFonts w:ascii="Fira Sans Light" w:eastAsia="ArialMT" w:hAnsi="Fira Sans Light" w:cs="ArialMT"/>
          <w:color w:val="000000" w:themeColor="text1"/>
          <w:kern w:val="0"/>
          <w:sz w:val="21"/>
          <w:szCs w:val="21"/>
        </w:rPr>
        <w:t> (December 2023)</w:t>
      </w:r>
    </w:p>
    <w:p w14:paraId="553E74AE" w14:textId="132E06F6" w:rsidR="008E4056" w:rsidRPr="00FB7DD0" w:rsidRDefault="00185369" w:rsidP="00FB7DD0">
      <w:pPr>
        <w:pStyle w:val="ListParagraph"/>
        <w:numPr>
          <w:ilvl w:val="0"/>
          <w:numId w:val="10"/>
        </w:numPr>
        <w:tabs>
          <w:tab w:val="left" w:pos="540"/>
        </w:tabs>
        <w:autoSpaceDE w:val="0"/>
        <w:autoSpaceDN w:val="0"/>
        <w:adjustRightInd w:val="0"/>
        <w:spacing w:after="240"/>
        <w:rPr>
          <w:rFonts w:ascii="Fira Sans Light" w:eastAsia="ArialMT" w:hAnsi="Fira Sans Light" w:cs="ArialMT"/>
          <w:color w:val="000000" w:themeColor="text1"/>
          <w:kern w:val="0"/>
          <w:sz w:val="21"/>
          <w:szCs w:val="21"/>
        </w:rPr>
      </w:pPr>
      <w:hyperlink r:id="rId35" w:history="1">
        <w:r w:rsidR="00275C78" w:rsidRPr="00606FC5">
          <w:rPr>
            <w:rStyle w:val="Hyperlink"/>
            <w:rFonts w:ascii="Fira Sans" w:hAnsi="Fira Sans"/>
            <w:sz w:val="21"/>
            <w:szCs w:val="21"/>
          </w:rPr>
          <w:t>Secondary Transition File Review Checklist 2024</w:t>
        </w:r>
      </w:hyperlink>
      <w:r w:rsidR="00275C78" w:rsidRPr="00230BC5">
        <w:rPr>
          <w:rFonts w:ascii="Fira Sans Light" w:hAnsi="Fira Sans Light"/>
          <w:color w:val="000000" w:themeColor="text1"/>
          <w:sz w:val="21"/>
          <w:szCs w:val="21"/>
        </w:rPr>
        <w:t xml:space="preserve"> </w:t>
      </w:r>
      <w:r w:rsidR="00275C78" w:rsidRPr="00230BC5">
        <w:rPr>
          <w:rFonts w:ascii="Fira Sans Light" w:eastAsia="ArialMT" w:hAnsi="Fira Sans Light" w:cs="ArialMT"/>
          <w:color w:val="000000" w:themeColor="text1"/>
          <w:kern w:val="0"/>
          <w:sz w:val="21"/>
          <w:szCs w:val="21"/>
        </w:rPr>
        <w:t>(August 2024)</w:t>
      </w:r>
    </w:p>
    <w:sectPr w:rsidR="008E4056" w:rsidRPr="00FB7DD0" w:rsidSect="002E45EE">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F6E67" w14:textId="77777777" w:rsidR="00E0793B" w:rsidRDefault="00E0793B" w:rsidP="00265F5A">
      <w:pPr>
        <w:spacing w:after="0" w:line="240" w:lineRule="auto"/>
      </w:pPr>
      <w:r>
        <w:separator/>
      </w:r>
    </w:p>
  </w:endnote>
  <w:endnote w:type="continuationSeparator" w:id="0">
    <w:p w14:paraId="0FD4A723" w14:textId="77777777" w:rsidR="00E0793B" w:rsidRDefault="00E0793B" w:rsidP="00265F5A">
      <w:pPr>
        <w:spacing w:after="0" w:line="240" w:lineRule="auto"/>
      </w:pPr>
      <w:r>
        <w:continuationSeparator/>
      </w:r>
    </w:p>
  </w:endnote>
  <w:endnote w:type="continuationNotice" w:id="1">
    <w:p w14:paraId="20E3F12E" w14:textId="77777777" w:rsidR="00E0793B" w:rsidRDefault="00E079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ira Sans Light">
    <w:panose1 w:val="020B0403050000020004"/>
    <w:charset w:val="00"/>
    <w:family w:val="swiss"/>
    <w:notTrueType/>
    <w:pitch w:val="variable"/>
    <w:sig w:usb0="600002FF" w:usb1="02000001" w:usb2="00000000" w:usb3="00000000" w:csb0="0000019F" w:csb1="00000000"/>
  </w:font>
  <w:font w:name="Fira Sans ExtraBold">
    <w:panose1 w:val="020B09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Fira Sans Book">
    <w:panose1 w:val="020B0503050000020004"/>
    <w:charset w:val="00"/>
    <w:family w:val="swiss"/>
    <w:notTrueType/>
    <w:pitch w:val="variable"/>
    <w:sig w:usb0="600002FF" w:usb1="02000001" w:usb2="00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ira Sans Medium">
    <w:panose1 w:val="020B0603050000020004"/>
    <w:charset w:val="00"/>
    <w:family w:val="swiss"/>
    <w:notTrueType/>
    <w:pitch w:val="variable"/>
    <w:sig w:usb0="600002FF"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418719"/>
      <w:docPartObj>
        <w:docPartGallery w:val="Page Numbers (Bottom of Page)"/>
        <w:docPartUnique/>
      </w:docPartObj>
    </w:sdtPr>
    <w:sdtEndPr/>
    <w:sdtContent>
      <w:p w14:paraId="6141E75B" w14:textId="2ACF1696" w:rsidR="00265F5A" w:rsidRPr="00770DAB" w:rsidRDefault="00F26AC2" w:rsidP="00770DAB">
        <w:pPr>
          <w:pStyle w:val="Footer"/>
        </w:pPr>
        <w:r w:rsidRPr="00770DAB">
          <w:t>WVDE OSE</w:t>
        </w:r>
        <w:r w:rsidR="005620F5" w:rsidRPr="00770DAB">
          <w:tab/>
        </w:r>
        <w:r w:rsidR="00265F5A" w:rsidRPr="00770DAB">
          <w:fldChar w:fldCharType="begin"/>
        </w:r>
        <w:r w:rsidR="00265F5A" w:rsidRPr="00770DAB">
          <w:instrText xml:space="preserve"> PAGE   \* MERGEFORMAT </w:instrText>
        </w:r>
        <w:r w:rsidR="00265F5A" w:rsidRPr="00770DAB">
          <w:fldChar w:fldCharType="separate"/>
        </w:r>
        <w:r w:rsidR="00265F5A" w:rsidRPr="00770DAB">
          <w:t>2</w:t>
        </w:r>
        <w:r w:rsidR="00265F5A" w:rsidRPr="00770DAB">
          <w:fldChar w:fldCharType="end"/>
        </w:r>
        <w:r w:rsidR="00644E9B" w:rsidRPr="00770DAB">
          <w:tab/>
          <w:t>E</w:t>
        </w:r>
        <w:r w:rsidRPr="00770DAB">
          <w:t>ffective 0</w:t>
        </w:r>
        <w:r w:rsidR="00CE75EE" w:rsidRPr="00770DAB">
          <w:t>8</w:t>
        </w:r>
        <w:r w:rsidRPr="00770DAB">
          <w:t>/</w:t>
        </w:r>
        <w:r w:rsidR="00343213" w:rsidRPr="00770DAB">
          <w:t>01</w:t>
        </w:r>
        <w:r w:rsidRPr="00770DAB">
          <w:t>/2024</w:t>
        </w:r>
      </w:p>
    </w:sdtContent>
  </w:sdt>
  <w:p w14:paraId="151DF503" w14:textId="77777777" w:rsidR="00265F5A" w:rsidRDefault="00265F5A" w:rsidP="00770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F9443" w14:textId="77777777" w:rsidR="00E0793B" w:rsidRDefault="00E0793B" w:rsidP="00265F5A">
      <w:pPr>
        <w:spacing w:after="0" w:line="240" w:lineRule="auto"/>
      </w:pPr>
      <w:r>
        <w:separator/>
      </w:r>
    </w:p>
  </w:footnote>
  <w:footnote w:type="continuationSeparator" w:id="0">
    <w:p w14:paraId="61A9FE87" w14:textId="77777777" w:rsidR="00E0793B" w:rsidRDefault="00E0793B" w:rsidP="00265F5A">
      <w:pPr>
        <w:spacing w:after="0" w:line="240" w:lineRule="auto"/>
      </w:pPr>
      <w:r>
        <w:continuationSeparator/>
      </w:r>
    </w:p>
  </w:footnote>
  <w:footnote w:type="continuationNotice" w:id="1">
    <w:p w14:paraId="11BBCFAC" w14:textId="77777777" w:rsidR="00E0793B" w:rsidRDefault="00E0793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PjXi2sZo" int2:invalidationBookmarkName="" int2:hashCode="j80lo50gNxgwRK" int2:id="FebAQjpR">
      <int2:state int2:value="Rejected" int2:type="AugLoop_Text_Critique"/>
    </int2:bookmark>
    <int2:bookmark int2:bookmarkName="_Int_3et2d3KE" int2:invalidationBookmarkName="" int2:hashCode="hbfVkv3T6cKabE" int2:id="xfnpk0t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915E2"/>
    <w:multiLevelType w:val="hybridMultilevel"/>
    <w:tmpl w:val="4B0A1F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D995693"/>
    <w:multiLevelType w:val="hybridMultilevel"/>
    <w:tmpl w:val="309C1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D7DAC"/>
    <w:multiLevelType w:val="hybridMultilevel"/>
    <w:tmpl w:val="D5662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304B4"/>
    <w:multiLevelType w:val="hybridMultilevel"/>
    <w:tmpl w:val="CF267BD0"/>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B132D55"/>
    <w:multiLevelType w:val="hybridMultilevel"/>
    <w:tmpl w:val="77707F9E"/>
    <w:lvl w:ilvl="0" w:tplc="FFFFFFFF">
      <w:start w:val="1"/>
      <w:numFmt w:val="decimal"/>
      <w:lvlText w:val="%1."/>
      <w:lvlJc w:val="left"/>
      <w:pPr>
        <w:ind w:left="720" w:hanging="360"/>
      </w:pPr>
      <w:rPr>
        <w:rFonts w:hint="default"/>
        <w:b/>
        <w:bCs/>
        <w:i w:val="0"/>
        <w:iCs w:val="0"/>
      </w:rPr>
    </w:lvl>
    <w:lvl w:ilvl="1" w:tplc="3E7A23AE">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646863"/>
    <w:multiLevelType w:val="hybridMultilevel"/>
    <w:tmpl w:val="2382BDCC"/>
    <w:lvl w:ilvl="0" w:tplc="F2AEC7E0">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B29E0"/>
    <w:multiLevelType w:val="multilevel"/>
    <w:tmpl w:val="83D2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C07CBA"/>
    <w:multiLevelType w:val="hybridMultilevel"/>
    <w:tmpl w:val="31780F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D4736E5"/>
    <w:multiLevelType w:val="multilevel"/>
    <w:tmpl w:val="4B0A1FC0"/>
    <w:styleLink w:val="CurrentList1"/>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9" w15:restartNumberingAfterBreak="0">
    <w:nsid w:val="73636FAC"/>
    <w:multiLevelType w:val="hybridMultilevel"/>
    <w:tmpl w:val="A538D1C2"/>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CC2F71"/>
    <w:multiLevelType w:val="hybridMultilevel"/>
    <w:tmpl w:val="63CC0F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D63E8A"/>
    <w:multiLevelType w:val="hybridMultilevel"/>
    <w:tmpl w:val="A538D1C2"/>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5347439">
    <w:abstractNumId w:val="1"/>
  </w:num>
  <w:num w:numId="2" w16cid:durableId="1689716870">
    <w:abstractNumId w:val="10"/>
  </w:num>
  <w:num w:numId="3" w16cid:durableId="1653485296">
    <w:abstractNumId w:val="9"/>
  </w:num>
  <w:num w:numId="4" w16cid:durableId="1474715362">
    <w:abstractNumId w:val="2"/>
  </w:num>
  <w:num w:numId="5" w16cid:durableId="1746494887">
    <w:abstractNumId w:val="11"/>
  </w:num>
  <w:num w:numId="6" w16cid:durableId="941185834">
    <w:abstractNumId w:val="5"/>
  </w:num>
  <w:num w:numId="7" w16cid:durableId="1499543787">
    <w:abstractNumId w:val="7"/>
  </w:num>
  <w:num w:numId="8" w16cid:durableId="1167207247">
    <w:abstractNumId w:val="4"/>
  </w:num>
  <w:num w:numId="9" w16cid:durableId="360712260">
    <w:abstractNumId w:val="3"/>
  </w:num>
  <w:num w:numId="10" w16cid:durableId="1240674920">
    <w:abstractNumId w:val="0"/>
  </w:num>
  <w:num w:numId="11" w16cid:durableId="1914047137">
    <w:abstractNumId w:val="6"/>
  </w:num>
  <w:num w:numId="12" w16cid:durableId="5291022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25"/>
    <w:rsid w:val="00000B32"/>
    <w:rsid w:val="000024FF"/>
    <w:rsid w:val="000056B5"/>
    <w:rsid w:val="00005FDB"/>
    <w:rsid w:val="00013AFC"/>
    <w:rsid w:val="0001602D"/>
    <w:rsid w:val="00017EC7"/>
    <w:rsid w:val="00021EE5"/>
    <w:rsid w:val="00022243"/>
    <w:rsid w:val="000225C9"/>
    <w:rsid w:val="00023BA4"/>
    <w:rsid w:val="00024352"/>
    <w:rsid w:val="00031B73"/>
    <w:rsid w:val="0003530C"/>
    <w:rsid w:val="00036B56"/>
    <w:rsid w:val="00037101"/>
    <w:rsid w:val="00042FDA"/>
    <w:rsid w:val="00044532"/>
    <w:rsid w:val="00044964"/>
    <w:rsid w:val="00051E73"/>
    <w:rsid w:val="00053431"/>
    <w:rsid w:val="000545BF"/>
    <w:rsid w:val="00060CAC"/>
    <w:rsid w:val="0006223F"/>
    <w:rsid w:val="0006506A"/>
    <w:rsid w:val="00066B5B"/>
    <w:rsid w:val="000679FA"/>
    <w:rsid w:val="00067EF8"/>
    <w:rsid w:val="0007481F"/>
    <w:rsid w:val="00077EF5"/>
    <w:rsid w:val="00082288"/>
    <w:rsid w:val="0008351D"/>
    <w:rsid w:val="000837CB"/>
    <w:rsid w:val="00083DC7"/>
    <w:rsid w:val="00084B0D"/>
    <w:rsid w:val="00086F8B"/>
    <w:rsid w:val="00087A78"/>
    <w:rsid w:val="000907D3"/>
    <w:rsid w:val="00093CED"/>
    <w:rsid w:val="00096B7A"/>
    <w:rsid w:val="00096DA5"/>
    <w:rsid w:val="000A0D87"/>
    <w:rsid w:val="000A12AA"/>
    <w:rsid w:val="000A1654"/>
    <w:rsid w:val="000A6BA4"/>
    <w:rsid w:val="000A7175"/>
    <w:rsid w:val="000B4922"/>
    <w:rsid w:val="000B5E8C"/>
    <w:rsid w:val="000C06D8"/>
    <w:rsid w:val="000C08C0"/>
    <w:rsid w:val="000C0CC1"/>
    <w:rsid w:val="000C1F54"/>
    <w:rsid w:val="000C3FF5"/>
    <w:rsid w:val="000C52BB"/>
    <w:rsid w:val="000C552D"/>
    <w:rsid w:val="000C762D"/>
    <w:rsid w:val="000C770E"/>
    <w:rsid w:val="000D019F"/>
    <w:rsid w:val="000D0D74"/>
    <w:rsid w:val="000E181E"/>
    <w:rsid w:val="000E21E3"/>
    <w:rsid w:val="000E36C7"/>
    <w:rsid w:val="000E59BA"/>
    <w:rsid w:val="000E676F"/>
    <w:rsid w:val="000F1160"/>
    <w:rsid w:val="000F3C6E"/>
    <w:rsid w:val="000F41FB"/>
    <w:rsid w:val="000F49D2"/>
    <w:rsid w:val="000F59D2"/>
    <w:rsid w:val="00101C9E"/>
    <w:rsid w:val="00102199"/>
    <w:rsid w:val="00103B7B"/>
    <w:rsid w:val="00105034"/>
    <w:rsid w:val="00105ADA"/>
    <w:rsid w:val="0010638A"/>
    <w:rsid w:val="0010717E"/>
    <w:rsid w:val="001129F9"/>
    <w:rsid w:val="00114FAA"/>
    <w:rsid w:val="00117836"/>
    <w:rsid w:val="001213CA"/>
    <w:rsid w:val="001235E0"/>
    <w:rsid w:val="0012702D"/>
    <w:rsid w:val="00131E27"/>
    <w:rsid w:val="00137D6E"/>
    <w:rsid w:val="001401E0"/>
    <w:rsid w:val="001416C8"/>
    <w:rsid w:val="0014180A"/>
    <w:rsid w:val="00141D51"/>
    <w:rsid w:val="0015549E"/>
    <w:rsid w:val="00157C94"/>
    <w:rsid w:val="00160D02"/>
    <w:rsid w:val="00160F8C"/>
    <w:rsid w:val="00164243"/>
    <w:rsid w:val="00167198"/>
    <w:rsid w:val="00172CD6"/>
    <w:rsid w:val="00175146"/>
    <w:rsid w:val="001753D0"/>
    <w:rsid w:val="00180CFE"/>
    <w:rsid w:val="00184951"/>
    <w:rsid w:val="00185369"/>
    <w:rsid w:val="00185EEB"/>
    <w:rsid w:val="00186590"/>
    <w:rsid w:val="001949C2"/>
    <w:rsid w:val="001A0B93"/>
    <w:rsid w:val="001A4B56"/>
    <w:rsid w:val="001A4DB3"/>
    <w:rsid w:val="001A69F0"/>
    <w:rsid w:val="001B0080"/>
    <w:rsid w:val="001B024A"/>
    <w:rsid w:val="001B13C3"/>
    <w:rsid w:val="001B14DD"/>
    <w:rsid w:val="001B26E6"/>
    <w:rsid w:val="001B286C"/>
    <w:rsid w:val="001B3AEA"/>
    <w:rsid w:val="001B7401"/>
    <w:rsid w:val="001B76F4"/>
    <w:rsid w:val="001C0122"/>
    <w:rsid w:val="001C0DAC"/>
    <w:rsid w:val="001C2164"/>
    <w:rsid w:val="001C3749"/>
    <w:rsid w:val="001C4292"/>
    <w:rsid w:val="001C4AF5"/>
    <w:rsid w:val="001D113E"/>
    <w:rsid w:val="001D19A0"/>
    <w:rsid w:val="001D46B0"/>
    <w:rsid w:val="001D6227"/>
    <w:rsid w:val="001D6C44"/>
    <w:rsid w:val="001D776C"/>
    <w:rsid w:val="001E23D4"/>
    <w:rsid w:val="001E26A6"/>
    <w:rsid w:val="001E52EF"/>
    <w:rsid w:val="001E56B4"/>
    <w:rsid w:val="001E6CA5"/>
    <w:rsid w:val="001F3BF6"/>
    <w:rsid w:val="001F732F"/>
    <w:rsid w:val="001F7E76"/>
    <w:rsid w:val="001F7EFD"/>
    <w:rsid w:val="00203E1A"/>
    <w:rsid w:val="00204410"/>
    <w:rsid w:val="00205C78"/>
    <w:rsid w:val="00205F6A"/>
    <w:rsid w:val="00213C7D"/>
    <w:rsid w:val="0021744E"/>
    <w:rsid w:val="00217C15"/>
    <w:rsid w:val="00220E6D"/>
    <w:rsid w:val="00221E99"/>
    <w:rsid w:val="0022785E"/>
    <w:rsid w:val="00227FC7"/>
    <w:rsid w:val="00230BC5"/>
    <w:rsid w:val="002314F8"/>
    <w:rsid w:val="00232737"/>
    <w:rsid w:val="002368E5"/>
    <w:rsid w:val="00242963"/>
    <w:rsid w:val="002464B4"/>
    <w:rsid w:val="00247326"/>
    <w:rsid w:val="00250C47"/>
    <w:rsid w:val="0025373E"/>
    <w:rsid w:val="00253BB4"/>
    <w:rsid w:val="00255B18"/>
    <w:rsid w:val="002575B3"/>
    <w:rsid w:val="002608B0"/>
    <w:rsid w:val="00261C20"/>
    <w:rsid w:val="002622CC"/>
    <w:rsid w:val="0026443D"/>
    <w:rsid w:val="00264A98"/>
    <w:rsid w:val="00265F5A"/>
    <w:rsid w:val="00265F6B"/>
    <w:rsid w:val="002709ED"/>
    <w:rsid w:val="0027297C"/>
    <w:rsid w:val="00272DA0"/>
    <w:rsid w:val="00274F02"/>
    <w:rsid w:val="00275B53"/>
    <w:rsid w:val="00275C78"/>
    <w:rsid w:val="00277F6C"/>
    <w:rsid w:val="00280BC8"/>
    <w:rsid w:val="0028194E"/>
    <w:rsid w:val="0028636C"/>
    <w:rsid w:val="0029062A"/>
    <w:rsid w:val="00293B03"/>
    <w:rsid w:val="00293CE0"/>
    <w:rsid w:val="00295336"/>
    <w:rsid w:val="00296FC4"/>
    <w:rsid w:val="00297F57"/>
    <w:rsid w:val="002A0259"/>
    <w:rsid w:val="002A171D"/>
    <w:rsid w:val="002A1B1F"/>
    <w:rsid w:val="002A33FA"/>
    <w:rsid w:val="002A4382"/>
    <w:rsid w:val="002A5BBB"/>
    <w:rsid w:val="002B0A4F"/>
    <w:rsid w:val="002B2875"/>
    <w:rsid w:val="002B58EB"/>
    <w:rsid w:val="002B6550"/>
    <w:rsid w:val="002C10C5"/>
    <w:rsid w:val="002C2DB4"/>
    <w:rsid w:val="002C33FA"/>
    <w:rsid w:val="002C5F41"/>
    <w:rsid w:val="002C7197"/>
    <w:rsid w:val="002C772F"/>
    <w:rsid w:val="002D0370"/>
    <w:rsid w:val="002D094A"/>
    <w:rsid w:val="002D0FF5"/>
    <w:rsid w:val="002D29FE"/>
    <w:rsid w:val="002D319E"/>
    <w:rsid w:val="002D3E4A"/>
    <w:rsid w:val="002D4E5E"/>
    <w:rsid w:val="002D6088"/>
    <w:rsid w:val="002D62AE"/>
    <w:rsid w:val="002D7C8A"/>
    <w:rsid w:val="002E097B"/>
    <w:rsid w:val="002E181D"/>
    <w:rsid w:val="002E29F3"/>
    <w:rsid w:val="002E393B"/>
    <w:rsid w:val="002E3EC9"/>
    <w:rsid w:val="002E45EE"/>
    <w:rsid w:val="002E6869"/>
    <w:rsid w:val="002F2178"/>
    <w:rsid w:val="002F350B"/>
    <w:rsid w:val="002F5653"/>
    <w:rsid w:val="002F57C7"/>
    <w:rsid w:val="002F66E2"/>
    <w:rsid w:val="0030320C"/>
    <w:rsid w:val="00304DD3"/>
    <w:rsid w:val="00307073"/>
    <w:rsid w:val="00307517"/>
    <w:rsid w:val="00310C23"/>
    <w:rsid w:val="00310C55"/>
    <w:rsid w:val="00310F05"/>
    <w:rsid w:val="00311975"/>
    <w:rsid w:val="00317477"/>
    <w:rsid w:val="00317C3E"/>
    <w:rsid w:val="00322A2A"/>
    <w:rsid w:val="00322D4A"/>
    <w:rsid w:val="00322FD6"/>
    <w:rsid w:val="00325BBA"/>
    <w:rsid w:val="003303B1"/>
    <w:rsid w:val="00331E6A"/>
    <w:rsid w:val="00334BC2"/>
    <w:rsid w:val="00334EB2"/>
    <w:rsid w:val="003350D5"/>
    <w:rsid w:val="003407B2"/>
    <w:rsid w:val="00342A12"/>
    <w:rsid w:val="00343213"/>
    <w:rsid w:val="00345712"/>
    <w:rsid w:val="003550A3"/>
    <w:rsid w:val="003562AD"/>
    <w:rsid w:val="0035632D"/>
    <w:rsid w:val="003563CE"/>
    <w:rsid w:val="00362449"/>
    <w:rsid w:val="003632CB"/>
    <w:rsid w:val="00366807"/>
    <w:rsid w:val="00370526"/>
    <w:rsid w:val="0037308E"/>
    <w:rsid w:val="003735AD"/>
    <w:rsid w:val="00373D32"/>
    <w:rsid w:val="00374F81"/>
    <w:rsid w:val="00375553"/>
    <w:rsid w:val="003801F9"/>
    <w:rsid w:val="00380BF0"/>
    <w:rsid w:val="00382FCB"/>
    <w:rsid w:val="00384D3B"/>
    <w:rsid w:val="00385090"/>
    <w:rsid w:val="00385892"/>
    <w:rsid w:val="00385DD9"/>
    <w:rsid w:val="00386225"/>
    <w:rsid w:val="00390625"/>
    <w:rsid w:val="00390BA7"/>
    <w:rsid w:val="00390F1F"/>
    <w:rsid w:val="00393D00"/>
    <w:rsid w:val="0039400C"/>
    <w:rsid w:val="003A10E1"/>
    <w:rsid w:val="003A2EA0"/>
    <w:rsid w:val="003A33A1"/>
    <w:rsid w:val="003A3BD8"/>
    <w:rsid w:val="003A4D49"/>
    <w:rsid w:val="003A6846"/>
    <w:rsid w:val="003A6FAA"/>
    <w:rsid w:val="003A73DC"/>
    <w:rsid w:val="003A7F5F"/>
    <w:rsid w:val="003B2183"/>
    <w:rsid w:val="003B59EC"/>
    <w:rsid w:val="003B772A"/>
    <w:rsid w:val="003C11AA"/>
    <w:rsid w:val="003C2FB6"/>
    <w:rsid w:val="003C3E7E"/>
    <w:rsid w:val="003C4985"/>
    <w:rsid w:val="003C5896"/>
    <w:rsid w:val="003D1840"/>
    <w:rsid w:val="003D1939"/>
    <w:rsid w:val="003D3CB7"/>
    <w:rsid w:val="003D4188"/>
    <w:rsid w:val="003D48A3"/>
    <w:rsid w:val="003E1B74"/>
    <w:rsid w:val="003E23C0"/>
    <w:rsid w:val="003E28BD"/>
    <w:rsid w:val="003E4F8D"/>
    <w:rsid w:val="003E64DA"/>
    <w:rsid w:val="003E72D2"/>
    <w:rsid w:val="003E7830"/>
    <w:rsid w:val="003F06C9"/>
    <w:rsid w:val="003F12A8"/>
    <w:rsid w:val="003F15F6"/>
    <w:rsid w:val="003F2597"/>
    <w:rsid w:val="003F3C50"/>
    <w:rsid w:val="003F4325"/>
    <w:rsid w:val="003F653B"/>
    <w:rsid w:val="003F6C87"/>
    <w:rsid w:val="004028B8"/>
    <w:rsid w:val="004059AD"/>
    <w:rsid w:val="00416205"/>
    <w:rsid w:val="0041738D"/>
    <w:rsid w:val="0041792B"/>
    <w:rsid w:val="00420900"/>
    <w:rsid w:val="00422194"/>
    <w:rsid w:val="00425627"/>
    <w:rsid w:val="00425D66"/>
    <w:rsid w:val="00425FD2"/>
    <w:rsid w:val="0043030D"/>
    <w:rsid w:val="004311CC"/>
    <w:rsid w:val="00432A21"/>
    <w:rsid w:val="0043388E"/>
    <w:rsid w:val="004352E6"/>
    <w:rsid w:val="0043580F"/>
    <w:rsid w:val="004364A5"/>
    <w:rsid w:val="004405FC"/>
    <w:rsid w:val="004431C3"/>
    <w:rsid w:val="004441C8"/>
    <w:rsid w:val="0044531E"/>
    <w:rsid w:val="00445D09"/>
    <w:rsid w:val="0044613A"/>
    <w:rsid w:val="004476DB"/>
    <w:rsid w:val="004477C1"/>
    <w:rsid w:val="004530F9"/>
    <w:rsid w:val="00454CB5"/>
    <w:rsid w:val="004613D5"/>
    <w:rsid w:val="00470DCC"/>
    <w:rsid w:val="0047362C"/>
    <w:rsid w:val="00474B52"/>
    <w:rsid w:val="00475D50"/>
    <w:rsid w:val="00476089"/>
    <w:rsid w:val="00477C98"/>
    <w:rsid w:val="00480901"/>
    <w:rsid w:val="0048492F"/>
    <w:rsid w:val="00486741"/>
    <w:rsid w:val="00494C4D"/>
    <w:rsid w:val="00496802"/>
    <w:rsid w:val="00497A78"/>
    <w:rsid w:val="00497ED9"/>
    <w:rsid w:val="004A01A6"/>
    <w:rsid w:val="004A13C7"/>
    <w:rsid w:val="004A2389"/>
    <w:rsid w:val="004A4387"/>
    <w:rsid w:val="004A7D88"/>
    <w:rsid w:val="004B024F"/>
    <w:rsid w:val="004B166F"/>
    <w:rsid w:val="004B3E6F"/>
    <w:rsid w:val="004B77E5"/>
    <w:rsid w:val="004B7C97"/>
    <w:rsid w:val="004B7E49"/>
    <w:rsid w:val="004C13C1"/>
    <w:rsid w:val="004C2013"/>
    <w:rsid w:val="004C2051"/>
    <w:rsid w:val="004C5C0F"/>
    <w:rsid w:val="004D0563"/>
    <w:rsid w:val="004D059F"/>
    <w:rsid w:val="004D173B"/>
    <w:rsid w:val="004D2FCF"/>
    <w:rsid w:val="004D6909"/>
    <w:rsid w:val="004D76EB"/>
    <w:rsid w:val="004E17B2"/>
    <w:rsid w:val="004E2980"/>
    <w:rsid w:val="004E5ED7"/>
    <w:rsid w:val="004E7FAF"/>
    <w:rsid w:val="004F17FB"/>
    <w:rsid w:val="004F1D06"/>
    <w:rsid w:val="0050163C"/>
    <w:rsid w:val="00501F42"/>
    <w:rsid w:val="005033E7"/>
    <w:rsid w:val="0051120A"/>
    <w:rsid w:val="005112A6"/>
    <w:rsid w:val="0052074A"/>
    <w:rsid w:val="00526219"/>
    <w:rsid w:val="0053043F"/>
    <w:rsid w:val="00531BDF"/>
    <w:rsid w:val="00532305"/>
    <w:rsid w:val="0053597F"/>
    <w:rsid w:val="00535CD7"/>
    <w:rsid w:val="005373CE"/>
    <w:rsid w:val="00540127"/>
    <w:rsid w:val="00541566"/>
    <w:rsid w:val="005425DD"/>
    <w:rsid w:val="0054292A"/>
    <w:rsid w:val="005438FE"/>
    <w:rsid w:val="005457AF"/>
    <w:rsid w:val="005510A7"/>
    <w:rsid w:val="005511FB"/>
    <w:rsid w:val="0055122B"/>
    <w:rsid w:val="00557AFB"/>
    <w:rsid w:val="0056100C"/>
    <w:rsid w:val="00561AAC"/>
    <w:rsid w:val="0056203B"/>
    <w:rsid w:val="005620F5"/>
    <w:rsid w:val="00562BCF"/>
    <w:rsid w:val="00565A01"/>
    <w:rsid w:val="00566599"/>
    <w:rsid w:val="005707B9"/>
    <w:rsid w:val="00576FF3"/>
    <w:rsid w:val="00582FCC"/>
    <w:rsid w:val="00584F67"/>
    <w:rsid w:val="00585419"/>
    <w:rsid w:val="00585523"/>
    <w:rsid w:val="00590086"/>
    <w:rsid w:val="00590117"/>
    <w:rsid w:val="00590D60"/>
    <w:rsid w:val="0059157A"/>
    <w:rsid w:val="00591CAA"/>
    <w:rsid w:val="00593520"/>
    <w:rsid w:val="0059434A"/>
    <w:rsid w:val="005962CC"/>
    <w:rsid w:val="00597720"/>
    <w:rsid w:val="005A038B"/>
    <w:rsid w:val="005A0D15"/>
    <w:rsid w:val="005A207E"/>
    <w:rsid w:val="005A22CC"/>
    <w:rsid w:val="005A762D"/>
    <w:rsid w:val="005B020E"/>
    <w:rsid w:val="005B1287"/>
    <w:rsid w:val="005B20D0"/>
    <w:rsid w:val="005B5DDC"/>
    <w:rsid w:val="005B6446"/>
    <w:rsid w:val="005C0DFE"/>
    <w:rsid w:val="005D16A7"/>
    <w:rsid w:val="005D2345"/>
    <w:rsid w:val="005D3C0A"/>
    <w:rsid w:val="005D5E25"/>
    <w:rsid w:val="005D5FB0"/>
    <w:rsid w:val="005D67E2"/>
    <w:rsid w:val="005E62FB"/>
    <w:rsid w:val="005E66DE"/>
    <w:rsid w:val="005F0EEF"/>
    <w:rsid w:val="005F2D86"/>
    <w:rsid w:val="005F3390"/>
    <w:rsid w:val="005F4A6B"/>
    <w:rsid w:val="005F68D8"/>
    <w:rsid w:val="005F716D"/>
    <w:rsid w:val="006010FF"/>
    <w:rsid w:val="00601128"/>
    <w:rsid w:val="00602714"/>
    <w:rsid w:val="00603968"/>
    <w:rsid w:val="00606F62"/>
    <w:rsid w:val="00606FC5"/>
    <w:rsid w:val="006117F9"/>
    <w:rsid w:val="00614D25"/>
    <w:rsid w:val="006175F1"/>
    <w:rsid w:val="00617654"/>
    <w:rsid w:val="006204D1"/>
    <w:rsid w:val="00620D45"/>
    <w:rsid w:val="006211EE"/>
    <w:rsid w:val="00625BCE"/>
    <w:rsid w:val="00626899"/>
    <w:rsid w:val="006311C3"/>
    <w:rsid w:val="00631272"/>
    <w:rsid w:val="00631439"/>
    <w:rsid w:val="00631776"/>
    <w:rsid w:val="00642E78"/>
    <w:rsid w:val="00644E9B"/>
    <w:rsid w:val="00645118"/>
    <w:rsid w:val="006456AA"/>
    <w:rsid w:val="00646E63"/>
    <w:rsid w:val="00647D33"/>
    <w:rsid w:val="00650AFA"/>
    <w:rsid w:val="006514C5"/>
    <w:rsid w:val="00651E10"/>
    <w:rsid w:val="00655B4C"/>
    <w:rsid w:val="006626E5"/>
    <w:rsid w:val="00662FDB"/>
    <w:rsid w:val="006647EC"/>
    <w:rsid w:val="00664F8F"/>
    <w:rsid w:val="00665060"/>
    <w:rsid w:val="0066739A"/>
    <w:rsid w:val="006677CD"/>
    <w:rsid w:val="00670414"/>
    <w:rsid w:val="00670CD8"/>
    <w:rsid w:val="00671502"/>
    <w:rsid w:val="00672E1F"/>
    <w:rsid w:val="00674132"/>
    <w:rsid w:val="00674CF4"/>
    <w:rsid w:val="00675C43"/>
    <w:rsid w:val="00677889"/>
    <w:rsid w:val="00677C82"/>
    <w:rsid w:val="00682AB0"/>
    <w:rsid w:val="00683CCC"/>
    <w:rsid w:val="00683D0C"/>
    <w:rsid w:val="00693003"/>
    <w:rsid w:val="006936B6"/>
    <w:rsid w:val="006936C7"/>
    <w:rsid w:val="00696ADF"/>
    <w:rsid w:val="006975CF"/>
    <w:rsid w:val="00697CB7"/>
    <w:rsid w:val="006A0D4F"/>
    <w:rsid w:val="006A146E"/>
    <w:rsid w:val="006A1CAB"/>
    <w:rsid w:val="006A29FA"/>
    <w:rsid w:val="006A4498"/>
    <w:rsid w:val="006A56B8"/>
    <w:rsid w:val="006A6436"/>
    <w:rsid w:val="006A6B8D"/>
    <w:rsid w:val="006B3DD8"/>
    <w:rsid w:val="006C0C09"/>
    <w:rsid w:val="006C10CC"/>
    <w:rsid w:val="006C1649"/>
    <w:rsid w:val="006C41FA"/>
    <w:rsid w:val="006C48E8"/>
    <w:rsid w:val="006C498E"/>
    <w:rsid w:val="006C4A17"/>
    <w:rsid w:val="006C4EF6"/>
    <w:rsid w:val="006C5FF8"/>
    <w:rsid w:val="006C7C4A"/>
    <w:rsid w:val="006D154B"/>
    <w:rsid w:val="006D1A6F"/>
    <w:rsid w:val="006D42DE"/>
    <w:rsid w:val="006D46AB"/>
    <w:rsid w:val="006D514A"/>
    <w:rsid w:val="006E0BFF"/>
    <w:rsid w:val="006E3454"/>
    <w:rsid w:val="006E7099"/>
    <w:rsid w:val="006E7A05"/>
    <w:rsid w:val="006F3AE2"/>
    <w:rsid w:val="006F3F1F"/>
    <w:rsid w:val="006F49D2"/>
    <w:rsid w:val="006F6C0A"/>
    <w:rsid w:val="006F7386"/>
    <w:rsid w:val="00700583"/>
    <w:rsid w:val="00707275"/>
    <w:rsid w:val="00710FF0"/>
    <w:rsid w:val="00714007"/>
    <w:rsid w:val="007148C6"/>
    <w:rsid w:val="007162C5"/>
    <w:rsid w:val="00716BD8"/>
    <w:rsid w:val="007248F2"/>
    <w:rsid w:val="00724F77"/>
    <w:rsid w:val="007300C1"/>
    <w:rsid w:val="00730D99"/>
    <w:rsid w:val="00732B38"/>
    <w:rsid w:val="00733A07"/>
    <w:rsid w:val="00735B00"/>
    <w:rsid w:val="007363C2"/>
    <w:rsid w:val="00736CC8"/>
    <w:rsid w:val="00737A21"/>
    <w:rsid w:val="00740AEC"/>
    <w:rsid w:val="007411F3"/>
    <w:rsid w:val="007424D7"/>
    <w:rsid w:val="00744765"/>
    <w:rsid w:val="00754E65"/>
    <w:rsid w:val="007555DF"/>
    <w:rsid w:val="0075739A"/>
    <w:rsid w:val="00763023"/>
    <w:rsid w:val="00766C31"/>
    <w:rsid w:val="00766FB1"/>
    <w:rsid w:val="0076712E"/>
    <w:rsid w:val="00770DAB"/>
    <w:rsid w:val="00771001"/>
    <w:rsid w:val="007729BB"/>
    <w:rsid w:val="0077674B"/>
    <w:rsid w:val="00777315"/>
    <w:rsid w:val="007778E7"/>
    <w:rsid w:val="00782B3C"/>
    <w:rsid w:val="00782DB6"/>
    <w:rsid w:val="00784130"/>
    <w:rsid w:val="007915E9"/>
    <w:rsid w:val="0079321C"/>
    <w:rsid w:val="00794473"/>
    <w:rsid w:val="007961FC"/>
    <w:rsid w:val="007A04CB"/>
    <w:rsid w:val="007A187D"/>
    <w:rsid w:val="007A27E0"/>
    <w:rsid w:val="007A4094"/>
    <w:rsid w:val="007A58A8"/>
    <w:rsid w:val="007A7F42"/>
    <w:rsid w:val="007B5043"/>
    <w:rsid w:val="007C0D80"/>
    <w:rsid w:val="007C47AE"/>
    <w:rsid w:val="007C5DFB"/>
    <w:rsid w:val="007D04E9"/>
    <w:rsid w:val="007D0D70"/>
    <w:rsid w:val="007D1280"/>
    <w:rsid w:val="007D319C"/>
    <w:rsid w:val="007D3CEA"/>
    <w:rsid w:val="007E0DF4"/>
    <w:rsid w:val="007E1CDF"/>
    <w:rsid w:val="007E2323"/>
    <w:rsid w:val="007E576D"/>
    <w:rsid w:val="007E6F99"/>
    <w:rsid w:val="007E79CF"/>
    <w:rsid w:val="007F3101"/>
    <w:rsid w:val="007F40C1"/>
    <w:rsid w:val="007F450C"/>
    <w:rsid w:val="007F5EA4"/>
    <w:rsid w:val="007F6A99"/>
    <w:rsid w:val="00801CFC"/>
    <w:rsid w:val="00802AB8"/>
    <w:rsid w:val="00804D1C"/>
    <w:rsid w:val="0080571D"/>
    <w:rsid w:val="00805D36"/>
    <w:rsid w:val="00806F70"/>
    <w:rsid w:val="008104A9"/>
    <w:rsid w:val="008140D5"/>
    <w:rsid w:val="00814E7F"/>
    <w:rsid w:val="008202D4"/>
    <w:rsid w:val="0082349C"/>
    <w:rsid w:val="00826E3A"/>
    <w:rsid w:val="008271A6"/>
    <w:rsid w:val="0083017E"/>
    <w:rsid w:val="00832D24"/>
    <w:rsid w:val="008379C6"/>
    <w:rsid w:val="00837C19"/>
    <w:rsid w:val="008426A4"/>
    <w:rsid w:val="008474E1"/>
    <w:rsid w:val="00870F89"/>
    <w:rsid w:val="00873E57"/>
    <w:rsid w:val="0087413E"/>
    <w:rsid w:val="0087503B"/>
    <w:rsid w:val="00875727"/>
    <w:rsid w:val="0088255E"/>
    <w:rsid w:val="008832F6"/>
    <w:rsid w:val="00883A75"/>
    <w:rsid w:val="00890E54"/>
    <w:rsid w:val="008925BA"/>
    <w:rsid w:val="0089599B"/>
    <w:rsid w:val="008A0336"/>
    <w:rsid w:val="008A05F9"/>
    <w:rsid w:val="008A25F9"/>
    <w:rsid w:val="008A3220"/>
    <w:rsid w:val="008A3ACE"/>
    <w:rsid w:val="008A46A9"/>
    <w:rsid w:val="008A5E46"/>
    <w:rsid w:val="008A6076"/>
    <w:rsid w:val="008A60AB"/>
    <w:rsid w:val="008A7614"/>
    <w:rsid w:val="008B18B8"/>
    <w:rsid w:val="008B18FE"/>
    <w:rsid w:val="008B3722"/>
    <w:rsid w:val="008B4A32"/>
    <w:rsid w:val="008C202D"/>
    <w:rsid w:val="008C34D0"/>
    <w:rsid w:val="008C4935"/>
    <w:rsid w:val="008C4E4B"/>
    <w:rsid w:val="008C4ED9"/>
    <w:rsid w:val="008C5B07"/>
    <w:rsid w:val="008C719B"/>
    <w:rsid w:val="008C73A7"/>
    <w:rsid w:val="008D20CD"/>
    <w:rsid w:val="008D3676"/>
    <w:rsid w:val="008D5C9D"/>
    <w:rsid w:val="008D68C1"/>
    <w:rsid w:val="008D699C"/>
    <w:rsid w:val="008D79AB"/>
    <w:rsid w:val="008E4056"/>
    <w:rsid w:val="008E4250"/>
    <w:rsid w:val="008E696D"/>
    <w:rsid w:val="008E6BBC"/>
    <w:rsid w:val="008F339D"/>
    <w:rsid w:val="008F4900"/>
    <w:rsid w:val="008F6675"/>
    <w:rsid w:val="0090621B"/>
    <w:rsid w:val="00910698"/>
    <w:rsid w:val="00914BED"/>
    <w:rsid w:val="00920805"/>
    <w:rsid w:val="00921D38"/>
    <w:rsid w:val="00924703"/>
    <w:rsid w:val="00924CB9"/>
    <w:rsid w:val="00931DA2"/>
    <w:rsid w:val="00931E9F"/>
    <w:rsid w:val="00932481"/>
    <w:rsid w:val="009352FB"/>
    <w:rsid w:val="00936930"/>
    <w:rsid w:val="00940AB0"/>
    <w:rsid w:val="009411A2"/>
    <w:rsid w:val="00946085"/>
    <w:rsid w:val="00946DCC"/>
    <w:rsid w:val="00947504"/>
    <w:rsid w:val="00950BAF"/>
    <w:rsid w:val="009526F9"/>
    <w:rsid w:val="00954629"/>
    <w:rsid w:val="00957707"/>
    <w:rsid w:val="00957A9E"/>
    <w:rsid w:val="00960527"/>
    <w:rsid w:val="00967EEA"/>
    <w:rsid w:val="009708A2"/>
    <w:rsid w:val="009709CF"/>
    <w:rsid w:val="009711D8"/>
    <w:rsid w:val="00976046"/>
    <w:rsid w:val="009764CE"/>
    <w:rsid w:val="00976D87"/>
    <w:rsid w:val="00977C59"/>
    <w:rsid w:val="00982188"/>
    <w:rsid w:val="009848DC"/>
    <w:rsid w:val="00984D09"/>
    <w:rsid w:val="00986834"/>
    <w:rsid w:val="0099096E"/>
    <w:rsid w:val="009923AA"/>
    <w:rsid w:val="00992AB6"/>
    <w:rsid w:val="009933D6"/>
    <w:rsid w:val="009957A0"/>
    <w:rsid w:val="009970DD"/>
    <w:rsid w:val="009A10B3"/>
    <w:rsid w:val="009A1E5D"/>
    <w:rsid w:val="009A2C7A"/>
    <w:rsid w:val="009A2DD6"/>
    <w:rsid w:val="009A3A81"/>
    <w:rsid w:val="009B22F3"/>
    <w:rsid w:val="009B4A16"/>
    <w:rsid w:val="009B57DA"/>
    <w:rsid w:val="009C0337"/>
    <w:rsid w:val="009C14AC"/>
    <w:rsid w:val="009C2299"/>
    <w:rsid w:val="009C2B79"/>
    <w:rsid w:val="009C347D"/>
    <w:rsid w:val="009C7223"/>
    <w:rsid w:val="009D1CF8"/>
    <w:rsid w:val="009D3D2D"/>
    <w:rsid w:val="009D4A4E"/>
    <w:rsid w:val="009D5235"/>
    <w:rsid w:val="009E033F"/>
    <w:rsid w:val="009E1092"/>
    <w:rsid w:val="009E173C"/>
    <w:rsid w:val="009E2064"/>
    <w:rsid w:val="009F44B7"/>
    <w:rsid w:val="009F6177"/>
    <w:rsid w:val="009F660C"/>
    <w:rsid w:val="009F7416"/>
    <w:rsid w:val="009F7C67"/>
    <w:rsid w:val="00A01171"/>
    <w:rsid w:val="00A01EDD"/>
    <w:rsid w:val="00A02B6B"/>
    <w:rsid w:val="00A04DE9"/>
    <w:rsid w:val="00A05C34"/>
    <w:rsid w:val="00A06534"/>
    <w:rsid w:val="00A10FFF"/>
    <w:rsid w:val="00A12B8E"/>
    <w:rsid w:val="00A165DC"/>
    <w:rsid w:val="00A21543"/>
    <w:rsid w:val="00A2E18F"/>
    <w:rsid w:val="00A30ACE"/>
    <w:rsid w:val="00A338E6"/>
    <w:rsid w:val="00A35C63"/>
    <w:rsid w:val="00A37EE4"/>
    <w:rsid w:val="00A4408F"/>
    <w:rsid w:val="00A4492C"/>
    <w:rsid w:val="00A44C6C"/>
    <w:rsid w:val="00A4598A"/>
    <w:rsid w:val="00A46647"/>
    <w:rsid w:val="00A53CD9"/>
    <w:rsid w:val="00A567B7"/>
    <w:rsid w:val="00A56CCB"/>
    <w:rsid w:val="00A6178A"/>
    <w:rsid w:val="00A6310F"/>
    <w:rsid w:val="00A63A3E"/>
    <w:rsid w:val="00A65FAB"/>
    <w:rsid w:val="00A70A58"/>
    <w:rsid w:val="00A71441"/>
    <w:rsid w:val="00A71F95"/>
    <w:rsid w:val="00A72484"/>
    <w:rsid w:val="00A730D0"/>
    <w:rsid w:val="00A81B56"/>
    <w:rsid w:val="00A81C1D"/>
    <w:rsid w:val="00A823B5"/>
    <w:rsid w:val="00A8460E"/>
    <w:rsid w:val="00A87958"/>
    <w:rsid w:val="00A90632"/>
    <w:rsid w:val="00A90870"/>
    <w:rsid w:val="00A90F03"/>
    <w:rsid w:val="00A926D9"/>
    <w:rsid w:val="00A93294"/>
    <w:rsid w:val="00AA1BAA"/>
    <w:rsid w:val="00AA2EB2"/>
    <w:rsid w:val="00AA3337"/>
    <w:rsid w:val="00AA4513"/>
    <w:rsid w:val="00AA5E3C"/>
    <w:rsid w:val="00AA68B9"/>
    <w:rsid w:val="00AA72C4"/>
    <w:rsid w:val="00AB0A37"/>
    <w:rsid w:val="00AB518E"/>
    <w:rsid w:val="00AB55EA"/>
    <w:rsid w:val="00AB5E8B"/>
    <w:rsid w:val="00AC022B"/>
    <w:rsid w:val="00AC1715"/>
    <w:rsid w:val="00AC20B8"/>
    <w:rsid w:val="00AC30BC"/>
    <w:rsid w:val="00AC3A32"/>
    <w:rsid w:val="00AC3FD9"/>
    <w:rsid w:val="00AD1B6D"/>
    <w:rsid w:val="00AD225A"/>
    <w:rsid w:val="00AD2C30"/>
    <w:rsid w:val="00AD3A1C"/>
    <w:rsid w:val="00AD3F45"/>
    <w:rsid w:val="00AD4C56"/>
    <w:rsid w:val="00AD6298"/>
    <w:rsid w:val="00AD66DE"/>
    <w:rsid w:val="00AE2897"/>
    <w:rsid w:val="00AE3A7D"/>
    <w:rsid w:val="00AE4115"/>
    <w:rsid w:val="00AE5B83"/>
    <w:rsid w:val="00AE6949"/>
    <w:rsid w:val="00AE7C97"/>
    <w:rsid w:val="00AF1DF2"/>
    <w:rsid w:val="00AF1FF3"/>
    <w:rsid w:val="00AF26A5"/>
    <w:rsid w:val="00B01F6B"/>
    <w:rsid w:val="00B01FA8"/>
    <w:rsid w:val="00B051BB"/>
    <w:rsid w:val="00B0563D"/>
    <w:rsid w:val="00B0754D"/>
    <w:rsid w:val="00B1047E"/>
    <w:rsid w:val="00B11507"/>
    <w:rsid w:val="00B11B3A"/>
    <w:rsid w:val="00B139DD"/>
    <w:rsid w:val="00B1648F"/>
    <w:rsid w:val="00B20D49"/>
    <w:rsid w:val="00B21476"/>
    <w:rsid w:val="00B26714"/>
    <w:rsid w:val="00B272DB"/>
    <w:rsid w:val="00B27836"/>
    <w:rsid w:val="00B308C7"/>
    <w:rsid w:val="00B31FB7"/>
    <w:rsid w:val="00B32490"/>
    <w:rsid w:val="00B3272E"/>
    <w:rsid w:val="00B330A7"/>
    <w:rsid w:val="00B363BA"/>
    <w:rsid w:val="00B36B9E"/>
    <w:rsid w:val="00B37626"/>
    <w:rsid w:val="00B3B730"/>
    <w:rsid w:val="00B418AB"/>
    <w:rsid w:val="00B4280F"/>
    <w:rsid w:val="00B5331D"/>
    <w:rsid w:val="00B56682"/>
    <w:rsid w:val="00B57DDE"/>
    <w:rsid w:val="00B651BE"/>
    <w:rsid w:val="00B6675E"/>
    <w:rsid w:val="00B7027A"/>
    <w:rsid w:val="00B7127B"/>
    <w:rsid w:val="00B72D68"/>
    <w:rsid w:val="00B72FF4"/>
    <w:rsid w:val="00B73669"/>
    <w:rsid w:val="00B7410B"/>
    <w:rsid w:val="00B74B2C"/>
    <w:rsid w:val="00B75FFD"/>
    <w:rsid w:val="00B76F75"/>
    <w:rsid w:val="00B8258A"/>
    <w:rsid w:val="00B84452"/>
    <w:rsid w:val="00B8490C"/>
    <w:rsid w:val="00B87391"/>
    <w:rsid w:val="00B92FDE"/>
    <w:rsid w:val="00B932A3"/>
    <w:rsid w:val="00B95209"/>
    <w:rsid w:val="00B97980"/>
    <w:rsid w:val="00BA0609"/>
    <w:rsid w:val="00BA55BD"/>
    <w:rsid w:val="00BA6E73"/>
    <w:rsid w:val="00BA74A1"/>
    <w:rsid w:val="00BA759B"/>
    <w:rsid w:val="00BB11D3"/>
    <w:rsid w:val="00BB14C5"/>
    <w:rsid w:val="00BB5A38"/>
    <w:rsid w:val="00BB618B"/>
    <w:rsid w:val="00BC2ADF"/>
    <w:rsid w:val="00BC4A9B"/>
    <w:rsid w:val="00BC6FB5"/>
    <w:rsid w:val="00BD265A"/>
    <w:rsid w:val="00BD56B1"/>
    <w:rsid w:val="00BE048F"/>
    <w:rsid w:val="00BE2076"/>
    <w:rsid w:val="00BE482F"/>
    <w:rsid w:val="00BE5536"/>
    <w:rsid w:val="00BE5F35"/>
    <w:rsid w:val="00BF01AD"/>
    <w:rsid w:val="00BF022A"/>
    <w:rsid w:val="00BF284F"/>
    <w:rsid w:val="00BF3096"/>
    <w:rsid w:val="00BF3915"/>
    <w:rsid w:val="00BF4A13"/>
    <w:rsid w:val="00BF5D98"/>
    <w:rsid w:val="00BF6D01"/>
    <w:rsid w:val="00BF7EBA"/>
    <w:rsid w:val="00C00780"/>
    <w:rsid w:val="00C05C18"/>
    <w:rsid w:val="00C127B6"/>
    <w:rsid w:val="00C20442"/>
    <w:rsid w:val="00C21DC6"/>
    <w:rsid w:val="00C22FA8"/>
    <w:rsid w:val="00C2507D"/>
    <w:rsid w:val="00C2551F"/>
    <w:rsid w:val="00C25603"/>
    <w:rsid w:val="00C26505"/>
    <w:rsid w:val="00C277F0"/>
    <w:rsid w:val="00C30D36"/>
    <w:rsid w:val="00C34581"/>
    <w:rsid w:val="00C3599F"/>
    <w:rsid w:val="00C35EAC"/>
    <w:rsid w:val="00C41F5F"/>
    <w:rsid w:val="00C44937"/>
    <w:rsid w:val="00C44ACB"/>
    <w:rsid w:val="00C479C3"/>
    <w:rsid w:val="00C509F6"/>
    <w:rsid w:val="00C50AA1"/>
    <w:rsid w:val="00C51D5A"/>
    <w:rsid w:val="00C537FE"/>
    <w:rsid w:val="00C5512B"/>
    <w:rsid w:val="00C559BC"/>
    <w:rsid w:val="00C602AC"/>
    <w:rsid w:val="00C61847"/>
    <w:rsid w:val="00C61A9A"/>
    <w:rsid w:val="00C6340C"/>
    <w:rsid w:val="00C6435F"/>
    <w:rsid w:val="00C6609F"/>
    <w:rsid w:val="00C678BE"/>
    <w:rsid w:val="00C7031D"/>
    <w:rsid w:val="00C71AC9"/>
    <w:rsid w:val="00C7533C"/>
    <w:rsid w:val="00C75F28"/>
    <w:rsid w:val="00C77803"/>
    <w:rsid w:val="00C84497"/>
    <w:rsid w:val="00C84B64"/>
    <w:rsid w:val="00C84D2B"/>
    <w:rsid w:val="00C867F6"/>
    <w:rsid w:val="00C86FA5"/>
    <w:rsid w:val="00C922B9"/>
    <w:rsid w:val="00C93524"/>
    <w:rsid w:val="00C93DD3"/>
    <w:rsid w:val="00C95F2B"/>
    <w:rsid w:val="00CA50FA"/>
    <w:rsid w:val="00CB0D7B"/>
    <w:rsid w:val="00CB261B"/>
    <w:rsid w:val="00CB29E8"/>
    <w:rsid w:val="00CB3798"/>
    <w:rsid w:val="00CB6B31"/>
    <w:rsid w:val="00CC5735"/>
    <w:rsid w:val="00CC6229"/>
    <w:rsid w:val="00CC77E1"/>
    <w:rsid w:val="00CC7D3E"/>
    <w:rsid w:val="00CD030D"/>
    <w:rsid w:val="00CD0C4F"/>
    <w:rsid w:val="00CD1052"/>
    <w:rsid w:val="00CD240F"/>
    <w:rsid w:val="00CD2D9F"/>
    <w:rsid w:val="00CD3774"/>
    <w:rsid w:val="00CD41D6"/>
    <w:rsid w:val="00CD4D36"/>
    <w:rsid w:val="00CD726C"/>
    <w:rsid w:val="00CE352E"/>
    <w:rsid w:val="00CE5805"/>
    <w:rsid w:val="00CE58C0"/>
    <w:rsid w:val="00CE75EE"/>
    <w:rsid w:val="00CF33A0"/>
    <w:rsid w:val="00CF4421"/>
    <w:rsid w:val="00CF668A"/>
    <w:rsid w:val="00D022B7"/>
    <w:rsid w:val="00D03B41"/>
    <w:rsid w:val="00D052E2"/>
    <w:rsid w:val="00D131DE"/>
    <w:rsid w:val="00D13E43"/>
    <w:rsid w:val="00D14AC1"/>
    <w:rsid w:val="00D16084"/>
    <w:rsid w:val="00D21A5D"/>
    <w:rsid w:val="00D23CFB"/>
    <w:rsid w:val="00D24B87"/>
    <w:rsid w:val="00D275A9"/>
    <w:rsid w:val="00D34083"/>
    <w:rsid w:val="00D37BEB"/>
    <w:rsid w:val="00D42639"/>
    <w:rsid w:val="00D448C1"/>
    <w:rsid w:val="00D44A2B"/>
    <w:rsid w:val="00D47E30"/>
    <w:rsid w:val="00D50DEC"/>
    <w:rsid w:val="00D53CA0"/>
    <w:rsid w:val="00D54E0D"/>
    <w:rsid w:val="00D628E4"/>
    <w:rsid w:val="00D65731"/>
    <w:rsid w:val="00D65C72"/>
    <w:rsid w:val="00D6656A"/>
    <w:rsid w:val="00D66ABC"/>
    <w:rsid w:val="00D67E92"/>
    <w:rsid w:val="00D67ED1"/>
    <w:rsid w:val="00D70E1C"/>
    <w:rsid w:val="00D71ECE"/>
    <w:rsid w:val="00D728FC"/>
    <w:rsid w:val="00D73239"/>
    <w:rsid w:val="00D739F2"/>
    <w:rsid w:val="00D73E54"/>
    <w:rsid w:val="00D75BD4"/>
    <w:rsid w:val="00D80E45"/>
    <w:rsid w:val="00D820D9"/>
    <w:rsid w:val="00D8423B"/>
    <w:rsid w:val="00D84335"/>
    <w:rsid w:val="00D84BE3"/>
    <w:rsid w:val="00D85044"/>
    <w:rsid w:val="00D94C5C"/>
    <w:rsid w:val="00DA08FE"/>
    <w:rsid w:val="00DA42C3"/>
    <w:rsid w:val="00DA5389"/>
    <w:rsid w:val="00DA5480"/>
    <w:rsid w:val="00DA5CC6"/>
    <w:rsid w:val="00DB311D"/>
    <w:rsid w:val="00DB488F"/>
    <w:rsid w:val="00DB7D31"/>
    <w:rsid w:val="00DC03D9"/>
    <w:rsid w:val="00DC23A0"/>
    <w:rsid w:val="00DD0FF0"/>
    <w:rsid w:val="00DD20D5"/>
    <w:rsid w:val="00DD2373"/>
    <w:rsid w:val="00DD33CB"/>
    <w:rsid w:val="00DD4968"/>
    <w:rsid w:val="00DD5987"/>
    <w:rsid w:val="00DD7A77"/>
    <w:rsid w:val="00DE2CD1"/>
    <w:rsid w:val="00DE61E6"/>
    <w:rsid w:val="00DE7D26"/>
    <w:rsid w:val="00DF015A"/>
    <w:rsid w:val="00DF0C72"/>
    <w:rsid w:val="00DF40E1"/>
    <w:rsid w:val="00DF5A73"/>
    <w:rsid w:val="00DF5E5E"/>
    <w:rsid w:val="00DF7243"/>
    <w:rsid w:val="00E00A96"/>
    <w:rsid w:val="00E0217C"/>
    <w:rsid w:val="00E06C31"/>
    <w:rsid w:val="00E0793B"/>
    <w:rsid w:val="00E07F1C"/>
    <w:rsid w:val="00E107E6"/>
    <w:rsid w:val="00E1207F"/>
    <w:rsid w:val="00E12371"/>
    <w:rsid w:val="00E16584"/>
    <w:rsid w:val="00E176BD"/>
    <w:rsid w:val="00E27540"/>
    <w:rsid w:val="00E302A5"/>
    <w:rsid w:val="00E309D1"/>
    <w:rsid w:val="00E364E7"/>
    <w:rsid w:val="00E373FE"/>
    <w:rsid w:val="00E37B77"/>
    <w:rsid w:val="00E46D71"/>
    <w:rsid w:val="00E50A06"/>
    <w:rsid w:val="00E547F7"/>
    <w:rsid w:val="00E563C9"/>
    <w:rsid w:val="00E578BE"/>
    <w:rsid w:val="00E60D14"/>
    <w:rsid w:val="00E63E56"/>
    <w:rsid w:val="00E6629A"/>
    <w:rsid w:val="00E7188F"/>
    <w:rsid w:val="00E7445B"/>
    <w:rsid w:val="00E74462"/>
    <w:rsid w:val="00E76324"/>
    <w:rsid w:val="00E778EC"/>
    <w:rsid w:val="00E85867"/>
    <w:rsid w:val="00E85FAD"/>
    <w:rsid w:val="00E865CA"/>
    <w:rsid w:val="00E92D2F"/>
    <w:rsid w:val="00E92ED5"/>
    <w:rsid w:val="00E93F8E"/>
    <w:rsid w:val="00E941AC"/>
    <w:rsid w:val="00E94DB6"/>
    <w:rsid w:val="00EA57B1"/>
    <w:rsid w:val="00EA61CA"/>
    <w:rsid w:val="00EA6A15"/>
    <w:rsid w:val="00EB000C"/>
    <w:rsid w:val="00EB12DC"/>
    <w:rsid w:val="00EB1E70"/>
    <w:rsid w:val="00EB220A"/>
    <w:rsid w:val="00EB3287"/>
    <w:rsid w:val="00EB51DD"/>
    <w:rsid w:val="00EC3530"/>
    <w:rsid w:val="00EC5E68"/>
    <w:rsid w:val="00EC7F0C"/>
    <w:rsid w:val="00ED1F97"/>
    <w:rsid w:val="00EE24C7"/>
    <w:rsid w:val="00EE2610"/>
    <w:rsid w:val="00EF4001"/>
    <w:rsid w:val="00EF4DFD"/>
    <w:rsid w:val="00EF75C3"/>
    <w:rsid w:val="00F0180A"/>
    <w:rsid w:val="00F03053"/>
    <w:rsid w:val="00F07B35"/>
    <w:rsid w:val="00F12504"/>
    <w:rsid w:val="00F13038"/>
    <w:rsid w:val="00F1313C"/>
    <w:rsid w:val="00F157EB"/>
    <w:rsid w:val="00F174F7"/>
    <w:rsid w:val="00F21147"/>
    <w:rsid w:val="00F224B0"/>
    <w:rsid w:val="00F2270A"/>
    <w:rsid w:val="00F24A53"/>
    <w:rsid w:val="00F258E8"/>
    <w:rsid w:val="00F25F77"/>
    <w:rsid w:val="00F25FF2"/>
    <w:rsid w:val="00F26AC2"/>
    <w:rsid w:val="00F26F6E"/>
    <w:rsid w:val="00F27DD0"/>
    <w:rsid w:val="00F3008F"/>
    <w:rsid w:val="00F30938"/>
    <w:rsid w:val="00F31CB7"/>
    <w:rsid w:val="00F31EAA"/>
    <w:rsid w:val="00F33D01"/>
    <w:rsid w:val="00F345A9"/>
    <w:rsid w:val="00F35EBC"/>
    <w:rsid w:val="00F36BDD"/>
    <w:rsid w:val="00F4218A"/>
    <w:rsid w:val="00F51674"/>
    <w:rsid w:val="00F53047"/>
    <w:rsid w:val="00F53285"/>
    <w:rsid w:val="00F53CD6"/>
    <w:rsid w:val="00F546F6"/>
    <w:rsid w:val="00F54700"/>
    <w:rsid w:val="00F55AAC"/>
    <w:rsid w:val="00F621E6"/>
    <w:rsid w:val="00F62985"/>
    <w:rsid w:val="00F71F6C"/>
    <w:rsid w:val="00F7241D"/>
    <w:rsid w:val="00F732F8"/>
    <w:rsid w:val="00F748EC"/>
    <w:rsid w:val="00F74BEB"/>
    <w:rsid w:val="00F8168F"/>
    <w:rsid w:val="00F82193"/>
    <w:rsid w:val="00F839EA"/>
    <w:rsid w:val="00F85670"/>
    <w:rsid w:val="00F86CE9"/>
    <w:rsid w:val="00F909DA"/>
    <w:rsid w:val="00F9422F"/>
    <w:rsid w:val="00F951FE"/>
    <w:rsid w:val="00FA1E70"/>
    <w:rsid w:val="00FA494D"/>
    <w:rsid w:val="00FA716F"/>
    <w:rsid w:val="00FA7AA5"/>
    <w:rsid w:val="00FB18C7"/>
    <w:rsid w:val="00FB68AE"/>
    <w:rsid w:val="00FB7DD0"/>
    <w:rsid w:val="00FC07BC"/>
    <w:rsid w:val="00FC1E02"/>
    <w:rsid w:val="00FC6361"/>
    <w:rsid w:val="00FD033B"/>
    <w:rsid w:val="00FD1A07"/>
    <w:rsid w:val="00FD2B37"/>
    <w:rsid w:val="00FD69A9"/>
    <w:rsid w:val="00FD7AB4"/>
    <w:rsid w:val="00FE2F45"/>
    <w:rsid w:val="00FE4F75"/>
    <w:rsid w:val="00FE5909"/>
    <w:rsid w:val="00FE7C13"/>
    <w:rsid w:val="00FF1268"/>
    <w:rsid w:val="00FF189B"/>
    <w:rsid w:val="00FF3DAF"/>
    <w:rsid w:val="00FF76F5"/>
    <w:rsid w:val="00FF7FF9"/>
    <w:rsid w:val="0149A80F"/>
    <w:rsid w:val="0204F8F7"/>
    <w:rsid w:val="026A7B4F"/>
    <w:rsid w:val="029432ED"/>
    <w:rsid w:val="047F1A59"/>
    <w:rsid w:val="053C346C"/>
    <w:rsid w:val="070D87EA"/>
    <w:rsid w:val="07BB8293"/>
    <w:rsid w:val="0854745F"/>
    <w:rsid w:val="0871C395"/>
    <w:rsid w:val="08DD2FA9"/>
    <w:rsid w:val="0995B4BA"/>
    <w:rsid w:val="09BB6FD4"/>
    <w:rsid w:val="0A6383A2"/>
    <w:rsid w:val="0AD36094"/>
    <w:rsid w:val="0AF8C9BC"/>
    <w:rsid w:val="0CC7FA2E"/>
    <w:rsid w:val="0CFEE804"/>
    <w:rsid w:val="0DA5363C"/>
    <w:rsid w:val="0DBD11D1"/>
    <w:rsid w:val="0DE1B8D3"/>
    <w:rsid w:val="0DFBC498"/>
    <w:rsid w:val="0E60F2C5"/>
    <w:rsid w:val="0F46D23E"/>
    <w:rsid w:val="0F975196"/>
    <w:rsid w:val="0FAC427C"/>
    <w:rsid w:val="0FC90CDE"/>
    <w:rsid w:val="102783EF"/>
    <w:rsid w:val="1056CF23"/>
    <w:rsid w:val="105AE152"/>
    <w:rsid w:val="106AE51E"/>
    <w:rsid w:val="1074407C"/>
    <w:rsid w:val="113B6608"/>
    <w:rsid w:val="1205660C"/>
    <w:rsid w:val="120C36F1"/>
    <w:rsid w:val="123DC82B"/>
    <w:rsid w:val="12802CBA"/>
    <w:rsid w:val="138E3E35"/>
    <w:rsid w:val="13A3E282"/>
    <w:rsid w:val="13CE7E41"/>
    <w:rsid w:val="141263A6"/>
    <w:rsid w:val="14174D54"/>
    <w:rsid w:val="14F70FA6"/>
    <w:rsid w:val="15272CF5"/>
    <w:rsid w:val="15297F24"/>
    <w:rsid w:val="152E5274"/>
    <w:rsid w:val="16CAAE76"/>
    <w:rsid w:val="17794F96"/>
    <w:rsid w:val="17A57128"/>
    <w:rsid w:val="18574C9E"/>
    <w:rsid w:val="18A15CD6"/>
    <w:rsid w:val="191864BF"/>
    <w:rsid w:val="19796C97"/>
    <w:rsid w:val="19FC3D98"/>
    <w:rsid w:val="1B40FC4B"/>
    <w:rsid w:val="1BD72D6F"/>
    <w:rsid w:val="1BD82445"/>
    <w:rsid w:val="1BFA4B15"/>
    <w:rsid w:val="1C721A5A"/>
    <w:rsid w:val="1C8F87D3"/>
    <w:rsid w:val="1CA4B9E0"/>
    <w:rsid w:val="1D04A8DE"/>
    <w:rsid w:val="1D4B4D9B"/>
    <w:rsid w:val="1E10FCAE"/>
    <w:rsid w:val="1EAEBB41"/>
    <w:rsid w:val="1EE265B5"/>
    <w:rsid w:val="1F31038B"/>
    <w:rsid w:val="1FC6DF2E"/>
    <w:rsid w:val="20CC534A"/>
    <w:rsid w:val="20D5CACF"/>
    <w:rsid w:val="21114ED2"/>
    <w:rsid w:val="218161FA"/>
    <w:rsid w:val="21FBB267"/>
    <w:rsid w:val="232558EE"/>
    <w:rsid w:val="23E8298F"/>
    <w:rsid w:val="2491D10D"/>
    <w:rsid w:val="263F2EB9"/>
    <w:rsid w:val="26DC7653"/>
    <w:rsid w:val="27BBC4BC"/>
    <w:rsid w:val="282EFD17"/>
    <w:rsid w:val="29055A94"/>
    <w:rsid w:val="29709B11"/>
    <w:rsid w:val="2A268D2A"/>
    <w:rsid w:val="2AB72020"/>
    <w:rsid w:val="2ADC03A6"/>
    <w:rsid w:val="2B8DE492"/>
    <w:rsid w:val="2C3490B9"/>
    <w:rsid w:val="2C7DA11B"/>
    <w:rsid w:val="2CC0F5C1"/>
    <w:rsid w:val="2D214F53"/>
    <w:rsid w:val="2E8A5528"/>
    <w:rsid w:val="2EA85D76"/>
    <w:rsid w:val="2EF4B5A1"/>
    <w:rsid w:val="2FAEFD3A"/>
    <w:rsid w:val="2FBD3DDD"/>
    <w:rsid w:val="2FDA4E55"/>
    <w:rsid w:val="302BF1CC"/>
    <w:rsid w:val="3056FB73"/>
    <w:rsid w:val="32101F22"/>
    <w:rsid w:val="32FDD768"/>
    <w:rsid w:val="3405C2F3"/>
    <w:rsid w:val="348132C7"/>
    <w:rsid w:val="359AE2CA"/>
    <w:rsid w:val="36A1EFD8"/>
    <w:rsid w:val="371D649B"/>
    <w:rsid w:val="39058C17"/>
    <w:rsid w:val="390F8277"/>
    <w:rsid w:val="39FEFC5D"/>
    <w:rsid w:val="3AE38832"/>
    <w:rsid w:val="3AF0480A"/>
    <w:rsid w:val="3B86A5A5"/>
    <w:rsid w:val="3DD5B0B0"/>
    <w:rsid w:val="3E95D210"/>
    <w:rsid w:val="3F08B08F"/>
    <w:rsid w:val="3F746182"/>
    <w:rsid w:val="417950F2"/>
    <w:rsid w:val="425027D8"/>
    <w:rsid w:val="4266F021"/>
    <w:rsid w:val="44E91B81"/>
    <w:rsid w:val="44F17252"/>
    <w:rsid w:val="454F006E"/>
    <w:rsid w:val="463EAD6B"/>
    <w:rsid w:val="46A3B0B2"/>
    <w:rsid w:val="46FF432E"/>
    <w:rsid w:val="4710985E"/>
    <w:rsid w:val="478D8FE5"/>
    <w:rsid w:val="47ACA977"/>
    <w:rsid w:val="47C6178C"/>
    <w:rsid w:val="485C2E43"/>
    <w:rsid w:val="48D08C78"/>
    <w:rsid w:val="48EEED6B"/>
    <w:rsid w:val="4A390230"/>
    <w:rsid w:val="4AC4D7CB"/>
    <w:rsid w:val="4AE0F6FF"/>
    <w:rsid w:val="4B22444E"/>
    <w:rsid w:val="4BD82842"/>
    <w:rsid w:val="4C15C45B"/>
    <w:rsid w:val="4C5A3F4C"/>
    <w:rsid w:val="4C5AF761"/>
    <w:rsid w:val="4C892895"/>
    <w:rsid w:val="4C93D3B7"/>
    <w:rsid w:val="4D392B3D"/>
    <w:rsid w:val="4D63B7F5"/>
    <w:rsid w:val="4D87F361"/>
    <w:rsid w:val="4D9EF3AC"/>
    <w:rsid w:val="4DE73B72"/>
    <w:rsid w:val="50FC5402"/>
    <w:rsid w:val="518AAD66"/>
    <w:rsid w:val="529538A8"/>
    <w:rsid w:val="52FB8F06"/>
    <w:rsid w:val="54045D4B"/>
    <w:rsid w:val="55041E61"/>
    <w:rsid w:val="55977303"/>
    <w:rsid w:val="5622606F"/>
    <w:rsid w:val="5743BC19"/>
    <w:rsid w:val="57536FED"/>
    <w:rsid w:val="575E8450"/>
    <w:rsid w:val="5764331B"/>
    <w:rsid w:val="57982953"/>
    <w:rsid w:val="58AB614A"/>
    <w:rsid w:val="590A9E45"/>
    <w:rsid w:val="59129045"/>
    <w:rsid w:val="5990C1B6"/>
    <w:rsid w:val="59F15659"/>
    <w:rsid w:val="5A27B675"/>
    <w:rsid w:val="5B1A8E98"/>
    <w:rsid w:val="5B3EFF33"/>
    <w:rsid w:val="5B74BAA1"/>
    <w:rsid w:val="5BD09328"/>
    <w:rsid w:val="5C226B02"/>
    <w:rsid w:val="5C7901CB"/>
    <w:rsid w:val="5C9487E9"/>
    <w:rsid w:val="5CB1B251"/>
    <w:rsid w:val="5D686403"/>
    <w:rsid w:val="5DA0BC45"/>
    <w:rsid w:val="5EA164F2"/>
    <w:rsid w:val="60772206"/>
    <w:rsid w:val="614CB194"/>
    <w:rsid w:val="617CAE32"/>
    <w:rsid w:val="61832CCC"/>
    <w:rsid w:val="621A35DA"/>
    <w:rsid w:val="627A8001"/>
    <w:rsid w:val="63942B2A"/>
    <w:rsid w:val="641373EC"/>
    <w:rsid w:val="641C04F9"/>
    <w:rsid w:val="6423A6E5"/>
    <w:rsid w:val="64A9191A"/>
    <w:rsid w:val="64F9C933"/>
    <w:rsid w:val="6526C7EA"/>
    <w:rsid w:val="65C1F532"/>
    <w:rsid w:val="65D223BB"/>
    <w:rsid w:val="669F1BCE"/>
    <w:rsid w:val="66C29FB3"/>
    <w:rsid w:val="672EA228"/>
    <w:rsid w:val="673AB45D"/>
    <w:rsid w:val="67CB42DA"/>
    <w:rsid w:val="67E83A93"/>
    <w:rsid w:val="68390292"/>
    <w:rsid w:val="689F110D"/>
    <w:rsid w:val="6A4DFAA4"/>
    <w:rsid w:val="6A7B164C"/>
    <w:rsid w:val="6AB6030D"/>
    <w:rsid w:val="6ABF4741"/>
    <w:rsid w:val="6ACDD394"/>
    <w:rsid w:val="6B0F10FA"/>
    <w:rsid w:val="6B36D004"/>
    <w:rsid w:val="6B734677"/>
    <w:rsid w:val="6D967B34"/>
    <w:rsid w:val="6DB526F8"/>
    <w:rsid w:val="6E5D6882"/>
    <w:rsid w:val="6EC824B1"/>
    <w:rsid w:val="6EE8F8F7"/>
    <w:rsid w:val="70132FD0"/>
    <w:rsid w:val="70554C8A"/>
    <w:rsid w:val="70B15422"/>
    <w:rsid w:val="7107C2B8"/>
    <w:rsid w:val="71417833"/>
    <w:rsid w:val="71F20719"/>
    <w:rsid w:val="7216E1BF"/>
    <w:rsid w:val="72876A62"/>
    <w:rsid w:val="728D0D5B"/>
    <w:rsid w:val="72A0BF26"/>
    <w:rsid w:val="730ED103"/>
    <w:rsid w:val="739DCB19"/>
    <w:rsid w:val="740AA73D"/>
    <w:rsid w:val="74A5DAE4"/>
    <w:rsid w:val="75E0F26F"/>
    <w:rsid w:val="762DBE83"/>
    <w:rsid w:val="765B4913"/>
    <w:rsid w:val="773CACA0"/>
    <w:rsid w:val="77619AB1"/>
    <w:rsid w:val="77CABE07"/>
    <w:rsid w:val="77EFD3D0"/>
    <w:rsid w:val="78E13707"/>
    <w:rsid w:val="794E6CEF"/>
    <w:rsid w:val="7981B65B"/>
    <w:rsid w:val="798BC0F1"/>
    <w:rsid w:val="799320B6"/>
    <w:rsid w:val="79ADABF4"/>
    <w:rsid w:val="79B7D04A"/>
    <w:rsid w:val="79F5F9F4"/>
    <w:rsid w:val="7A7DE64D"/>
    <w:rsid w:val="7B858F94"/>
    <w:rsid w:val="7B8AA1C0"/>
    <w:rsid w:val="7D56D049"/>
    <w:rsid w:val="7DA3A2EE"/>
    <w:rsid w:val="7EB9AFD2"/>
    <w:rsid w:val="7EC371D1"/>
    <w:rsid w:val="7EE2B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FDEA"/>
  <w15:chartTrackingRefBased/>
  <w15:docId w15:val="{48919B12-B7F0-4272-A6CB-C0B072C8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C5"/>
    <w:rPr>
      <w:rFonts w:ascii="Fira Sans Light" w:hAnsi="Fira Sans Light"/>
    </w:rPr>
  </w:style>
  <w:style w:type="paragraph" w:styleId="Heading1">
    <w:name w:val="heading 1"/>
    <w:basedOn w:val="Normal"/>
    <w:next w:val="Normal"/>
    <w:link w:val="Heading1Char"/>
    <w:uiPriority w:val="9"/>
    <w:qFormat/>
    <w:rsid w:val="00E92ED5"/>
    <w:pPr>
      <w:spacing w:after="0"/>
      <w:outlineLvl w:val="0"/>
    </w:pPr>
    <w:rPr>
      <w:rFonts w:ascii="Fira Sans ExtraBold" w:hAnsi="Fira Sans ExtraBold"/>
      <w:b/>
      <w:bCs/>
      <w:noProof/>
      <w:color w:val="A7253F"/>
      <w:sz w:val="32"/>
      <w:szCs w:val="32"/>
    </w:rPr>
  </w:style>
  <w:style w:type="paragraph" w:styleId="Heading2">
    <w:name w:val="heading 2"/>
    <w:basedOn w:val="Normal"/>
    <w:next w:val="Normal"/>
    <w:link w:val="Heading2Char"/>
    <w:uiPriority w:val="9"/>
    <w:unhideWhenUsed/>
    <w:qFormat/>
    <w:rsid w:val="00770DAB"/>
    <w:pPr>
      <w:spacing w:after="0"/>
      <w:outlineLvl w:val="1"/>
    </w:pPr>
    <w:rPr>
      <w:rFonts w:ascii="Fira Sans" w:hAnsi="Fira Sans"/>
      <w:b/>
      <w:bCs/>
      <w:i/>
      <w:iCs/>
      <w:color w:val="60636B"/>
      <w:sz w:val="24"/>
      <w:szCs w:val="24"/>
    </w:rPr>
  </w:style>
  <w:style w:type="paragraph" w:styleId="Heading3">
    <w:name w:val="heading 3"/>
    <w:basedOn w:val="Normal"/>
    <w:next w:val="Normal"/>
    <w:link w:val="Heading3Char"/>
    <w:uiPriority w:val="9"/>
    <w:unhideWhenUsed/>
    <w:qFormat/>
    <w:rsid w:val="00205F6A"/>
    <w:pPr>
      <w:spacing w:after="240"/>
      <w:outlineLvl w:val="2"/>
    </w:pPr>
    <w:rPr>
      <w:rFonts w:ascii="Fira Sans" w:hAnsi="Fira Sans"/>
      <w:b/>
      <w:bCs/>
      <w:color w:val="004071"/>
      <w:sz w:val="24"/>
      <w:szCs w:val="24"/>
    </w:rPr>
  </w:style>
  <w:style w:type="paragraph" w:styleId="Heading4">
    <w:name w:val="heading 4"/>
    <w:basedOn w:val="Normal"/>
    <w:next w:val="Normal"/>
    <w:link w:val="Heading4Char"/>
    <w:uiPriority w:val="9"/>
    <w:semiHidden/>
    <w:unhideWhenUsed/>
    <w:qFormat/>
    <w:rsid w:val="003F43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43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43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3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3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3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ED5"/>
    <w:rPr>
      <w:rFonts w:ascii="Fira Sans ExtraBold" w:hAnsi="Fira Sans ExtraBold"/>
      <w:b/>
      <w:bCs/>
      <w:noProof/>
      <w:color w:val="A7253F"/>
      <w:sz w:val="32"/>
      <w:szCs w:val="32"/>
    </w:rPr>
  </w:style>
  <w:style w:type="character" w:customStyle="1" w:styleId="Heading2Char">
    <w:name w:val="Heading 2 Char"/>
    <w:basedOn w:val="DefaultParagraphFont"/>
    <w:link w:val="Heading2"/>
    <w:uiPriority w:val="9"/>
    <w:rsid w:val="00770DAB"/>
    <w:rPr>
      <w:rFonts w:ascii="Fira Sans" w:hAnsi="Fira Sans"/>
      <w:b/>
      <w:bCs/>
      <w:i/>
      <w:iCs/>
      <w:color w:val="60636B"/>
      <w:sz w:val="24"/>
      <w:szCs w:val="24"/>
    </w:rPr>
  </w:style>
  <w:style w:type="character" w:customStyle="1" w:styleId="Heading3Char">
    <w:name w:val="Heading 3 Char"/>
    <w:basedOn w:val="DefaultParagraphFont"/>
    <w:link w:val="Heading3"/>
    <w:uiPriority w:val="9"/>
    <w:rsid w:val="00205F6A"/>
    <w:rPr>
      <w:rFonts w:ascii="Fira Sans" w:hAnsi="Fira Sans"/>
      <w:b/>
      <w:bCs/>
      <w:color w:val="004071"/>
      <w:sz w:val="24"/>
      <w:szCs w:val="24"/>
    </w:rPr>
  </w:style>
  <w:style w:type="character" w:customStyle="1" w:styleId="Heading4Char">
    <w:name w:val="Heading 4 Char"/>
    <w:basedOn w:val="DefaultParagraphFont"/>
    <w:link w:val="Heading4"/>
    <w:uiPriority w:val="9"/>
    <w:semiHidden/>
    <w:rsid w:val="003F43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43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4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325"/>
    <w:rPr>
      <w:rFonts w:eastAsiaTheme="majorEastAsia" w:cstheme="majorBidi"/>
      <w:color w:val="272727" w:themeColor="text1" w:themeTint="D8"/>
    </w:rPr>
  </w:style>
  <w:style w:type="paragraph" w:styleId="Title">
    <w:name w:val="Title"/>
    <w:basedOn w:val="Normal"/>
    <w:next w:val="Normal"/>
    <w:link w:val="TitleChar"/>
    <w:uiPriority w:val="10"/>
    <w:qFormat/>
    <w:rsid w:val="003F43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3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325"/>
    <w:pPr>
      <w:spacing w:before="160"/>
      <w:jc w:val="center"/>
    </w:pPr>
    <w:rPr>
      <w:i/>
      <w:iCs/>
      <w:color w:val="404040" w:themeColor="text1" w:themeTint="BF"/>
    </w:rPr>
  </w:style>
  <w:style w:type="character" w:customStyle="1" w:styleId="QuoteChar">
    <w:name w:val="Quote Char"/>
    <w:basedOn w:val="DefaultParagraphFont"/>
    <w:link w:val="Quote"/>
    <w:uiPriority w:val="29"/>
    <w:rsid w:val="003F4325"/>
    <w:rPr>
      <w:i/>
      <w:iCs/>
      <w:color w:val="404040" w:themeColor="text1" w:themeTint="BF"/>
    </w:rPr>
  </w:style>
  <w:style w:type="paragraph" w:styleId="ListParagraph">
    <w:name w:val="List Paragraph"/>
    <w:basedOn w:val="Normal"/>
    <w:uiPriority w:val="34"/>
    <w:qFormat/>
    <w:rsid w:val="00E92ED5"/>
    <w:pPr>
      <w:spacing w:after="120"/>
      <w:ind w:left="720"/>
      <w:contextualSpacing/>
    </w:pPr>
    <w:rPr>
      <w:rFonts w:ascii="Fira Sans Book" w:hAnsi="Fira Sans Book"/>
    </w:rPr>
  </w:style>
  <w:style w:type="character" w:styleId="IntenseEmphasis">
    <w:name w:val="Intense Emphasis"/>
    <w:basedOn w:val="DefaultParagraphFont"/>
    <w:uiPriority w:val="21"/>
    <w:qFormat/>
    <w:rsid w:val="003F4325"/>
    <w:rPr>
      <w:i/>
      <w:iCs/>
      <w:color w:val="2F5496" w:themeColor="accent1" w:themeShade="BF"/>
    </w:rPr>
  </w:style>
  <w:style w:type="paragraph" w:styleId="IntenseQuote">
    <w:name w:val="Intense Quote"/>
    <w:basedOn w:val="Normal"/>
    <w:next w:val="Normal"/>
    <w:link w:val="IntenseQuoteChar"/>
    <w:uiPriority w:val="30"/>
    <w:qFormat/>
    <w:rsid w:val="003F4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4325"/>
    <w:rPr>
      <w:i/>
      <w:iCs/>
      <w:color w:val="2F5496" w:themeColor="accent1" w:themeShade="BF"/>
    </w:rPr>
  </w:style>
  <w:style w:type="character" w:styleId="IntenseReference">
    <w:name w:val="Intense Reference"/>
    <w:basedOn w:val="DefaultParagraphFont"/>
    <w:uiPriority w:val="32"/>
    <w:qFormat/>
    <w:rsid w:val="003F4325"/>
    <w:rPr>
      <w:b/>
      <w:bCs/>
      <w:smallCaps/>
      <w:color w:val="2F5496" w:themeColor="accent1" w:themeShade="BF"/>
      <w:spacing w:val="5"/>
    </w:rPr>
  </w:style>
  <w:style w:type="character" w:styleId="Hyperlink">
    <w:name w:val="Hyperlink"/>
    <w:basedOn w:val="DefaultParagraphFont"/>
    <w:uiPriority w:val="99"/>
    <w:unhideWhenUsed/>
    <w:rsid w:val="00BA0609"/>
    <w:rPr>
      <w:rFonts w:ascii="Fira Sans Light" w:eastAsia="ArialMT" w:hAnsi="Fira Sans Light" w:cs="ArialMT"/>
      <w:color w:val="007BAF"/>
      <w:kern w:val="0"/>
      <w:u w:val="single"/>
    </w:rPr>
  </w:style>
  <w:style w:type="character" w:styleId="UnresolvedMention">
    <w:name w:val="Unresolved Mention"/>
    <w:basedOn w:val="DefaultParagraphFont"/>
    <w:uiPriority w:val="99"/>
    <w:semiHidden/>
    <w:unhideWhenUsed/>
    <w:rsid w:val="007C0D80"/>
    <w:rPr>
      <w:color w:val="605E5C"/>
      <w:shd w:val="clear" w:color="auto" w:fill="E1DFDD"/>
    </w:rPr>
  </w:style>
  <w:style w:type="paragraph" w:styleId="Header">
    <w:name w:val="header"/>
    <w:basedOn w:val="Normal"/>
    <w:link w:val="HeaderChar"/>
    <w:uiPriority w:val="99"/>
    <w:unhideWhenUsed/>
    <w:rsid w:val="00265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F5A"/>
  </w:style>
  <w:style w:type="paragraph" w:styleId="Footer">
    <w:name w:val="footer"/>
    <w:basedOn w:val="Normal"/>
    <w:link w:val="FooterChar"/>
    <w:uiPriority w:val="99"/>
    <w:unhideWhenUsed/>
    <w:rsid w:val="00770DAB"/>
    <w:pPr>
      <w:tabs>
        <w:tab w:val="left" w:pos="180"/>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770DAB"/>
    <w:rPr>
      <w:rFonts w:ascii="Fira Sans Light" w:hAnsi="Fira Sans Light"/>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C4985"/>
    <w:rPr>
      <w:b/>
      <w:bCs/>
    </w:rPr>
  </w:style>
  <w:style w:type="character" w:customStyle="1" w:styleId="CommentSubjectChar">
    <w:name w:val="Comment Subject Char"/>
    <w:basedOn w:val="CommentTextChar"/>
    <w:link w:val="CommentSubject"/>
    <w:uiPriority w:val="99"/>
    <w:semiHidden/>
    <w:rsid w:val="003C4985"/>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40AEC"/>
    <w:pPr>
      <w:spacing w:after="0" w:line="240" w:lineRule="auto"/>
    </w:pPr>
  </w:style>
  <w:style w:type="character" w:styleId="FollowedHyperlink">
    <w:name w:val="FollowedHyperlink"/>
    <w:basedOn w:val="DefaultParagraphFont"/>
    <w:uiPriority w:val="99"/>
    <w:semiHidden/>
    <w:unhideWhenUsed/>
    <w:rsid w:val="002C33FA"/>
    <w:rPr>
      <w:color w:val="954F72" w:themeColor="followedHyperlink"/>
      <w:u w:val="single"/>
    </w:rPr>
  </w:style>
  <w:style w:type="character" w:customStyle="1" w:styleId="cf01">
    <w:name w:val="cf01"/>
    <w:basedOn w:val="DefaultParagraphFont"/>
    <w:rsid w:val="002C33FA"/>
    <w:rPr>
      <w:rFonts w:ascii="Segoe UI" w:hAnsi="Segoe UI" w:cs="Segoe UI" w:hint="default"/>
      <w:sz w:val="18"/>
      <w:szCs w:val="18"/>
    </w:rPr>
  </w:style>
  <w:style w:type="table" w:styleId="TableGrid">
    <w:name w:val="Table Grid"/>
    <w:basedOn w:val="TableNormal"/>
    <w:uiPriority w:val="39"/>
    <w:rsid w:val="007D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30BC5"/>
    <w:pPr>
      <w:widowControl w:val="0"/>
      <w:autoSpaceDE w:val="0"/>
      <w:autoSpaceDN w:val="0"/>
      <w:spacing w:after="0" w:line="240" w:lineRule="auto"/>
    </w:pPr>
    <w:rPr>
      <w:rFonts w:eastAsia="Arial Narrow" w:cs="Arial Narrow"/>
      <w:kern w:val="0"/>
      <w:sz w:val="20"/>
      <w:szCs w:val="20"/>
    </w:rPr>
  </w:style>
  <w:style w:type="paragraph" w:styleId="BodyText">
    <w:name w:val="Body Text"/>
    <w:basedOn w:val="Normal"/>
    <w:link w:val="BodyTextChar"/>
    <w:uiPriority w:val="1"/>
    <w:qFormat/>
    <w:rsid w:val="00E92ED5"/>
    <w:pPr>
      <w:spacing w:after="220"/>
    </w:pPr>
  </w:style>
  <w:style w:type="character" w:customStyle="1" w:styleId="BodyTextChar">
    <w:name w:val="Body Text Char"/>
    <w:basedOn w:val="DefaultParagraphFont"/>
    <w:link w:val="BodyText"/>
    <w:uiPriority w:val="1"/>
    <w:rsid w:val="00E92ED5"/>
    <w:rPr>
      <w:rFonts w:ascii="Fira Sans Light" w:hAnsi="Fira Sans Light"/>
    </w:rPr>
  </w:style>
  <w:style w:type="numbering" w:customStyle="1" w:styleId="CurrentList1">
    <w:name w:val="Current List1"/>
    <w:uiPriority w:val="99"/>
    <w:rsid w:val="00BA060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615834">
      <w:bodyDiv w:val="1"/>
      <w:marLeft w:val="0"/>
      <w:marRight w:val="0"/>
      <w:marTop w:val="0"/>
      <w:marBottom w:val="0"/>
      <w:divBdr>
        <w:top w:val="none" w:sz="0" w:space="0" w:color="auto"/>
        <w:left w:val="none" w:sz="0" w:space="0" w:color="auto"/>
        <w:bottom w:val="none" w:sz="0" w:space="0" w:color="auto"/>
        <w:right w:val="none" w:sz="0" w:space="0" w:color="auto"/>
      </w:divBdr>
    </w:div>
    <w:div w:id="1329602791">
      <w:bodyDiv w:val="1"/>
      <w:marLeft w:val="0"/>
      <w:marRight w:val="0"/>
      <w:marTop w:val="0"/>
      <w:marBottom w:val="0"/>
      <w:divBdr>
        <w:top w:val="none" w:sz="0" w:space="0" w:color="auto"/>
        <w:left w:val="none" w:sz="0" w:space="0" w:color="auto"/>
        <w:bottom w:val="none" w:sz="0" w:space="0" w:color="auto"/>
        <w:right w:val="none" w:sz="0" w:space="0" w:color="auto"/>
      </w:divBdr>
    </w:div>
    <w:div w:id="18927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tes.ed.gov/idea/statute-chapter-33/subchapter-i/1401/34" TargetMode="External"/><Relationship Id="rId18" Type="http://schemas.openxmlformats.org/officeDocument/2006/relationships/hyperlink" Target="https://www.ecfr.gov/current/title-34/subtitle-B/chapter-III/part-300/subpart-D/subject-group-ECFR7501aba42a83252/section-300.324" TargetMode="External"/><Relationship Id="rId26" Type="http://schemas.openxmlformats.org/officeDocument/2006/relationships/hyperlink" Target="https://www.ecfr.gov/current/title-34/subtitle-B/chapter-III/part-300/subpart-C/section-300.207" TargetMode="External"/><Relationship Id="rId39" Type="http://schemas.microsoft.com/office/2020/10/relationships/intelligence" Target="intelligence2.xml"/><Relationship Id="rId21" Type="http://schemas.openxmlformats.org/officeDocument/2006/relationships/hyperlink" Target="https://sites.ed.gov/idea/statute-chapter-33/subchapter-ii/1412/a/23" TargetMode="External"/><Relationship Id="rId34" Type="http://schemas.openxmlformats.org/officeDocument/2006/relationships/hyperlink" Target="https://wvde.us/wp-content/uploads/2023/12/29217-WVGtG-IDEA-Transition-Services-Examples-Independent-Living-v2.pdf" TargetMode="External"/><Relationship Id="rId7" Type="http://schemas.openxmlformats.org/officeDocument/2006/relationships/webSettings" Target="webSettings.xml"/><Relationship Id="rId12" Type="http://schemas.openxmlformats.org/officeDocument/2006/relationships/hyperlink" Target="https://sites.ed.gov/idea/statute-chapter-33/subchapter-i/1401/34" TargetMode="External"/><Relationship Id="rId17" Type="http://schemas.openxmlformats.org/officeDocument/2006/relationships/hyperlink" Target="https://sites.ed.gov/idea/statute-chapter-33/subchapter-ii/1414/d/3" TargetMode="External"/><Relationship Id="rId25" Type="http://schemas.openxmlformats.org/officeDocument/2006/relationships/hyperlink" Target="https://www.ecfr.gov/current/title-34/subtitle-B/chapter-III/part-300/subpart-B/subject-group-ECFR18f0c3fecd807b3/section-300.156" TargetMode="External"/><Relationship Id="rId33" Type="http://schemas.openxmlformats.org/officeDocument/2006/relationships/hyperlink" Target="https://wvde.us/wp-content/uploads/2023/12/29217-WVGtG-IDEA-Transition-Services-Examples-Employment-v1.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urrent/title-34/subtitle-B/chapter-III/part-300/subpart-B/subject-group-ECFR4c69ab8d340f516/section-300.101" TargetMode="External"/><Relationship Id="rId20" Type="http://schemas.openxmlformats.org/officeDocument/2006/relationships/hyperlink" Target="https://www.ecfr.gov/current/title-34/subtitle-B/chapter-III/part-300/subpart-D/subject-group-ECFR7501aba42a83252/section-300.324" TargetMode="External"/><Relationship Id="rId29" Type="http://schemas.openxmlformats.org/officeDocument/2006/relationships/hyperlink" Target="https://wvde.us/wp-content/uploads/2023/10/28888-WVGtG-Secondary-Transition-Assessment-Resource-Bank-October-2023-v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00/section-300.320" TargetMode="External"/><Relationship Id="rId24" Type="http://schemas.openxmlformats.org/officeDocument/2006/relationships/hyperlink" Target="https://sites.ed.gov/idea/statute-chapter-33/subchapter-ii/1413/a/3" TargetMode="External"/><Relationship Id="rId32" Type="http://schemas.openxmlformats.org/officeDocument/2006/relationships/hyperlink" Target="https://wvde.us/wp-content/uploads/2023/12/29217-WVGtG-IDEA-Transition-Services-Examples-Education-v1.pdf"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ites.ed.gov/idea/statute-chapter-33/subchapter-ii/1412/a/1/A" TargetMode="External"/><Relationship Id="rId23" Type="http://schemas.openxmlformats.org/officeDocument/2006/relationships/hyperlink" Target="https://sites.ed.gov/idea/statute-chapter-33/subchapter-ii/1412/a/14" TargetMode="External"/><Relationship Id="rId28" Type="http://schemas.openxmlformats.org/officeDocument/2006/relationships/hyperlink" Target="https://wvde.us/wp-content/uploads/2024/06/IDEA_WVDE-General-Supervision_v2024.pdf"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sites.ed.gov/idea/statute-chapter-33/subchapter-ii/1414/d/3" TargetMode="External"/><Relationship Id="rId31" Type="http://schemas.openxmlformats.org/officeDocument/2006/relationships/hyperlink" Target="https://wvde.us/wp-content/uploads/2023/10/28953-WVGtG-Annual-Transition-Goals-Tip-Sheet-October-20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34/subtitle-B/chapter-III/part-300/subpart-A/subject-group-ECFR0ec59c730ac278e/section-300.43" TargetMode="External"/><Relationship Id="rId22" Type="http://schemas.openxmlformats.org/officeDocument/2006/relationships/hyperlink" Target="https://www.ecfr.gov/current/title-34/subtitle-B/chapter-III/part-300/subpart-D/subject-group-ECFR7501aba42a83252/section-300.324" TargetMode="External"/><Relationship Id="rId27" Type="http://schemas.openxmlformats.org/officeDocument/2006/relationships/hyperlink" Target="https://wvde.us/special-education/wv-guideposts-to-graduation/" TargetMode="External"/><Relationship Id="rId30" Type="http://schemas.openxmlformats.org/officeDocument/2006/relationships/hyperlink" Target="https://wvde.us/wp-content/uploads/2023/11/29116-WVGtG-Post-Secondary-Goals-Worksheet-v3.pdf" TargetMode="External"/><Relationship Id="rId35" Type="http://schemas.openxmlformats.org/officeDocument/2006/relationships/hyperlink" Target="https://wvde.us/special-education/wv-guideposts-to-graduation/"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80070F6AA24B40B91AAD28928B12A2" ma:contentTypeVersion="18" ma:contentTypeDescription="Create a new document." ma:contentTypeScope="" ma:versionID="e00f1bb64e8e08430fb7fcdd12f6dca8">
  <xsd:schema xmlns:xsd="http://www.w3.org/2001/XMLSchema" xmlns:xs="http://www.w3.org/2001/XMLSchema" xmlns:p="http://schemas.microsoft.com/office/2006/metadata/properties" xmlns:ns2="0fa878e7-8b27-44af-8baa-8a3a44c62f03" xmlns:ns3="dd9990a9-8d3d-456f-9b03-a2d04ae27415" targetNamespace="http://schemas.microsoft.com/office/2006/metadata/properties" ma:root="true" ma:fieldsID="ef6652e48eb5480036ae50bd24db9442" ns2:_="" ns3:_="">
    <xsd:import namespace="0fa878e7-8b27-44af-8baa-8a3a44c62f03"/>
    <xsd:import namespace="dd9990a9-8d3d-456f-9b03-a2d04ae274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78e7-8b27-44af-8baa-8a3a44c62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1c258c-cfe4-4d0a-8fd9-d7c5ce6612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990a9-8d3d-456f-9b03-a2d04ae274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dceec7-25ac-4c36-b1f4-7be5e85ca470}" ma:internalName="TaxCatchAll" ma:showField="CatchAllData" ma:web="dd9990a9-8d3d-456f-9b03-a2d04ae27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2EE71-D78B-48C1-910F-4DEAC651D703}">
  <ds:schemaRefs>
    <ds:schemaRef ds:uri="http://schemas.openxmlformats.org/officeDocument/2006/bibliography"/>
  </ds:schemaRefs>
</ds:datastoreItem>
</file>

<file path=customXml/itemProps2.xml><?xml version="1.0" encoding="utf-8"?>
<ds:datastoreItem xmlns:ds="http://schemas.openxmlformats.org/officeDocument/2006/customXml" ds:itemID="{060B7FCF-7FAF-439A-84F8-96295FFE9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78e7-8b27-44af-8baa-8a3a44c62f03"/>
    <ds:schemaRef ds:uri="dd9990a9-8d3d-456f-9b03-a2d04ae27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C8E8A-8E6C-41EC-B507-2956BB212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3001</Words>
  <Characters>17109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20070</CharactersWithSpaces>
  <SharedDoc>false</SharedDoc>
  <HLinks>
    <vt:vector size="186" baseType="variant">
      <vt:variant>
        <vt:i4>8323104</vt:i4>
      </vt:variant>
      <vt:variant>
        <vt:i4>78</vt:i4>
      </vt:variant>
      <vt:variant>
        <vt:i4>0</vt:i4>
      </vt:variant>
      <vt:variant>
        <vt:i4>5</vt:i4>
      </vt:variant>
      <vt:variant>
        <vt:lpwstr>https://www.ecfr.gov/current/title-34/subtitle-B/chapter-III/part-300/subpart-C/section-300.207</vt:lpwstr>
      </vt:variant>
      <vt:variant>
        <vt:lpwstr/>
      </vt:variant>
      <vt:variant>
        <vt:i4>5701716</vt:i4>
      </vt:variant>
      <vt:variant>
        <vt:i4>75</vt:i4>
      </vt:variant>
      <vt:variant>
        <vt:i4>0</vt:i4>
      </vt:variant>
      <vt:variant>
        <vt:i4>5</vt:i4>
      </vt:variant>
      <vt:variant>
        <vt:lpwstr>https://www.ecfr.gov/current/title-34/subtitle-B/chapter-III/part-300/subpart-B/subject-group-ECFR18f0c3fecd807b3/section-300.156</vt:lpwstr>
      </vt:variant>
      <vt:variant>
        <vt:lpwstr/>
      </vt:variant>
      <vt:variant>
        <vt:i4>7798897</vt:i4>
      </vt:variant>
      <vt:variant>
        <vt:i4>72</vt:i4>
      </vt:variant>
      <vt:variant>
        <vt:i4>0</vt:i4>
      </vt:variant>
      <vt:variant>
        <vt:i4>5</vt:i4>
      </vt:variant>
      <vt:variant>
        <vt:lpwstr>https://sites.ed.gov/idea/statute-chapter-33/subchapter-ii/1413/a/3</vt:lpwstr>
      </vt:variant>
      <vt:variant>
        <vt:lpwstr/>
      </vt:variant>
      <vt:variant>
        <vt:i4>4390977</vt:i4>
      </vt:variant>
      <vt:variant>
        <vt:i4>69</vt:i4>
      </vt:variant>
      <vt:variant>
        <vt:i4>0</vt:i4>
      </vt:variant>
      <vt:variant>
        <vt:i4>5</vt:i4>
      </vt:variant>
      <vt:variant>
        <vt:lpwstr>https://sites.ed.gov/idea/statute-chapter-33/subchapter-ii/1412/a/14</vt:lpwstr>
      </vt:variant>
      <vt:variant>
        <vt:lpwstr/>
      </vt:variant>
      <vt:variant>
        <vt:i4>852048</vt:i4>
      </vt:variant>
      <vt:variant>
        <vt:i4>66</vt:i4>
      </vt:variant>
      <vt:variant>
        <vt:i4>0</vt:i4>
      </vt:variant>
      <vt:variant>
        <vt:i4>5</vt:i4>
      </vt:variant>
      <vt:variant>
        <vt:lpwstr>https://www.ecfr.gov/current/title-34/subtitle-B/chapter-III/part-300/subpart-D/subject-group-ECFR7501aba42a83252/section-300.324</vt:lpwstr>
      </vt:variant>
      <vt:variant>
        <vt:lpwstr/>
      </vt:variant>
      <vt:variant>
        <vt:i4>4456514</vt:i4>
      </vt:variant>
      <vt:variant>
        <vt:i4>63</vt:i4>
      </vt:variant>
      <vt:variant>
        <vt:i4>0</vt:i4>
      </vt:variant>
      <vt:variant>
        <vt:i4>5</vt:i4>
      </vt:variant>
      <vt:variant>
        <vt:lpwstr>https://sites.ed.gov/idea/statute-chapter-33/subchapter-ii/1412/a/23</vt:lpwstr>
      </vt:variant>
      <vt:variant>
        <vt:lpwstr/>
      </vt:variant>
      <vt:variant>
        <vt:i4>852048</vt:i4>
      </vt:variant>
      <vt:variant>
        <vt:i4>60</vt:i4>
      </vt:variant>
      <vt:variant>
        <vt:i4>0</vt:i4>
      </vt:variant>
      <vt:variant>
        <vt:i4>5</vt:i4>
      </vt:variant>
      <vt:variant>
        <vt:lpwstr>https://www.ecfr.gov/current/title-34/subtitle-B/chapter-III/part-300/subpart-D/subject-group-ECFR7501aba42a83252/section-300.324</vt:lpwstr>
      </vt:variant>
      <vt:variant>
        <vt:lpwstr/>
      </vt:variant>
      <vt:variant>
        <vt:i4>7798899</vt:i4>
      </vt:variant>
      <vt:variant>
        <vt:i4>57</vt:i4>
      </vt:variant>
      <vt:variant>
        <vt:i4>0</vt:i4>
      </vt:variant>
      <vt:variant>
        <vt:i4>5</vt:i4>
      </vt:variant>
      <vt:variant>
        <vt:lpwstr>https://sites.ed.gov/idea/statute-chapter-33/subchapter-ii/1414/d/3</vt:lpwstr>
      </vt:variant>
      <vt:variant>
        <vt:lpwstr/>
      </vt:variant>
      <vt:variant>
        <vt:i4>4128877</vt:i4>
      </vt:variant>
      <vt:variant>
        <vt:i4>54</vt:i4>
      </vt:variant>
      <vt:variant>
        <vt:i4>0</vt:i4>
      </vt:variant>
      <vt:variant>
        <vt:i4>5</vt:i4>
      </vt:variant>
      <vt:variant>
        <vt:lpwstr>https://www.ecfr.gov/current/title-34/subtitle-B/chapter-III/part-300/subpart-D/subject-group-ECFR7501aba42a83252/section-300.324</vt:lpwstr>
      </vt:variant>
      <vt:variant>
        <vt:lpwstr>p-300.324(a)(2)</vt:lpwstr>
      </vt:variant>
      <vt:variant>
        <vt:i4>7798899</vt:i4>
      </vt:variant>
      <vt:variant>
        <vt:i4>51</vt:i4>
      </vt:variant>
      <vt:variant>
        <vt:i4>0</vt:i4>
      </vt:variant>
      <vt:variant>
        <vt:i4>5</vt:i4>
      </vt:variant>
      <vt:variant>
        <vt:lpwstr>https://sites.ed.gov/idea/statute-chapter-33/subchapter-ii/1414/d/3</vt:lpwstr>
      </vt:variant>
      <vt:variant>
        <vt:lpwstr/>
      </vt:variant>
      <vt:variant>
        <vt:i4>327682</vt:i4>
      </vt:variant>
      <vt:variant>
        <vt:i4>48</vt:i4>
      </vt:variant>
      <vt:variant>
        <vt:i4>0</vt:i4>
      </vt:variant>
      <vt:variant>
        <vt:i4>5</vt:i4>
      </vt:variant>
      <vt:variant>
        <vt:lpwstr>https://www.ecfr.gov/current/title-34/subtitle-B/chapter-III/part-300/subpart-B/subject-group-ECFR4c69ab8d340f516/section-300.101</vt:lpwstr>
      </vt:variant>
      <vt:variant>
        <vt:lpwstr/>
      </vt:variant>
      <vt:variant>
        <vt:i4>5767233</vt:i4>
      </vt:variant>
      <vt:variant>
        <vt:i4>45</vt:i4>
      </vt:variant>
      <vt:variant>
        <vt:i4>0</vt:i4>
      </vt:variant>
      <vt:variant>
        <vt:i4>5</vt:i4>
      </vt:variant>
      <vt:variant>
        <vt:lpwstr>https://sites.ed.gov/idea/statute-chapter-33/subchapter-ii/1412/a/1/A</vt:lpwstr>
      </vt:variant>
      <vt:variant>
        <vt:lpwstr/>
      </vt:variant>
      <vt:variant>
        <vt:i4>5373955</vt:i4>
      </vt:variant>
      <vt:variant>
        <vt:i4>42</vt:i4>
      </vt:variant>
      <vt:variant>
        <vt:i4>0</vt:i4>
      </vt:variant>
      <vt:variant>
        <vt:i4>5</vt:i4>
      </vt:variant>
      <vt:variant>
        <vt:lpwstr>https://www.ecfr.gov/current/title-34/subtitle-B/chapter-III/part-300/subpart-A/subject-group-ECFR0ec59c730ac278e/section-300.43</vt:lpwstr>
      </vt:variant>
      <vt:variant>
        <vt:lpwstr/>
      </vt:variant>
      <vt:variant>
        <vt:i4>458774</vt:i4>
      </vt:variant>
      <vt:variant>
        <vt:i4>39</vt:i4>
      </vt:variant>
      <vt:variant>
        <vt:i4>0</vt:i4>
      </vt:variant>
      <vt:variant>
        <vt:i4>5</vt:i4>
      </vt:variant>
      <vt:variant>
        <vt:lpwstr>https://sites.ed.gov/idea/statute-chapter-33/subchapter-i/1401/34</vt:lpwstr>
      </vt:variant>
      <vt:variant>
        <vt:lpwstr/>
      </vt:variant>
      <vt:variant>
        <vt:i4>458774</vt:i4>
      </vt:variant>
      <vt:variant>
        <vt:i4>36</vt:i4>
      </vt:variant>
      <vt:variant>
        <vt:i4>0</vt:i4>
      </vt:variant>
      <vt:variant>
        <vt:i4>5</vt:i4>
      </vt:variant>
      <vt:variant>
        <vt:lpwstr>https://sites.ed.gov/idea/statute-chapter-33/subchapter-i/1401/34</vt:lpwstr>
      </vt:variant>
      <vt:variant>
        <vt:lpwstr/>
      </vt:variant>
      <vt:variant>
        <vt:i4>5767253</vt:i4>
      </vt:variant>
      <vt:variant>
        <vt:i4>33</vt:i4>
      </vt:variant>
      <vt:variant>
        <vt:i4>0</vt:i4>
      </vt:variant>
      <vt:variant>
        <vt:i4>5</vt:i4>
      </vt:variant>
      <vt:variant>
        <vt:lpwstr>https://sites.ed.gov/idea/statute-chapter-33/subchapter-ii/1414/d/1/A/i/VIII</vt:lpwstr>
      </vt:variant>
      <vt:variant>
        <vt:lpwstr/>
      </vt:variant>
      <vt:variant>
        <vt:i4>5111894</vt:i4>
      </vt:variant>
      <vt:variant>
        <vt:i4>30</vt:i4>
      </vt:variant>
      <vt:variant>
        <vt:i4>0</vt:i4>
      </vt:variant>
      <vt:variant>
        <vt:i4>5</vt:i4>
      </vt:variant>
      <vt:variant>
        <vt:lpwstr>https://www.ecfr.gov/current/title-34/section-300.520</vt:lpwstr>
      </vt:variant>
      <vt:variant>
        <vt:lpwstr/>
      </vt:variant>
      <vt:variant>
        <vt:i4>3145771</vt:i4>
      </vt:variant>
      <vt:variant>
        <vt:i4>27</vt:i4>
      </vt:variant>
      <vt:variant>
        <vt:i4>0</vt:i4>
      </vt:variant>
      <vt:variant>
        <vt:i4>5</vt:i4>
      </vt:variant>
      <vt:variant>
        <vt:lpwstr>https://www.ecfr.gov/current/title-34/part-300/section-300.320</vt:lpwstr>
      </vt:variant>
      <vt:variant>
        <vt:lpwstr>p-300.320(c)</vt:lpwstr>
      </vt:variant>
      <vt:variant>
        <vt:i4>3145770</vt:i4>
      </vt:variant>
      <vt:variant>
        <vt:i4>24</vt:i4>
      </vt:variant>
      <vt:variant>
        <vt:i4>0</vt:i4>
      </vt:variant>
      <vt:variant>
        <vt:i4>5</vt:i4>
      </vt:variant>
      <vt:variant>
        <vt:lpwstr>https://www.ecfr.gov/current/title-34/part-300/section-300.320</vt:lpwstr>
      </vt:variant>
      <vt:variant>
        <vt:lpwstr>p-300.320(b)</vt:lpwstr>
      </vt:variant>
      <vt:variant>
        <vt:i4>655449</vt:i4>
      </vt:variant>
      <vt:variant>
        <vt:i4>21</vt:i4>
      </vt:variant>
      <vt:variant>
        <vt:i4>0</vt:i4>
      </vt:variant>
      <vt:variant>
        <vt:i4>5</vt:i4>
      </vt:variant>
      <vt:variant>
        <vt:lpwstr>https://wvde.us/wp-content/uploads/2024/06/IDEA_WVDE-General-Supervision_v2024.pdf</vt:lpwstr>
      </vt:variant>
      <vt:variant>
        <vt:lpwstr/>
      </vt:variant>
      <vt:variant>
        <vt:i4>1769536</vt:i4>
      </vt:variant>
      <vt:variant>
        <vt:i4>18</vt:i4>
      </vt:variant>
      <vt:variant>
        <vt:i4>0</vt:i4>
      </vt:variant>
      <vt:variant>
        <vt:i4>5</vt:i4>
      </vt:variant>
      <vt:variant>
        <vt:lpwstr>https://wvk12.sharepoint.com/:u:/r/sites/WVSpecialEdResultsandComplianceReporting-Indicator13-SecondaryTransition/Shared Documents/Indicator 13 - Secondary Transition/LEA Self-Review Form.url?csf=1&amp;web=1&amp;e=xYrI3p</vt:lpwstr>
      </vt:variant>
      <vt:variant>
        <vt:lpwstr/>
      </vt:variant>
      <vt:variant>
        <vt:i4>7667820</vt:i4>
      </vt:variant>
      <vt:variant>
        <vt:i4>15</vt:i4>
      </vt:variant>
      <vt:variant>
        <vt:i4>0</vt:i4>
      </vt:variant>
      <vt:variant>
        <vt:i4>5</vt:i4>
      </vt:variant>
      <vt:variant>
        <vt:lpwstr>https://wvde.us/wp-content/uploads/2024/01/29588-Transition-File-Review-v1-2024.pdf</vt:lpwstr>
      </vt:variant>
      <vt:variant>
        <vt:lpwstr/>
      </vt:variant>
      <vt:variant>
        <vt:i4>3604601</vt:i4>
      </vt:variant>
      <vt:variant>
        <vt:i4>12</vt:i4>
      </vt:variant>
      <vt:variant>
        <vt:i4>0</vt:i4>
      </vt:variant>
      <vt:variant>
        <vt:i4>5</vt:i4>
      </vt:variant>
      <vt:variant>
        <vt:lpwstr>https://wvde.us/special-education/wv-guideposts-to-graduation/</vt:lpwstr>
      </vt:variant>
      <vt:variant>
        <vt:lpwstr/>
      </vt:variant>
      <vt:variant>
        <vt:i4>3604601</vt:i4>
      </vt:variant>
      <vt:variant>
        <vt:i4>9</vt:i4>
      </vt:variant>
      <vt:variant>
        <vt:i4>0</vt:i4>
      </vt:variant>
      <vt:variant>
        <vt:i4>5</vt:i4>
      </vt:variant>
      <vt:variant>
        <vt:lpwstr>https://wvde.us/special-education/wv-guideposts-to-graduation/</vt:lpwstr>
      </vt:variant>
      <vt:variant>
        <vt:lpwstr/>
      </vt:variant>
      <vt:variant>
        <vt:i4>7667820</vt:i4>
      </vt:variant>
      <vt:variant>
        <vt:i4>6</vt:i4>
      </vt:variant>
      <vt:variant>
        <vt:i4>0</vt:i4>
      </vt:variant>
      <vt:variant>
        <vt:i4>5</vt:i4>
      </vt:variant>
      <vt:variant>
        <vt:lpwstr>https://wvde.us/wp-content/uploads/2024/01/29588-Transition-File-Review-v1-2024.pdf</vt:lpwstr>
      </vt:variant>
      <vt:variant>
        <vt:lpwstr/>
      </vt:variant>
      <vt:variant>
        <vt:i4>7667820</vt:i4>
      </vt:variant>
      <vt:variant>
        <vt:i4>3</vt:i4>
      </vt:variant>
      <vt:variant>
        <vt:i4>0</vt:i4>
      </vt:variant>
      <vt:variant>
        <vt:i4>5</vt:i4>
      </vt:variant>
      <vt:variant>
        <vt:lpwstr>https://wvde.us/wp-content/uploads/2024/01/29588-Transition-File-Review-v1-2024.pdf</vt:lpwstr>
      </vt:variant>
      <vt:variant>
        <vt:lpwstr/>
      </vt:variant>
      <vt:variant>
        <vt:i4>3604601</vt:i4>
      </vt:variant>
      <vt:variant>
        <vt:i4>0</vt:i4>
      </vt:variant>
      <vt:variant>
        <vt:i4>0</vt:i4>
      </vt:variant>
      <vt:variant>
        <vt:i4>5</vt:i4>
      </vt:variant>
      <vt:variant>
        <vt:lpwstr>https://wvde.us/special-education/wv-guideposts-to-graduation/</vt:lpwstr>
      </vt:variant>
      <vt:variant>
        <vt:lpwstr/>
      </vt:variant>
      <vt:variant>
        <vt:i4>1769536</vt:i4>
      </vt:variant>
      <vt:variant>
        <vt:i4>9</vt:i4>
      </vt:variant>
      <vt:variant>
        <vt:i4>0</vt:i4>
      </vt:variant>
      <vt:variant>
        <vt:i4>5</vt:i4>
      </vt:variant>
      <vt:variant>
        <vt:lpwstr>https://forms.office.com/r/C3jCGWjK4K</vt:lpwstr>
      </vt:variant>
      <vt:variant>
        <vt:lpwstr/>
      </vt:variant>
      <vt:variant>
        <vt:i4>6553601</vt:i4>
      </vt:variant>
      <vt:variant>
        <vt:i4>6</vt:i4>
      </vt:variant>
      <vt:variant>
        <vt:i4>0</vt:i4>
      </vt:variant>
      <vt:variant>
        <vt:i4>5</vt:i4>
      </vt:variant>
      <vt:variant>
        <vt:lpwstr>mailto:sgpaitsel@k12.wv.us</vt:lpwstr>
      </vt:variant>
      <vt:variant>
        <vt:lpwstr/>
      </vt:variant>
      <vt:variant>
        <vt:i4>458811</vt:i4>
      </vt:variant>
      <vt:variant>
        <vt:i4>3</vt:i4>
      </vt:variant>
      <vt:variant>
        <vt:i4>0</vt:i4>
      </vt:variant>
      <vt:variant>
        <vt:i4>5</vt:i4>
      </vt:variant>
      <vt:variant>
        <vt:lpwstr>mailto:jonathan.shank@k12.wv.us</vt:lpwstr>
      </vt:variant>
      <vt:variant>
        <vt:lpwstr/>
      </vt:variant>
      <vt:variant>
        <vt:i4>6553601</vt:i4>
      </vt:variant>
      <vt:variant>
        <vt:i4>0</vt:i4>
      </vt:variant>
      <vt:variant>
        <vt:i4>0</vt:i4>
      </vt:variant>
      <vt:variant>
        <vt:i4>5</vt:i4>
      </vt:variant>
      <vt:variant>
        <vt:lpwstr>mailto:sgpaitsel@k12.wv.us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Rutkowski</dc:creator>
  <cp:keywords/>
  <dc:description/>
  <cp:lastModifiedBy>Tonya Rutkowski</cp:lastModifiedBy>
  <cp:revision>3</cp:revision>
  <cp:lastPrinted>2024-08-13T11:53:00Z</cp:lastPrinted>
  <dcterms:created xsi:type="dcterms:W3CDTF">2024-08-13T15:43:00Z</dcterms:created>
  <dcterms:modified xsi:type="dcterms:W3CDTF">2024-08-13T16:40:00Z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2024-07-09T19:37:11Z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81a402bd-41b2-4bff-866f-0fd88d94e6ac</vt:lpwstr>
  </property>
  <property fmtid="{D5CDD505-2E9C-101B-9397-08002B2CF9AE}" pid="8" name="MSIP_Label_460f4a70-4b6c-4bd4-a002-31edb9c00abe_ContentBits">
    <vt:lpwstr>0</vt:lpwstr>
  </property>
</Properties>
</file>